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4D526">
      <w:pPr>
        <w:jc w:val="center"/>
        <w:rPr>
          <w:rFonts w:ascii="宋体" w:cs="宋体"/>
          <w:b/>
          <w:color w:val="000000" w:themeColor="text1"/>
          <w:kern w:val="0"/>
          <w:sz w:val="72"/>
          <w:szCs w:val="72"/>
          <w:highlight w:val="none"/>
          <w:shd w:val="clear" w:color="auto" w:fill="FFFFFF"/>
          <w14:textFill>
            <w14:solidFill>
              <w14:schemeClr w14:val="tx1"/>
            </w14:solidFill>
          </w14:textFill>
        </w:rPr>
      </w:pPr>
    </w:p>
    <w:p w14:paraId="52EE8472">
      <w:pPr>
        <w:jc w:val="center"/>
        <w:rPr>
          <w:rFonts w:ascii="宋体"/>
          <w:b/>
          <w:color w:val="000000" w:themeColor="text1"/>
          <w:sz w:val="30"/>
          <w:szCs w:val="30"/>
          <w:highlight w:val="none"/>
          <w14:textFill>
            <w14:solidFill>
              <w14:schemeClr w14:val="tx1"/>
            </w14:solidFill>
          </w14:textFill>
        </w:rPr>
        <w:sectPr>
          <w:headerReference r:id="rId4" w:type="first"/>
          <w:footerReference r:id="rId5" w:type="default"/>
          <w:headerReference r:id="rId3" w:type="even"/>
          <w:footerReference r:id="rId6" w:type="even"/>
          <w:pgSz w:w="11910" w:h="16840"/>
          <w:pgMar w:top="941" w:right="720" w:bottom="1179" w:left="980" w:header="707" w:footer="998" w:gutter="0"/>
          <w:cols w:space="720" w:num="1"/>
          <w:titlePg/>
        </w:sectPr>
      </w:pPr>
      <w:r>
        <w:drawing>
          <wp:inline distT="0" distB="0" distL="114300" distR="114300">
            <wp:extent cx="5181600" cy="7353935"/>
            <wp:effectExtent l="0" t="0" r="0" b="184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5"/>
                    <a:stretch>
                      <a:fillRect/>
                    </a:stretch>
                  </pic:blipFill>
                  <pic:spPr>
                    <a:xfrm>
                      <a:off x="0" y="0"/>
                      <a:ext cx="5181600" cy="7353935"/>
                    </a:xfrm>
                    <a:prstGeom prst="rect">
                      <a:avLst/>
                    </a:prstGeom>
                    <a:noFill/>
                    <a:ln>
                      <a:noFill/>
                    </a:ln>
                  </pic:spPr>
                </pic:pic>
              </a:graphicData>
            </a:graphic>
          </wp:inline>
        </w:drawing>
      </w:r>
      <w:bookmarkStart w:id="455" w:name="_GoBack"/>
      <w:bookmarkEnd w:id="455"/>
    </w:p>
    <w:p w14:paraId="2DDBDA57">
      <w:pPr>
        <w:pStyle w:val="55"/>
        <w:rPr>
          <w:color w:val="000000" w:themeColor="text1"/>
          <w:highlight w:val="none"/>
          <w14:textFill>
            <w14:solidFill>
              <w14:schemeClr w14:val="tx1"/>
            </w14:solidFill>
          </w14:textFill>
        </w:rPr>
        <w:sectPr>
          <w:footerReference r:id="rId8" w:type="first"/>
          <w:footerReference r:id="rId7" w:type="default"/>
          <w:pgSz w:w="11910" w:h="16840"/>
          <w:pgMar w:top="941" w:right="720" w:bottom="1179" w:left="980" w:header="707" w:footer="998" w:gutter="0"/>
          <w:pgNumType w:start="1"/>
          <w:cols w:space="720" w:num="1"/>
          <w:titlePg/>
        </w:sectPr>
      </w:pPr>
    </w:p>
    <w:p w14:paraId="2B369DD8">
      <w:pPr>
        <w:pStyle w:val="55"/>
        <w:rPr>
          <w:color w:val="000000" w:themeColor="text1"/>
          <w:highlight w:val="none"/>
          <w14:textFill>
            <w14:solidFill>
              <w14:schemeClr w14:val="tx1"/>
            </w14:solidFill>
          </w14:textFill>
        </w:rPr>
      </w:pPr>
    </w:p>
    <w:p w14:paraId="0C4A227D">
      <w:pPr>
        <w:jc w:val="center"/>
        <w:rPr>
          <w:rFonts w:asci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w:t>
      </w:r>
      <w:r>
        <w:rPr>
          <w:rFonts w:ascii="宋体" w:hAnsi="宋体"/>
          <w:b/>
          <w:color w:val="000000" w:themeColor="text1"/>
          <w:sz w:val="44"/>
          <w:szCs w:val="44"/>
          <w:highlight w:val="none"/>
          <w14:textFill>
            <w14:solidFill>
              <w14:schemeClr w14:val="tx1"/>
            </w14:solidFill>
          </w14:textFill>
        </w:rPr>
        <w:t xml:space="preserve">      </w:t>
      </w:r>
      <w:r>
        <w:rPr>
          <w:rFonts w:hint="eastAsia" w:ascii="宋体" w:hAnsi="宋体"/>
          <w:b/>
          <w:color w:val="000000" w:themeColor="text1"/>
          <w:sz w:val="44"/>
          <w:szCs w:val="44"/>
          <w:highlight w:val="none"/>
          <w14:textFill>
            <w14:solidFill>
              <w14:schemeClr w14:val="tx1"/>
            </w14:solidFill>
          </w14:textFill>
        </w:rPr>
        <w:t>录</w:t>
      </w:r>
    </w:p>
    <w:p w14:paraId="4902B099">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 w:val="40"/>
          <w:szCs w:val="40"/>
          <w:highlight w:val="none"/>
          <w:u w:val="single"/>
          <w14:textFill>
            <w14:solidFill>
              <w14:schemeClr w14:val="tx1"/>
            </w14:solidFill>
          </w14:textFill>
        </w:rPr>
        <w:fldChar w:fldCharType="begin"/>
      </w:r>
      <w:r>
        <w:rPr>
          <w:rFonts w:ascii="宋体" w:hAnsi="宋体" w:cs="宋体"/>
          <w:color w:val="000000" w:themeColor="text1"/>
          <w:sz w:val="40"/>
          <w:szCs w:val="40"/>
          <w:highlight w:val="none"/>
          <w:u w:val="single"/>
          <w14:textFill>
            <w14:solidFill>
              <w14:schemeClr w14:val="tx1"/>
            </w14:solidFill>
          </w14:textFill>
        </w:rPr>
        <w:instrText xml:space="preserve">TOC \o "1-4" \h \u </w:instrText>
      </w:r>
      <w:r>
        <w:rPr>
          <w:rFonts w:ascii="宋体" w:hAnsi="宋体" w:cs="宋体"/>
          <w:color w:val="000000" w:themeColor="text1"/>
          <w:sz w:val="40"/>
          <w:szCs w:val="40"/>
          <w:highlight w:val="none"/>
          <w:u w:val="single"/>
          <w14:textFill>
            <w14:solidFill>
              <w14:schemeClr w14:val="tx1"/>
            </w14:solidFill>
          </w14:textFill>
        </w:rPr>
        <w:fldChar w:fldCharType="separate"/>
      </w: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_Toc27186 </w:instrText>
      </w:r>
      <w:r>
        <w:rPr>
          <w:rFonts w:ascii="宋体" w:hAnsi="宋体" w:cs="宋体"/>
          <w:color w:val="000000" w:themeColor="text1"/>
          <w:szCs w:val="40"/>
          <w:highlight w:val="none"/>
          <w14:textFill>
            <w14:solidFill>
              <w14:schemeClr w14:val="tx1"/>
            </w14:solidFill>
          </w14:textFill>
        </w:rPr>
        <w:fldChar w:fldCharType="separate"/>
      </w:r>
      <w:r>
        <w:rPr>
          <w:rFonts w:ascii="宋体" w:cs="Times New Roman"/>
          <w:color w:val="000000" w:themeColor="text1"/>
          <w14:textFill>
            <w14:solidFill>
              <w14:schemeClr w14:val="tx1"/>
            </w14:solidFill>
          </w14:textFill>
        </w:rPr>
        <w:t xml:space="preserve">第一章 </w:t>
      </w:r>
      <w:r>
        <w:rPr>
          <w:rFonts w:hint="eastAsia" w:ascii="宋体" w:hAnsi="宋体"/>
          <w:color w:val="000000" w:themeColor="text1"/>
          <w:highlight w:val="none"/>
          <w14:textFill>
            <w14:solidFill>
              <w14:schemeClr w14:val="tx1"/>
            </w14:solidFill>
          </w14:textFill>
        </w:rPr>
        <w:t>招标公告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_Toc27186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6A60C1E">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_Toc23274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附件 1：标段划分及主要工程项目情况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_Toc23274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4D0B902">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_Toc16595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附件 2：重要事项时间地点一览表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_Toc16595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7DCE3A5">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_Toc2106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第二章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2441048">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_Toc12110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24"/>
          <w:highlight w:val="none"/>
          <w14:textFill>
            <w14:solidFill>
              <w14:schemeClr w14:val="tx1"/>
            </w14:solidFill>
          </w14:textFill>
        </w:rPr>
        <w:t>投标人须知前附表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_Toc12110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3FA45D7">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_Toc18472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 xml:space="preserve">附录1   </w:t>
      </w:r>
      <w:r>
        <w:rPr>
          <w:rFonts w:hint="eastAsia" w:ascii="宋体" w:hAnsi="宋体" w:cs="宋体"/>
          <w:color w:val="000000" w:themeColor="text1"/>
          <w:szCs w:val="36"/>
          <w:highlight w:val="none"/>
          <w14:textFill>
            <w14:solidFill>
              <w14:schemeClr w14:val="tx1"/>
            </w14:solidFill>
          </w14:textFill>
        </w:rPr>
        <w:t>资格审查条件(资质最低条件)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_Toc18472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C989DAD">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_Toc394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附录2   资格审查条件(财务最低要求)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D1BA8E1">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_Toc32520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附录3   资格审查条件（业绩最低要求）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_Toc32520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6D067D7">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_Toc10576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 xml:space="preserve">附录4   </w:t>
      </w:r>
      <w:r>
        <w:rPr>
          <w:rFonts w:hint="eastAsia" w:ascii="宋体" w:hAnsi="宋体" w:cs="宋体"/>
          <w:color w:val="000000" w:themeColor="text1"/>
          <w:szCs w:val="36"/>
          <w:highlight w:val="none"/>
          <w14:textFill>
            <w14:solidFill>
              <w14:schemeClr w14:val="tx1"/>
            </w14:solidFill>
          </w14:textFill>
        </w:rPr>
        <w:t>资格审查条件(信誉最低要求)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_Toc10576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D7465C0">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_Toc8990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 xml:space="preserve">附录5   </w:t>
      </w:r>
      <w:r>
        <w:rPr>
          <w:rFonts w:hint="eastAsia" w:ascii="宋体" w:hAnsi="宋体" w:cs="宋体"/>
          <w:color w:val="000000" w:themeColor="text1"/>
          <w:szCs w:val="36"/>
          <w:highlight w:val="none"/>
          <w14:textFill>
            <w14:solidFill>
              <w14:schemeClr w14:val="tx1"/>
            </w14:solidFill>
          </w14:textFill>
        </w:rPr>
        <w:t>资格审查条件(项目经理和项目总工等主要管理人员最低要求)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_Toc8990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46CD11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_Toc26868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附录6  资格审查条件（其他管理人员和技术人员最低要求）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_Toc26868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2A7E30D">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_Toc26147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附录7  资格审查条件（主要设备最低要求）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_Toc26147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10FF6C6">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_Toc2352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 总则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C4FE573">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_Toc31786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 项目概况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_Toc31786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B2BEBC9">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_Toc19208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1.2 招标项目的资金来源和落实情况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5512B43">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_Toc29305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1.3 招标范围、计划工期、质量要求和安全目标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_Toc29305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BE3EE52">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_Toc23988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1.4 投标人资格要求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_Toc23988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54ED750">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_Toc24140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1.5 费用承担</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_Toc24140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D711C0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_Toc8409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1.6 保密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_Toc8409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4E18480">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_Toc10916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1.7 语言文字</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_Toc10916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BCC0AE1">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_Toc32160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1.8 计量单位</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_Toc32160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11A1950">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_Toc17800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1.9 踏勘现场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_Toc17800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2F3A0D6">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_Toc13672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1.10 投标预备会</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_Toc13672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5CA86EF">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_Toc12395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1.11 分包</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_Toc12395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2D5D232">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_Toc15145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1.12 响应和偏差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_Toc15145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31B1D21">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_Toc21644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 招标文件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_Toc21644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CC1C5BA">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_Toc5309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2.1 招标文件的组成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_Toc5309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1B872AD">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_Toc17292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2.2 招标文件的澄清</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_Toc17292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326E266">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_Toc27564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2.3 招标文件的修改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_Toc27564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E570FD1">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_Toc3475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2.4 招标文件的异议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_Toc3475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34B08C6">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_Toc28982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 投标文件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_Toc28982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99024AF">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_Toc25017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3.1 投标文件的组成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_Toc25017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D71E546">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_Toc6048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3.2 投标报价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_Toc6048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3EFBF5F">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_Toc4745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3.3 投标有效期</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_Toc4745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CDE30A9">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_Toc29470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3.4 投标保证金</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_Toc29470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077BF0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_Toc10208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3.5 资格审查资料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_Toc10208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FED89E9">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_Toc26314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3.6 备选投标方案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_Toc26314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10470C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_Toc12400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3.7 投标文件的编制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_Toc12400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5CBC3D6">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_Toc9857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4. 投标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_Toc9857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634426E">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_Toc22703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4.1 投标文件的加密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_Toc22703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26AB44E">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_Toc7343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4.2 投标文件的递交</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_Toc7343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7428B1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_Toc14850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4.3 投标文件的修改与撤回</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_Toc14850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F6DEBF6">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_Toc31551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 开标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_Toc31551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33E9B7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_Toc11352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5.1 开标时间和地点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_Toc11352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71A1C27">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_Toc14671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5.2 开标程序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_Toc14671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D19E169">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_Toc30104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5.3 开标异议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_Toc30104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C152CBF">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_Toc2912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5.4 开标补救措施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_Toc2912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48CF3FC">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_Toc19857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6. 评标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_Toc19857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735098C">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_Toc4624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6.1 评标委员会</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_Toc4624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B134F3A">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_Toc8778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6.2 评标原则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_Toc8778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EBBE15A">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_Toc7079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6.3 评标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9081ED4">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_Toc10207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 合同授予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_Toc10207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0F77A63">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_Toc30457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7.1 中标候选人公示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_Toc30457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1C7485C">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_Toc22616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7.2 评标结果异议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_Toc22616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34201D7">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_Toc2666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7.3 中标候选人履约能力审查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D0B07E9">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_Toc27413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7.4 定标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_Toc27413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EEE4FE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_Toc14368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7.5 中标通知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_Toc14368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7B3F9E3">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_Toc18633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7.6 中标结果公告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_Toc18633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D88532D">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_Toc8353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7.7 履约保证金</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_Toc8353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F1EEF39">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_Toc26647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7.8 签订合同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_Toc26647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2209299">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_Toc8038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 纪律和监督</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_Toc8038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3F88EEC">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_Toc8273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8.1 对招标人的纪律要求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_Toc8273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802692A">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_Toc31036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8.2 对投标人的纪律要求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_Toc31036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68AEBFD">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_Toc10980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8.3 对评标委员会成员的纪律要求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_Toc10980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16D1124">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_Toc12897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8.4 对与评标活动有关的工作人员的纪律要求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_Toc12897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F54A8E2">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_Toc4472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8.5 投诉</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_Toc4472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72DC266">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_Toc29370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9. 是否采用电子招标投标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_Toc29370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149825B">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_Toc30164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10. 需要补充的其他内容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_Toc30164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535583E">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_Toc20634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szCs w:val="36"/>
          <w:highlight w:val="none"/>
          <w14:textFill>
            <w14:solidFill>
              <w14:schemeClr w14:val="tx1"/>
            </w14:solidFill>
          </w14:textFill>
        </w:rPr>
        <w:t>第三章 评标</w:t>
      </w:r>
      <w:r>
        <w:rPr>
          <w:rFonts w:hint="eastAsia" w:ascii="宋体" w:hAnsi="宋体" w:cs="宋体"/>
          <w:color w:val="000000" w:themeColor="text1"/>
          <w:szCs w:val="36"/>
          <w:highlight w:val="none"/>
          <w:lang w:val="en-US" w:eastAsia="zh-CN"/>
          <w14:textFill>
            <w14:solidFill>
              <w14:schemeClr w14:val="tx1"/>
            </w14:solidFill>
          </w14:textFill>
        </w:rPr>
        <w:t>及定标</w:t>
      </w:r>
      <w:r>
        <w:rPr>
          <w:rFonts w:hint="eastAsia" w:ascii="宋体" w:hAnsi="宋体" w:cs="宋体"/>
          <w:color w:val="000000" w:themeColor="text1"/>
          <w:szCs w:val="36"/>
          <w:highlight w:val="none"/>
          <w14:textFill>
            <w14:solidFill>
              <w14:schemeClr w14:val="tx1"/>
            </w14:solidFill>
          </w14:textFill>
        </w:rPr>
        <w:t>办法（双信封的技术评分最低标价法）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_Toc20634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FB8F955">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_Toc24311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 评标方法、组织及工作程序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_Toc24311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04DDEB0">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_Toc542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1.1 评标方法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_Toc542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604A768">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_Toc505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1.2 评标组织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F3E7EE2">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_Toc22376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1.3 评审工作程序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_Toc22376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63155EE">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_Toc25925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 评审标准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_Toc25925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E14D86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_Toc10652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2.1 初步评审标准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_Toc10652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D6DBF33">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_Toc2429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2.2 分值构成与评分标准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_Toc2429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C70586A">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_Toc16152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 评标程序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_Toc16152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CA3EA84">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_Toc19135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3.1 第一个信封初步评审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_Toc19135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14C9E9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_Toc24019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3.2 第一个信封详细评审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_Toc24019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4A6569C">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_Toc4144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3.3 第二个信封开标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_Toc4144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35909C0">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_Toc19772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3.4 第二个信封初步评审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_Toc19772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69</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7554638">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_Toc5338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3.5 第二个信封详细评审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_Toc5338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69</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0869C3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_Toc4142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3.6 投标文件相关信息的核查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_Toc4142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45D353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_Toc31835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3.7 投标文件的澄清和说明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_Toc31835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267A1CC">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_Toc24396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3.8 不得否决投标的情形</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_Toc24396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BEE53D8">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_Toc14909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3.9 评标结果</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_Toc14909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FD7619E">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_Toc28554 </w:instrText>
      </w:r>
      <w:r>
        <w:rPr>
          <w:rFonts w:ascii="宋体" w:hAnsi="宋体" w:cs="宋体"/>
          <w:color w:val="000000" w:themeColor="text1"/>
          <w:szCs w:val="40"/>
          <w:highlight w:val="none"/>
          <w14:textFill>
            <w14:solidFill>
              <w14:schemeClr w14:val="tx1"/>
            </w14:solidFill>
          </w14:textFill>
        </w:rPr>
        <w:fldChar w:fldCharType="separate"/>
      </w:r>
      <w:r>
        <w:rPr>
          <w:rFonts w:hint="eastAsia" w:eastAsia="宋体" w:cs="Times New Roman"/>
          <w:color w:val="000000" w:themeColor="text1"/>
          <w:highlight w:val="none"/>
          <w:lang w:val="en-US" w:eastAsia="zh-CN"/>
          <w14:textFill>
            <w14:solidFill>
              <w14:schemeClr w14:val="tx1"/>
            </w14:solidFill>
          </w14:textFill>
        </w:rPr>
        <w:t>4. 定标办法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_Toc28554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D96135F">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_Toc18678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eastAsia="zh-CN"/>
          <w14:textFill>
            <w14:solidFill>
              <w14:schemeClr w14:val="tx1"/>
            </w14:solidFill>
          </w14:textFill>
        </w:rPr>
        <w:t>1定标方法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_Toc18678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E99675E">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_Toc11691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eastAsia="zh-CN"/>
          <w14:textFill>
            <w14:solidFill>
              <w14:schemeClr w14:val="tx1"/>
            </w14:solidFill>
          </w14:textFill>
        </w:rPr>
        <w:t>2定标委员会</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_Toc11691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D5BC9D6">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_Toc21971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highlight w:val="none"/>
          <w:lang w:val="en-US" w:eastAsia="zh-CN"/>
          <w14:textFill>
            <w14:solidFill>
              <w14:schemeClr w14:val="tx1"/>
            </w14:solidFill>
          </w14:textFill>
        </w:rPr>
        <w:t>4.3</w:t>
      </w:r>
      <w:r>
        <w:rPr>
          <w:rFonts w:hint="eastAsia" w:ascii="宋体" w:hAnsi="宋体" w:eastAsia="宋体" w:cs="宋体"/>
          <w:color w:val="000000" w:themeColor="text1"/>
          <w:highlight w:val="none"/>
          <w:lang w:val="en-US" w:eastAsia="zh-CN"/>
          <w14:textFill>
            <w14:solidFill>
              <w14:schemeClr w14:val="tx1"/>
            </w14:solidFill>
          </w14:textFill>
        </w:rPr>
        <w:t>定标评审标准：见定标办法前附表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_Toc21971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E857D91">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_Toc7927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eastAsia="zh-CN"/>
          <w14:textFill>
            <w14:solidFill>
              <w14:schemeClr w14:val="tx1"/>
            </w14:solidFill>
          </w14:textFill>
        </w:rPr>
        <w:t>4定标程序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54915DF">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_Toc29026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第四章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合同条款及格式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_Toc29026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EAFB0B1">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_Toc22662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第一节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通用合同条款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_Toc22662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8FE4CA9">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_Toc4126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第二节 专用合同条款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_Toc4126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83E8589">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_Toc18877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A.</w:t>
      </w:r>
      <w:r>
        <w:rPr>
          <w:rFonts w:hint="eastAsia"/>
          <w:color w:val="000000" w:themeColor="text1"/>
          <w:highlight w:val="none"/>
          <w14:textFill>
            <w14:solidFill>
              <w14:schemeClr w14:val="tx1"/>
            </w14:solidFill>
          </w14:textFill>
        </w:rPr>
        <w:t>公路工程专用合同条款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_Toc18877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79</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F0FEEDD">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_Toc17755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B.</w:t>
      </w:r>
      <w:r>
        <w:rPr>
          <w:rFonts w:hint="eastAsia"/>
          <w:color w:val="000000" w:themeColor="text1"/>
          <w:highlight w:val="none"/>
          <w14:textFill>
            <w14:solidFill>
              <w14:schemeClr w14:val="tx1"/>
            </w14:solidFill>
          </w14:textFill>
        </w:rPr>
        <w:t>项目专用合同条款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_Toc17755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A6BCB2C">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_Toc15359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44"/>
          <w:highlight w:val="none"/>
          <w14:textFill>
            <w14:solidFill>
              <w14:schemeClr w14:val="tx1"/>
            </w14:solidFill>
          </w14:textFill>
        </w:rPr>
        <w:t>项目专用条款数据表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_Toc15359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C1700A0">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_Toc30932 </w:instrText>
      </w:r>
      <w:r>
        <w:rPr>
          <w:rFonts w:ascii="宋体" w:hAnsi="宋体" w:cs="宋体"/>
          <w:color w:val="000000" w:themeColor="text1"/>
          <w:szCs w:val="40"/>
          <w:highlight w:val="none"/>
          <w14:textFill>
            <w14:solidFill>
              <w14:schemeClr w14:val="tx1"/>
            </w14:solidFill>
          </w14:textFill>
        </w:rPr>
        <w:fldChar w:fldCharType="separate"/>
      </w:r>
      <w:r>
        <w:rPr>
          <w:rFonts w:hint="eastAsia" w:ascii="宋体" w:hAnsi="宋体"/>
          <w:color w:val="000000" w:themeColor="text1"/>
          <w:szCs w:val="36"/>
          <w:highlight w:val="none"/>
          <w14:textFill>
            <w14:solidFill>
              <w14:schemeClr w14:val="tx1"/>
            </w14:solidFill>
          </w14:textFill>
        </w:rPr>
        <w:t>第五章</w:t>
      </w:r>
      <w:r>
        <w:rPr>
          <w:rFonts w:ascii="宋体" w:hAnsi="宋体"/>
          <w:color w:val="000000" w:themeColor="text1"/>
          <w:szCs w:val="36"/>
          <w:highlight w:val="none"/>
          <w14:textFill>
            <w14:solidFill>
              <w14:schemeClr w14:val="tx1"/>
            </w14:solidFill>
          </w14:textFill>
        </w:rPr>
        <w:t xml:space="preserve">  </w:t>
      </w:r>
      <w:r>
        <w:rPr>
          <w:rFonts w:hint="eastAsia" w:ascii="宋体" w:hAnsi="宋体"/>
          <w:color w:val="000000" w:themeColor="text1"/>
          <w:szCs w:val="36"/>
          <w:highlight w:val="none"/>
          <w14:textFill>
            <w14:solidFill>
              <w14:schemeClr w14:val="tx1"/>
            </w14:solidFill>
          </w14:textFill>
        </w:rPr>
        <w:t>工程量清单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_Toc30932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35ABD48">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_Toc26176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84"/>
          <w:highlight w:val="none"/>
          <w14:textFill>
            <w14:solidFill>
              <w14:schemeClr w14:val="tx1"/>
            </w14:solidFill>
          </w14:textFill>
        </w:rPr>
        <w:t>第</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二</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87744BC">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_Toc10339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第六章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图纸（另册）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_Toc10339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2CAB245">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_Toc13235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84"/>
          <w:highlight w:val="none"/>
          <w14:textFill>
            <w14:solidFill>
              <w14:schemeClr w14:val="tx1"/>
            </w14:solidFill>
          </w14:textFill>
        </w:rPr>
        <w:t>第</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三</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_Toc13235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AB82E28">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_Toc2502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第七章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技术规范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C2231B1">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_Toc6131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第八章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工程量清单计量规则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_Toc6131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0749F3D">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_Toc4844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84"/>
          <w:highlight w:val="none"/>
          <w14:textFill>
            <w14:solidFill>
              <w14:schemeClr w14:val="tx1"/>
            </w14:solidFill>
          </w14:textFill>
        </w:rPr>
        <w:t>第</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四</w:t>
      </w:r>
      <w:r>
        <w:rPr>
          <w:color w:val="000000" w:themeColor="text1"/>
          <w:szCs w:val="84"/>
          <w:highlight w:val="none"/>
          <w14:textFill>
            <w14:solidFill>
              <w14:schemeClr w14:val="tx1"/>
            </w14:solidFill>
          </w14:textFill>
        </w:rPr>
        <w:t xml:space="preserve">  </w:t>
      </w:r>
      <w:r>
        <w:rPr>
          <w:rFonts w:hint="eastAsia"/>
          <w:color w:val="000000" w:themeColor="text1"/>
          <w:szCs w:val="84"/>
          <w:highlight w:val="none"/>
          <w14:textFill>
            <w14:solidFill>
              <w14:schemeClr w14:val="tx1"/>
            </w14:solidFill>
          </w14:textFill>
        </w:rPr>
        <w:t>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_Toc4844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209</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62C8EB1D">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_Toc28022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第九章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_Toc28022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26A2889">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_Toc1959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（第一信封：商务及技术文件）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9C4FBD6">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_Toc22294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一、投标函及投标函附录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_Toc22294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BA922CD">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_Toc31866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（一）投  标  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_Toc31866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4458064">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_Toc18474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14:textFill>
            <w14:solidFill>
              <w14:schemeClr w14:val="tx1"/>
            </w14:solidFill>
          </w14:textFill>
        </w:rPr>
        <w:t xml:space="preserve">（二） </w:t>
      </w:r>
      <w:r>
        <w:rPr>
          <w:rFonts w:hint="eastAsia"/>
          <w:color w:val="000000" w:themeColor="text1"/>
          <w:szCs w:val="36"/>
          <w:highlight w:val="none"/>
          <w14:textFill>
            <w14:solidFill>
              <w14:schemeClr w14:val="tx1"/>
            </w14:solidFill>
          </w14:textFill>
        </w:rPr>
        <w:t>投标函附录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_Toc18474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0F2472B">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_Toc3251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二、授权委托书或法定代表人身份证明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F7BACA5">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_Toc30397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（一）授权委托书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_Toc30397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522D478">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_Toc18013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（二）法定代表人身份证明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_Toc18013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EB818D4">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_Toc20526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三 、联合体协议书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_Toc20526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5BBA359">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_Toc8921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四、投标保证金</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_Toc8921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219</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1973F5A1">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_Toc3055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五、施工组织设计及承包人项目管理方案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080517A3">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_Toc22808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szCs w:val="36"/>
          <w:highlight w:val="none"/>
          <w14:textFill>
            <w14:solidFill>
              <w14:schemeClr w14:val="tx1"/>
            </w14:solidFill>
          </w14:textFill>
        </w:rPr>
        <w:t>六、项目管理机构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_Toc22808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222</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EF6D082">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_Toc5453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szCs w:val="36"/>
          <w:highlight w:val="none"/>
          <w14:textFill>
            <w14:solidFill>
              <w14:schemeClr w14:val="tx1"/>
            </w14:solidFill>
          </w14:textFill>
        </w:rPr>
        <w:t>七、资格审查资料（适用于未进行资格预审的）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_Toc5453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AA25CD7">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_Toc32461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（一）投标人基本情况表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_Toc32461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224</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58AAA5F">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_Toc3171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（二）投标人企业组织机构框图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225</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6118803">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_Toc22547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lang w:eastAsia="en-US"/>
          <w14:textFill>
            <w14:solidFill>
              <w14:schemeClr w14:val="tx1"/>
            </w14:solidFill>
          </w14:textFill>
        </w:rPr>
        <w:t>（三）近年财务状况表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_Toc22547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226</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28C944BA">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_Toc24478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（四）近年完成的类似项目情况表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_Toc24478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228</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4CECFC97">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_Toc29017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（五）投标人的信誉情况表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_Toc29017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AA24F50">
      <w:pPr>
        <w:pStyle w:val="22"/>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_Toc19079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highlight w:val="none"/>
          <w14:textFill>
            <w14:solidFill>
              <w14:schemeClr w14:val="tx1"/>
            </w14:solidFill>
          </w14:textFill>
        </w:rPr>
        <w:t>（六）拟委任的项目经理和项目总工等主要管理人员情况表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_Toc19079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231</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B7CDD25">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_Toc15760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szCs w:val="36"/>
          <w:highlight w:val="none"/>
          <w14:textFill>
            <w14:solidFill>
              <w14:schemeClr w14:val="tx1"/>
            </w14:solidFill>
          </w14:textFill>
        </w:rPr>
        <w:t>八、其他资料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_Toc15760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180D58B">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_Toc11176 </w:instrText>
      </w:r>
      <w:r>
        <w:rPr>
          <w:rFonts w:ascii="宋体" w:hAnsi="宋体" w:cs="宋体"/>
          <w:color w:val="000000" w:themeColor="text1"/>
          <w:szCs w:val="4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第二个信封：报价文件</w:t>
      </w:r>
      <w:r>
        <w:rPr>
          <w:rFonts w:hint="eastAsia"/>
          <w:color w:val="000000" w:themeColor="text1"/>
          <w:highlight w:val="none"/>
          <w14:textFill>
            <w14:solidFill>
              <w14:schemeClr w14:val="tx1"/>
            </w14:solidFill>
          </w14:textFill>
        </w:rPr>
        <w:t>）</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_Toc11176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237</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2CEF62E">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_Toc756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szCs w:val="36"/>
          <w:highlight w:val="none"/>
          <w14:textFill>
            <w14:solidFill>
              <w14:schemeClr w14:val="tx1"/>
            </w14:solidFill>
          </w14:textFill>
        </w:rPr>
        <w:t>一、投标函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_Toc756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239</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5AC703C6">
      <w:pPr>
        <w:pStyle w:val="36"/>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_Toc29382 </w:instrText>
      </w:r>
      <w:r>
        <w:rPr>
          <w:rFonts w:ascii="宋体" w:hAnsi="宋体" w:cs="宋体"/>
          <w:color w:val="000000" w:themeColor="text1"/>
          <w:szCs w:val="40"/>
          <w:highlight w:val="none"/>
          <w14:textFill>
            <w14:solidFill>
              <w14:schemeClr w14:val="tx1"/>
            </w14:solidFill>
          </w14:textFill>
        </w:rPr>
        <w:fldChar w:fldCharType="separate"/>
      </w:r>
      <w:r>
        <w:rPr>
          <w:color w:val="000000" w:themeColor="text1"/>
          <w:szCs w:val="36"/>
          <w:highlight w:val="none"/>
          <w14:textFill>
            <w14:solidFill>
              <w14:schemeClr w14:val="tx1"/>
            </w14:solidFill>
          </w14:textFill>
        </w:rPr>
        <w:t>二、已标价工程量清单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_Toc29382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240</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3BC45C6F">
      <w:pPr>
        <w:pStyle w:val="31"/>
        <w:tabs>
          <w:tab w:val="right" w:leader="dot" w:pos="10210"/>
        </w:tabs>
        <w:rPr>
          <w:color w:val="000000" w:themeColor="text1"/>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begin"/>
      </w:r>
      <w:r>
        <w:rPr>
          <w:rFonts w:ascii="宋体" w:hAnsi="宋体" w:cs="宋体"/>
          <w:color w:val="000000" w:themeColor="text1"/>
          <w:szCs w:val="40"/>
          <w:highlight w:val="none"/>
          <w14:textFill>
            <w14:solidFill>
              <w14:schemeClr w14:val="tx1"/>
            </w14:solidFill>
          </w14:textFill>
        </w:rPr>
        <w:instrText xml:space="preserve"> HYPERLINK \l _Toc29408 </w:instrText>
      </w:r>
      <w:r>
        <w:rPr>
          <w:rFonts w:ascii="宋体" w:hAnsi="宋体" w:cs="宋体"/>
          <w:color w:val="000000" w:themeColor="text1"/>
          <w:szCs w:val="40"/>
          <w:highlight w:val="none"/>
          <w14:textFill>
            <w14:solidFill>
              <w14:schemeClr w14:val="tx1"/>
            </w14:solidFill>
          </w14:textFill>
        </w:rPr>
        <w:fldChar w:fldCharType="separate"/>
      </w:r>
      <w:r>
        <w:rPr>
          <w:rFonts w:ascii="宋体" w:hAnsi="宋体" w:eastAsia="宋体" w:cs="宋体"/>
          <w:color w:val="000000" w:themeColor="text1"/>
          <w:spacing w:val="3"/>
          <w:szCs w:val="43"/>
          <w:highlight w:val="none"/>
          <w14:textFill>
            <w14:solidFill>
              <w14:schemeClr w14:val="tx1"/>
            </w14:solidFill>
          </w14:textFill>
        </w:rPr>
        <w:t>（第二个信封：</w:t>
      </w:r>
      <w:r>
        <w:rPr>
          <w:rFonts w:hint="eastAsia" w:ascii="宋体" w:hAnsi="宋体" w:eastAsia="宋体" w:cs="宋体"/>
          <w:color w:val="000000" w:themeColor="text1"/>
          <w:spacing w:val="3"/>
          <w:szCs w:val="43"/>
          <w:highlight w:val="none"/>
          <w:lang w:val="en-US" w:eastAsia="zh-CN"/>
          <w14:textFill>
            <w14:solidFill>
              <w14:schemeClr w14:val="tx1"/>
            </w14:solidFill>
          </w14:textFill>
        </w:rPr>
        <w:t>定标</w:t>
      </w:r>
      <w:r>
        <w:rPr>
          <w:rFonts w:ascii="宋体" w:hAnsi="宋体" w:eastAsia="宋体" w:cs="宋体"/>
          <w:color w:val="000000" w:themeColor="text1"/>
          <w:spacing w:val="3"/>
          <w:szCs w:val="43"/>
          <w:highlight w:val="none"/>
          <w14:textFill>
            <w14:solidFill>
              <w14:schemeClr w14:val="tx1"/>
            </w14:solidFill>
          </w14:textFill>
        </w:rPr>
        <w:t>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_Toc29408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243</w:t>
      </w:r>
      <w:r>
        <w:rPr>
          <w:color w:val="000000" w:themeColor="text1"/>
          <w14:textFill>
            <w14:solidFill>
              <w14:schemeClr w14:val="tx1"/>
            </w14:solidFill>
          </w14:textFill>
        </w:rPr>
        <w:fldChar w:fldCharType="end"/>
      </w:r>
      <w:r>
        <w:rPr>
          <w:rFonts w:ascii="宋体" w:hAnsi="宋体" w:cs="宋体"/>
          <w:color w:val="000000" w:themeColor="text1"/>
          <w:szCs w:val="40"/>
          <w:highlight w:val="none"/>
          <w:u w:val="single"/>
          <w14:textFill>
            <w14:solidFill>
              <w14:schemeClr w14:val="tx1"/>
            </w14:solidFill>
          </w14:textFill>
        </w:rPr>
        <w:fldChar w:fldCharType="end"/>
      </w:r>
    </w:p>
    <w:p w14:paraId="7B8B9EDC">
      <w:pPr>
        <w:spacing w:line="250" w:lineRule="exact"/>
        <w:ind w:firstLine="1058" w:firstLineChars="504"/>
        <w:rPr>
          <w:rFonts w:ascii="宋体"/>
          <w:color w:val="000000" w:themeColor="text1"/>
          <w:sz w:val="48"/>
          <w:szCs w:val="48"/>
          <w:highlight w:val="none"/>
          <w:u w:val="single"/>
          <w14:textFill>
            <w14:solidFill>
              <w14:schemeClr w14:val="tx1"/>
            </w14:solidFill>
          </w14:textFill>
        </w:rPr>
      </w:pPr>
      <w:r>
        <w:rPr>
          <w:rFonts w:ascii="宋体" w:hAnsi="宋体" w:cs="宋体"/>
          <w:color w:val="000000" w:themeColor="text1"/>
          <w:szCs w:val="40"/>
          <w:highlight w:val="none"/>
          <w:u w:val="single"/>
          <w14:textFill>
            <w14:solidFill>
              <w14:schemeClr w14:val="tx1"/>
            </w14:solidFill>
          </w14:textFill>
        </w:rPr>
        <w:fldChar w:fldCharType="end"/>
      </w:r>
    </w:p>
    <w:p w14:paraId="4C3F27A8">
      <w:pPr>
        <w:jc w:val="center"/>
        <w:rPr>
          <w:rFonts w:ascii="宋体"/>
          <w:color w:val="000000" w:themeColor="text1"/>
          <w:sz w:val="192"/>
          <w:szCs w:val="192"/>
          <w:highlight w:val="none"/>
          <w:u w:val="single"/>
          <w14:textFill>
            <w14:solidFill>
              <w14:schemeClr w14:val="tx1"/>
            </w14:solidFill>
          </w14:textFill>
        </w:rPr>
        <w:sectPr>
          <w:footerReference r:id="rId10" w:type="first"/>
          <w:footerReference r:id="rId9" w:type="default"/>
          <w:pgSz w:w="11910" w:h="16840"/>
          <w:pgMar w:top="941" w:right="720" w:bottom="1179" w:left="980" w:header="707" w:footer="998" w:gutter="0"/>
          <w:pgNumType w:start="1"/>
          <w:cols w:space="720" w:num="1"/>
        </w:sectPr>
      </w:pPr>
    </w:p>
    <w:p w14:paraId="0C7BD226">
      <w:pPr>
        <w:pStyle w:val="13"/>
        <w:rPr>
          <w:color w:val="000000" w:themeColor="text1"/>
          <w:highlight w:val="none"/>
          <w14:textFill>
            <w14:solidFill>
              <w14:schemeClr w14:val="tx1"/>
            </w14:solidFill>
          </w14:textFill>
        </w:rPr>
      </w:pPr>
    </w:p>
    <w:p w14:paraId="46EFB44E">
      <w:pPr>
        <w:jc w:val="center"/>
        <w:rPr>
          <w:rFonts w:ascii="宋体"/>
          <w:color w:val="000000" w:themeColor="text1"/>
          <w:sz w:val="72"/>
          <w:szCs w:val="72"/>
          <w:highlight w:val="none"/>
          <w:u w:val="single"/>
          <w14:textFill>
            <w14:solidFill>
              <w14:schemeClr w14:val="tx1"/>
            </w14:solidFill>
          </w14:textFill>
        </w:rPr>
      </w:pPr>
    </w:p>
    <w:p w14:paraId="42941F52">
      <w:pPr>
        <w:jc w:val="center"/>
        <w:rPr>
          <w:rFonts w:ascii="宋体"/>
          <w:color w:val="000000" w:themeColor="text1"/>
          <w:sz w:val="72"/>
          <w:szCs w:val="72"/>
          <w:highlight w:val="none"/>
          <w:u w:val="single"/>
          <w14:textFill>
            <w14:solidFill>
              <w14:schemeClr w14:val="tx1"/>
            </w14:solidFill>
          </w14:textFill>
        </w:rPr>
      </w:pPr>
    </w:p>
    <w:p w14:paraId="21FCB512">
      <w:pPr>
        <w:jc w:val="center"/>
        <w:rPr>
          <w:rFonts w:ascii="宋体"/>
          <w:color w:val="000000" w:themeColor="text1"/>
          <w:sz w:val="72"/>
          <w:szCs w:val="72"/>
          <w:highlight w:val="none"/>
          <w:u w:val="single"/>
          <w14:textFill>
            <w14:solidFill>
              <w14:schemeClr w14:val="tx1"/>
            </w14:solidFill>
          </w14:textFill>
        </w:rPr>
      </w:pPr>
    </w:p>
    <w:p w14:paraId="42790619">
      <w:pPr>
        <w:jc w:val="center"/>
        <w:rPr>
          <w:rFonts w:ascii="宋体"/>
          <w:color w:val="000000" w:themeColor="text1"/>
          <w:sz w:val="72"/>
          <w:szCs w:val="72"/>
          <w:highlight w:val="none"/>
          <w:u w:val="single"/>
          <w14:textFill>
            <w14:solidFill>
              <w14:schemeClr w14:val="tx1"/>
            </w14:solidFill>
          </w14:textFill>
        </w:rPr>
      </w:pPr>
    </w:p>
    <w:p w14:paraId="1D8BC26C">
      <w:pPr>
        <w:jc w:val="center"/>
        <w:rPr>
          <w:rFonts w:ascii="宋体"/>
          <w:color w:val="000000" w:themeColor="text1"/>
          <w:sz w:val="72"/>
          <w:szCs w:val="72"/>
          <w:highlight w:val="none"/>
          <w:u w:val="single"/>
          <w14:textFill>
            <w14:solidFill>
              <w14:schemeClr w14:val="tx1"/>
            </w14:solidFill>
          </w14:textFill>
        </w:rPr>
      </w:pPr>
    </w:p>
    <w:p w14:paraId="60200A01">
      <w:pPr>
        <w:jc w:val="center"/>
        <w:rPr>
          <w:rFonts w:ascii="宋体"/>
          <w:color w:val="000000" w:themeColor="text1"/>
          <w:sz w:val="72"/>
          <w:szCs w:val="72"/>
          <w:highlight w:val="none"/>
          <w:u w:val="single"/>
          <w14:textFill>
            <w14:solidFill>
              <w14:schemeClr w14:val="tx1"/>
            </w14:solidFill>
          </w14:textFill>
        </w:rPr>
      </w:pPr>
    </w:p>
    <w:p w14:paraId="2B4CB68D">
      <w:pPr>
        <w:jc w:val="center"/>
        <w:rPr>
          <w:rFonts w:ascii="宋体"/>
          <w:color w:val="000000" w:themeColor="text1"/>
          <w:sz w:val="72"/>
          <w:szCs w:val="72"/>
          <w:highlight w:val="none"/>
          <w14:textFill>
            <w14:solidFill>
              <w14:schemeClr w14:val="tx1"/>
            </w14:solidFill>
          </w14:textFill>
        </w:rPr>
      </w:pPr>
      <w:r>
        <w:rPr>
          <w:rFonts w:hint="eastAsia" w:ascii="宋体" w:hAnsi="宋体"/>
          <w:color w:val="000000" w:themeColor="text1"/>
          <w:sz w:val="72"/>
          <w:szCs w:val="72"/>
          <w:highlight w:val="none"/>
          <w14:textFill>
            <w14:solidFill>
              <w14:schemeClr w14:val="tx1"/>
            </w14:solidFill>
          </w14:textFill>
        </w:rPr>
        <w:t>第</w:t>
      </w:r>
      <w:r>
        <w:rPr>
          <w:rFonts w:ascii="宋体" w:hAnsi="宋体"/>
          <w:color w:val="000000" w:themeColor="text1"/>
          <w:sz w:val="72"/>
          <w:szCs w:val="72"/>
          <w:highlight w:val="none"/>
          <w14:textFill>
            <w14:solidFill>
              <w14:schemeClr w14:val="tx1"/>
            </w14:solidFill>
          </w14:textFill>
        </w:rPr>
        <w:t xml:space="preserve">  </w:t>
      </w:r>
      <w:r>
        <w:rPr>
          <w:rFonts w:hint="eastAsia" w:ascii="宋体" w:hAnsi="宋体"/>
          <w:color w:val="000000" w:themeColor="text1"/>
          <w:sz w:val="72"/>
          <w:szCs w:val="72"/>
          <w:highlight w:val="none"/>
          <w14:textFill>
            <w14:solidFill>
              <w14:schemeClr w14:val="tx1"/>
            </w14:solidFill>
          </w14:textFill>
        </w:rPr>
        <w:t>一</w:t>
      </w:r>
      <w:r>
        <w:rPr>
          <w:rFonts w:ascii="宋体" w:hAnsi="宋体"/>
          <w:color w:val="000000" w:themeColor="text1"/>
          <w:sz w:val="72"/>
          <w:szCs w:val="72"/>
          <w:highlight w:val="none"/>
          <w14:textFill>
            <w14:solidFill>
              <w14:schemeClr w14:val="tx1"/>
            </w14:solidFill>
          </w14:textFill>
        </w:rPr>
        <w:t xml:space="preserve">  </w:t>
      </w:r>
      <w:r>
        <w:rPr>
          <w:rFonts w:hint="eastAsia" w:ascii="宋体" w:hAnsi="宋体"/>
          <w:color w:val="000000" w:themeColor="text1"/>
          <w:sz w:val="72"/>
          <w:szCs w:val="72"/>
          <w:highlight w:val="none"/>
          <w14:textFill>
            <w14:solidFill>
              <w14:schemeClr w14:val="tx1"/>
            </w14:solidFill>
          </w14:textFill>
        </w:rPr>
        <w:t>卷</w:t>
      </w:r>
    </w:p>
    <w:p w14:paraId="226EEA64">
      <w:pPr>
        <w:jc w:val="center"/>
        <w:rPr>
          <w:rFonts w:ascii="宋体"/>
          <w:color w:val="000000" w:themeColor="text1"/>
          <w:sz w:val="72"/>
          <w:szCs w:val="72"/>
          <w:highlight w:val="none"/>
          <w14:textFill>
            <w14:solidFill>
              <w14:schemeClr w14:val="tx1"/>
            </w14:solidFill>
          </w14:textFill>
        </w:rPr>
      </w:pPr>
    </w:p>
    <w:p w14:paraId="3C23891A">
      <w:pPr>
        <w:jc w:val="center"/>
        <w:rPr>
          <w:rFonts w:ascii="宋体"/>
          <w:color w:val="000000" w:themeColor="text1"/>
          <w:sz w:val="72"/>
          <w:szCs w:val="72"/>
          <w:highlight w:val="none"/>
          <w14:textFill>
            <w14:solidFill>
              <w14:schemeClr w14:val="tx1"/>
            </w14:solidFill>
          </w14:textFill>
        </w:rPr>
      </w:pPr>
    </w:p>
    <w:p w14:paraId="1679AF7C">
      <w:pPr>
        <w:jc w:val="center"/>
        <w:rPr>
          <w:rFonts w:ascii="宋体"/>
          <w:color w:val="000000" w:themeColor="text1"/>
          <w:sz w:val="72"/>
          <w:szCs w:val="72"/>
          <w:highlight w:val="none"/>
          <w14:textFill>
            <w14:solidFill>
              <w14:schemeClr w14:val="tx1"/>
            </w14:solidFill>
          </w14:textFill>
        </w:rPr>
      </w:pPr>
    </w:p>
    <w:p w14:paraId="3300E633">
      <w:pPr>
        <w:jc w:val="center"/>
        <w:rPr>
          <w:rFonts w:ascii="宋体"/>
          <w:color w:val="000000" w:themeColor="text1"/>
          <w:sz w:val="72"/>
          <w:szCs w:val="72"/>
          <w:highlight w:val="none"/>
          <w14:textFill>
            <w14:solidFill>
              <w14:schemeClr w14:val="tx1"/>
            </w14:solidFill>
          </w14:textFill>
        </w:rPr>
      </w:pPr>
    </w:p>
    <w:p w14:paraId="40D79E06">
      <w:pPr>
        <w:jc w:val="center"/>
        <w:rPr>
          <w:rFonts w:ascii="宋体"/>
          <w:color w:val="000000" w:themeColor="text1"/>
          <w:sz w:val="72"/>
          <w:szCs w:val="72"/>
          <w:highlight w:val="none"/>
          <w14:textFill>
            <w14:solidFill>
              <w14:schemeClr w14:val="tx1"/>
            </w14:solidFill>
          </w14:textFill>
        </w:rPr>
      </w:pPr>
    </w:p>
    <w:p w14:paraId="5E32E6B5">
      <w:pPr>
        <w:jc w:val="center"/>
        <w:rPr>
          <w:rFonts w:ascii="宋体"/>
          <w:color w:val="000000" w:themeColor="text1"/>
          <w:sz w:val="72"/>
          <w:szCs w:val="72"/>
          <w:highlight w:val="none"/>
          <w14:textFill>
            <w14:solidFill>
              <w14:schemeClr w14:val="tx1"/>
            </w14:solidFill>
          </w14:textFill>
        </w:rPr>
      </w:pPr>
    </w:p>
    <w:p w14:paraId="318EB3E4">
      <w:pPr>
        <w:jc w:val="center"/>
        <w:rPr>
          <w:rFonts w:ascii="宋体"/>
          <w:color w:val="000000" w:themeColor="text1"/>
          <w:sz w:val="72"/>
          <w:szCs w:val="72"/>
          <w:highlight w:val="none"/>
          <w14:textFill>
            <w14:solidFill>
              <w14:schemeClr w14:val="tx1"/>
            </w14:solidFill>
          </w14:textFill>
        </w:rPr>
      </w:pPr>
    </w:p>
    <w:p w14:paraId="46DD3130">
      <w:pPr>
        <w:jc w:val="center"/>
        <w:rPr>
          <w:rFonts w:ascii="宋体"/>
          <w:color w:val="000000" w:themeColor="text1"/>
          <w:sz w:val="72"/>
          <w:szCs w:val="72"/>
          <w:highlight w:val="none"/>
          <w:u w:val="single"/>
          <w14:textFill>
            <w14:solidFill>
              <w14:schemeClr w14:val="tx1"/>
            </w14:solidFill>
          </w14:textFill>
        </w:rPr>
      </w:pPr>
    </w:p>
    <w:p w14:paraId="74C683D6">
      <w:pPr>
        <w:jc w:val="center"/>
        <w:rPr>
          <w:rFonts w:ascii="宋体"/>
          <w:color w:val="000000" w:themeColor="text1"/>
          <w:sz w:val="72"/>
          <w:szCs w:val="72"/>
          <w:highlight w:val="none"/>
          <w:u w:val="single"/>
          <w14:textFill>
            <w14:solidFill>
              <w14:schemeClr w14:val="tx1"/>
            </w14:solidFill>
          </w14:textFill>
        </w:rPr>
      </w:pPr>
    </w:p>
    <w:p w14:paraId="57413F9C">
      <w:pPr>
        <w:jc w:val="center"/>
        <w:rPr>
          <w:rFonts w:ascii="宋体"/>
          <w:color w:val="000000" w:themeColor="text1"/>
          <w:sz w:val="72"/>
          <w:szCs w:val="72"/>
          <w:highlight w:val="none"/>
          <w:u w:val="single"/>
          <w14:textFill>
            <w14:solidFill>
              <w14:schemeClr w14:val="tx1"/>
            </w14:solidFill>
          </w14:textFill>
        </w:rPr>
      </w:pPr>
    </w:p>
    <w:p w14:paraId="106E3FCB">
      <w:pPr>
        <w:jc w:val="center"/>
        <w:rPr>
          <w:rFonts w:ascii="宋体"/>
          <w:color w:val="000000" w:themeColor="text1"/>
          <w:sz w:val="72"/>
          <w:szCs w:val="72"/>
          <w:highlight w:val="none"/>
          <w:u w:val="single"/>
          <w14:textFill>
            <w14:solidFill>
              <w14:schemeClr w14:val="tx1"/>
            </w14:solidFill>
          </w14:textFill>
        </w:rPr>
      </w:pPr>
    </w:p>
    <w:p w14:paraId="5995A5A9">
      <w:pPr>
        <w:jc w:val="center"/>
        <w:rPr>
          <w:rFonts w:ascii="宋体"/>
          <w:color w:val="000000" w:themeColor="text1"/>
          <w:sz w:val="72"/>
          <w:szCs w:val="72"/>
          <w:highlight w:val="none"/>
          <w:u w:val="single"/>
          <w14:textFill>
            <w14:solidFill>
              <w14:schemeClr w14:val="tx1"/>
            </w14:solidFill>
          </w14:textFill>
        </w:rPr>
      </w:pPr>
    </w:p>
    <w:p w14:paraId="355D1D6A">
      <w:pPr>
        <w:jc w:val="center"/>
        <w:rPr>
          <w:rFonts w:ascii="宋体"/>
          <w:color w:val="000000" w:themeColor="text1"/>
          <w:sz w:val="72"/>
          <w:szCs w:val="72"/>
          <w:highlight w:val="none"/>
          <w:u w:val="single"/>
          <w14:textFill>
            <w14:solidFill>
              <w14:schemeClr w14:val="tx1"/>
            </w14:solidFill>
          </w14:textFill>
        </w:rPr>
      </w:pPr>
    </w:p>
    <w:p w14:paraId="7049BD0F">
      <w:pPr>
        <w:jc w:val="center"/>
        <w:rPr>
          <w:rFonts w:ascii="宋体"/>
          <w:color w:val="000000" w:themeColor="text1"/>
          <w:sz w:val="72"/>
          <w:szCs w:val="72"/>
          <w:highlight w:val="none"/>
          <w:u w:val="single"/>
          <w14:textFill>
            <w14:solidFill>
              <w14:schemeClr w14:val="tx1"/>
            </w14:solidFill>
          </w14:textFill>
        </w:rPr>
      </w:pPr>
    </w:p>
    <w:p w14:paraId="11EF0D43">
      <w:pPr>
        <w:jc w:val="center"/>
        <w:rPr>
          <w:rFonts w:asci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第一章</w:t>
      </w:r>
      <w:r>
        <w:rPr>
          <w:rFonts w:ascii="宋体" w:hAnsi="宋体"/>
          <w:color w:val="000000" w:themeColor="text1"/>
          <w:sz w:val="52"/>
          <w:szCs w:val="52"/>
          <w:highlight w:val="none"/>
          <w14:textFill>
            <w14:solidFill>
              <w14:schemeClr w14:val="tx1"/>
            </w14:solidFill>
          </w14:textFill>
        </w:rPr>
        <w:t xml:space="preserve">  </w:t>
      </w:r>
      <w:r>
        <w:rPr>
          <w:rFonts w:hint="eastAsia" w:ascii="宋体" w:hAnsi="宋体"/>
          <w:color w:val="000000" w:themeColor="text1"/>
          <w:sz w:val="52"/>
          <w:szCs w:val="52"/>
          <w:highlight w:val="none"/>
          <w14:textFill>
            <w14:solidFill>
              <w14:schemeClr w14:val="tx1"/>
            </w14:solidFill>
          </w14:textFill>
        </w:rPr>
        <w:t>招标公告</w:t>
      </w:r>
    </w:p>
    <w:p w14:paraId="65AA334F">
      <w:pPr>
        <w:jc w:val="center"/>
        <w:rPr>
          <w:rFonts w:ascii="宋体"/>
          <w:color w:val="000000" w:themeColor="text1"/>
          <w:sz w:val="72"/>
          <w:szCs w:val="72"/>
          <w:highlight w:val="none"/>
          <w14:textFill>
            <w14:solidFill>
              <w14:schemeClr w14:val="tx1"/>
            </w14:solidFill>
          </w14:textFill>
        </w:rPr>
      </w:pPr>
    </w:p>
    <w:p w14:paraId="08B9D887">
      <w:pPr>
        <w:jc w:val="center"/>
        <w:rPr>
          <w:rFonts w:ascii="宋体"/>
          <w:color w:val="000000" w:themeColor="text1"/>
          <w:sz w:val="72"/>
          <w:szCs w:val="72"/>
          <w:highlight w:val="none"/>
          <w14:textFill>
            <w14:solidFill>
              <w14:schemeClr w14:val="tx1"/>
            </w14:solidFill>
          </w14:textFill>
        </w:rPr>
      </w:pPr>
    </w:p>
    <w:p w14:paraId="27A967D4">
      <w:pPr>
        <w:jc w:val="center"/>
        <w:rPr>
          <w:rFonts w:ascii="宋体"/>
          <w:color w:val="000000" w:themeColor="text1"/>
          <w:sz w:val="72"/>
          <w:szCs w:val="72"/>
          <w:highlight w:val="none"/>
          <w14:textFill>
            <w14:solidFill>
              <w14:schemeClr w14:val="tx1"/>
            </w14:solidFill>
          </w14:textFill>
        </w:rPr>
      </w:pPr>
    </w:p>
    <w:p w14:paraId="3E7A4420">
      <w:pPr>
        <w:jc w:val="center"/>
        <w:rPr>
          <w:rFonts w:ascii="宋体"/>
          <w:color w:val="000000" w:themeColor="text1"/>
          <w:sz w:val="72"/>
          <w:szCs w:val="72"/>
          <w:highlight w:val="none"/>
          <w14:textFill>
            <w14:solidFill>
              <w14:schemeClr w14:val="tx1"/>
            </w14:solidFill>
          </w14:textFill>
        </w:rPr>
      </w:pPr>
    </w:p>
    <w:p w14:paraId="68CD633E">
      <w:pPr>
        <w:jc w:val="center"/>
        <w:rPr>
          <w:rFonts w:ascii="宋体"/>
          <w:color w:val="000000" w:themeColor="text1"/>
          <w:sz w:val="72"/>
          <w:szCs w:val="72"/>
          <w:highlight w:val="none"/>
          <w14:textFill>
            <w14:solidFill>
              <w14:schemeClr w14:val="tx1"/>
            </w14:solidFill>
          </w14:textFill>
        </w:rPr>
      </w:pPr>
    </w:p>
    <w:p w14:paraId="718DF071">
      <w:pPr>
        <w:jc w:val="center"/>
        <w:rPr>
          <w:rFonts w:ascii="宋体"/>
          <w:color w:val="000000" w:themeColor="text1"/>
          <w:sz w:val="72"/>
          <w:szCs w:val="72"/>
          <w:highlight w:val="none"/>
          <w14:textFill>
            <w14:solidFill>
              <w14:schemeClr w14:val="tx1"/>
            </w14:solidFill>
          </w14:textFill>
        </w:rPr>
      </w:pPr>
    </w:p>
    <w:p w14:paraId="4122B3E7">
      <w:pPr>
        <w:jc w:val="center"/>
        <w:rPr>
          <w:rFonts w:ascii="宋体"/>
          <w:color w:val="000000" w:themeColor="text1"/>
          <w:sz w:val="72"/>
          <w:szCs w:val="72"/>
          <w:highlight w:val="none"/>
          <w14:textFill>
            <w14:solidFill>
              <w14:schemeClr w14:val="tx1"/>
            </w14:solidFill>
          </w14:textFill>
        </w:rPr>
      </w:pPr>
    </w:p>
    <w:p w14:paraId="7A228407">
      <w:pPr>
        <w:pStyle w:val="4"/>
        <w:numPr>
          <w:ilvl w:val="0"/>
          <w:numId w:val="2"/>
        </w:numPr>
        <w:adjustRightInd w:val="0"/>
        <w:snapToGrid w:val="0"/>
        <w:spacing w:before="120" w:line="240" w:lineRule="auto"/>
        <w:jc w:val="center"/>
        <w:rPr>
          <w:rFonts w:ascii="宋体"/>
          <w:color w:val="000000" w:themeColor="text1"/>
          <w:sz w:val="36"/>
          <w:highlight w:val="none"/>
          <w14:textFill>
            <w14:solidFill>
              <w14:schemeClr w14:val="tx1"/>
            </w14:solidFill>
          </w14:textFill>
        </w:rPr>
        <w:sectPr>
          <w:footerReference r:id="rId11" w:type="default"/>
          <w:pgSz w:w="11910" w:h="16840"/>
          <w:pgMar w:top="941" w:right="720" w:bottom="1179" w:left="980" w:header="707" w:footer="998" w:gutter="0"/>
          <w:pgNumType w:start="1"/>
          <w:cols w:space="720" w:num="1"/>
        </w:sectPr>
      </w:pPr>
    </w:p>
    <w:p w14:paraId="22C39DDA">
      <w:pPr>
        <w:pStyle w:val="4"/>
        <w:numPr>
          <w:ilvl w:val="0"/>
          <w:numId w:val="2"/>
        </w:numPr>
        <w:adjustRightInd w:val="0"/>
        <w:snapToGrid w:val="0"/>
        <w:spacing w:before="120" w:after="100" w:line="240" w:lineRule="auto"/>
        <w:jc w:val="center"/>
        <w:rPr>
          <w:rFonts w:ascii="宋体"/>
          <w:color w:val="000000" w:themeColor="text1"/>
          <w:sz w:val="36"/>
          <w:highlight w:val="none"/>
          <w14:textFill>
            <w14:solidFill>
              <w14:schemeClr w14:val="tx1"/>
            </w14:solidFill>
          </w14:textFill>
        </w:rPr>
      </w:pPr>
      <w:r>
        <w:rPr>
          <w:rFonts w:ascii="宋体" w:hAnsi="宋体"/>
          <w:color w:val="000000" w:themeColor="text1"/>
          <w:sz w:val="36"/>
          <w:highlight w:val="none"/>
          <w14:textFill>
            <w14:solidFill>
              <w14:schemeClr w14:val="tx1"/>
            </w14:solidFill>
          </w14:textFill>
        </w:rPr>
        <w:t xml:space="preserve"> </w:t>
      </w:r>
      <w:bookmarkStart w:id="0" w:name="_Toc11768"/>
      <w:bookmarkStart w:id="1" w:name="_Toc27186"/>
      <w:r>
        <w:rPr>
          <w:rFonts w:hint="eastAsia" w:ascii="宋体" w:hAnsi="宋体"/>
          <w:color w:val="000000" w:themeColor="text1"/>
          <w:sz w:val="36"/>
          <w:highlight w:val="none"/>
          <w14:textFill>
            <w14:solidFill>
              <w14:schemeClr w14:val="tx1"/>
            </w14:solidFill>
          </w14:textFill>
        </w:rPr>
        <w:t>招标公告</w:t>
      </w:r>
      <w:bookmarkEnd w:id="0"/>
      <w:bookmarkEnd w:id="1"/>
    </w:p>
    <w:p w14:paraId="53D5B208">
      <w:pPr>
        <w:pStyle w:val="108"/>
        <w:rPr>
          <w:rFonts w:hint="eastAsia" w:cs="宋体"/>
          <w:color w:val="000000" w:themeColor="text1"/>
          <w:szCs w:val="28"/>
          <w:highlight w:val="none"/>
          <w14:textFill>
            <w14:solidFill>
              <w14:schemeClr w14:val="tx1"/>
            </w14:solidFill>
          </w14:textFill>
        </w:rPr>
      </w:pPr>
      <w:bookmarkStart w:id="2" w:name="_Toc424739344"/>
      <w:bookmarkStart w:id="3" w:name="OLE_LINK6"/>
      <w:r>
        <w:rPr>
          <w:rFonts w:hint="eastAsia" w:cs="宋体"/>
          <w:color w:val="000000" w:themeColor="text1"/>
          <w:sz w:val="36"/>
          <w:szCs w:val="36"/>
          <w:highlight w:val="none"/>
          <w:lang w:eastAsia="zh-CN"/>
          <w14:textFill>
            <w14:solidFill>
              <w14:schemeClr w14:val="tx1"/>
            </w14:solidFill>
          </w14:textFill>
        </w:rPr>
        <w:t>桂头镇仙湖工业园规划路新建工程</w:t>
      </w:r>
      <w:r>
        <w:rPr>
          <w:rFonts w:hint="eastAsia" w:cs="宋体"/>
          <w:color w:val="000000" w:themeColor="text1"/>
          <w:sz w:val="36"/>
          <w:szCs w:val="36"/>
          <w:highlight w:val="none"/>
          <w14:textFill>
            <w14:solidFill>
              <w14:schemeClr w14:val="tx1"/>
            </w14:solidFill>
          </w14:textFill>
        </w:rPr>
        <w:t>施工招标公告</w:t>
      </w:r>
    </w:p>
    <w:tbl>
      <w:tblPr>
        <w:tblStyle w:val="45"/>
        <w:tblW w:w="10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2249"/>
        <w:gridCol w:w="1455"/>
        <w:gridCol w:w="1019"/>
        <w:gridCol w:w="3856"/>
      </w:tblGrid>
      <w:tr w14:paraId="314B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18" w:type="dxa"/>
            <w:vAlign w:val="center"/>
          </w:tcPr>
          <w:p w14:paraId="45E286C1">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bookmarkStart w:id="4" w:name="_Toc30127"/>
            <w:r>
              <w:rPr>
                <w:rFonts w:hint="eastAsia" w:ascii="宋体" w:hAnsi="宋体" w:cs="宋体"/>
                <w:b/>
                <w:bCs/>
                <w:color w:val="000000" w:themeColor="text1"/>
                <w:kern w:val="0"/>
                <w:sz w:val="20"/>
                <w:szCs w:val="20"/>
                <w:highlight w:val="none"/>
                <w:lang w:bidi="ar"/>
                <w14:textFill>
                  <w14:solidFill>
                    <w14:schemeClr w14:val="tx1"/>
                  </w14:solidFill>
                </w14:textFill>
              </w:rPr>
              <w:t>投资项目代码</w:t>
            </w:r>
          </w:p>
        </w:tc>
        <w:tc>
          <w:tcPr>
            <w:tcW w:w="8579" w:type="dxa"/>
            <w:gridSpan w:val="4"/>
            <w:vAlign w:val="center"/>
          </w:tcPr>
          <w:p w14:paraId="5DCC7842">
            <w:pPr>
              <w:widowControl/>
              <w:adjustRightInd w:val="0"/>
              <w:snapToGrid w:val="0"/>
              <w:spacing w:line="288" w:lineRule="auto"/>
              <w:jc w:val="center"/>
              <w:textAlignment w:val="center"/>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cs="宋体"/>
                <w:color w:val="000000" w:themeColor="text1"/>
                <w:sz w:val="20"/>
                <w:szCs w:val="20"/>
                <w:highlight w:val="none"/>
                <w:lang w:eastAsia="zh-CN"/>
                <w14:textFill>
                  <w14:solidFill>
                    <w14:schemeClr w14:val="tx1"/>
                  </w14:solidFill>
                </w14:textFill>
              </w:rPr>
              <w:t>2511-440232-04-01-990289</w:t>
            </w:r>
          </w:p>
        </w:tc>
      </w:tr>
      <w:tr w14:paraId="492A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118" w:type="dxa"/>
            <w:vAlign w:val="center"/>
          </w:tcPr>
          <w:p w14:paraId="497FAB8A">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投资项目名称</w:t>
            </w:r>
          </w:p>
        </w:tc>
        <w:tc>
          <w:tcPr>
            <w:tcW w:w="8579" w:type="dxa"/>
            <w:gridSpan w:val="4"/>
            <w:vAlign w:val="center"/>
          </w:tcPr>
          <w:p w14:paraId="043535A2">
            <w:pPr>
              <w:widowControl/>
              <w:adjustRightInd w:val="0"/>
              <w:snapToGrid w:val="0"/>
              <w:spacing w:line="288" w:lineRule="auto"/>
              <w:jc w:val="center"/>
              <w:textAlignment w:val="center"/>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cs="宋体"/>
                <w:color w:val="000000" w:themeColor="text1"/>
                <w:sz w:val="20"/>
                <w:szCs w:val="20"/>
                <w:highlight w:val="none"/>
                <w:lang w:eastAsia="zh-CN"/>
                <w14:textFill>
                  <w14:solidFill>
                    <w14:schemeClr w14:val="tx1"/>
                  </w14:solidFill>
                </w14:textFill>
              </w:rPr>
              <w:t>桂头镇仙湖工业园规划路新建工程</w:t>
            </w:r>
          </w:p>
        </w:tc>
      </w:tr>
      <w:tr w14:paraId="28AD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118" w:type="dxa"/>
            <w:vAlign w:val="center"/>
          </w:tcPr>
          <w:p w14:paraId="34D750AA">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招标项目名称</w:t>
            </w:r>
          </w:p>
        </w:tc>
        <w:tc>
          <w:tcPr>
            <w:tcW w:w="8579" w:type="dxa"/>
            <w:gridSpan w:val="4"/>
            <w:vAlign w:val="center"/>
          </w:tcPr>
          <w:p w14:paraId="72C31E7C">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lang w:eastAsia="zh-CN"/>
                <w14:textFill>
                  <w14:solidFill>
                    <w14:schemeClr w14:val="tx1"/>
                  </w14:solidFill>
                </w14:textFill>
              </w:rPr>
              <w:t>桂头镇仙湖工业园规划路新建工程</w:t>
            </w:r>
            <w:r>
              <w:rPr>
                <w:rFonts w:hint="eastAsia" w:ascii="宋体" w:hAnsi="宋体" w:cs="宋体"/>
                <w:color w:val="000000" w:themeColor="text1"/>
                <w:sz w:val="20"/>
                <w:szCs w:val="20"/>
                <w:highlight w:val="none"/>
                <w14:textFill>
                  <w14:solidFill>
                    <w14:schemeClr w14:val="tx1"/>
                  </w14:solidFill>
                </w14:textFill>
              </w:rPr>
              <w:t>施工</w:t>
            </w:r>
          </w:p>
        </w:tc>
      </w:tr>
      <w:tr w14:paraId="7213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18" w:type="dxa"/>
            <w:vAlign w:val="center"/>
          </w:tcPr>
          <w:p w14:paraId="3E97918E">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标段（包）名称</w:t>
            </w:r>
          </w:p>
        </w:tc>
        <w:tc>
          <w:tcPr>
            <w:tcW w:w="2249" w:type="dxa"/>
            <w:vAlign w:val="center"/>
          </w:tcPr>
          <w:p w14:paraId="683E5851">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lang w:eastAsia="zh-CN"/>
                <w14:textFill>
                  <w14:solidFill>
                    <w14:schemeClr w14:val="tx1"/>
                  </w14:solidFill>
                </w14:textFill>
              </w:rPr>
              <w:t>桂头镇仙湖工业园规划路新建工程</w:t>
            </w:r>
            <w:r>
              <w:rPr>
                <w:rFonts w:hint="eastAsia" w:ascii="宋体" w:hAnsi="宋体" w:cs="宋体"/>
                <w:color w:val="000000" w:themeColor="text1"/>
                <w:sz w:val="20"/>
                <w:szCs w:val="20"/>
                <w:highlight w:val="none"/>
                <w14:textFill>
                  <w14:solidFill>
                    <w14:schemeClr w14:val="tx1"/>
                  </w14:solidFill>
                </w14:textFill>
              </w:rPr>
              <w:t>施工</w:t>
            </w:r>
          </w:p>
        </w:tc>
        <w:tc>
          <w:tcPr>
            <w:tcW w:w="1455" w:type="dxa"/>
            <w:vAlign w:val="center"/>
          </w:tcPr>
          <w:p w14:paraId="79420F42">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公告性质</w:t>
            </w:r>
          </w:p>
        </w:tc>
        <w:tc>
          <w:tcPr>
            <w:tcW w:w="4875" w:type="dxa"/>
            <w:gridSpan w:val="2"/>
            <w:vAlign w:val="center"/>
          </w:tcPr>
          <w:p w14:paraId="6E3135CD">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正常</w:t>
            </w:r>
          </w:p>
        </w:tc>
      </w:tr>
      <w:tr w14:paraId="7BE2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8" w:type="dxa"/>
            <w:vAlign w:val="center"/>
          </w:tcPr>
          <w:p w14:paraId="22764249">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资格审查方式</w:t>
            </w:r>
          </w:p>
        </w:tc>
        <w:tc>
          <w:tcPr>
            <w:tcW w:w="8579" w:type="dxa"/>
            <w:gridSpan w:val="4"/>
            <w:vAlign w:val="center"/>
          </w:tcPr>
          <w:p w14:paraId="054DB412">
            <w:pPr>
              <w:widowControl/>
              <w:adjustRightInd w:val="0"/>
              <w:snapToGrid w:val="0"/>
              <w:spacing w:line="288"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资格后审</w:t>
            </w:r>
          </w:p>
        </w:tc>
      </w:tr>
      <w:tr w14:paraId="4C2F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118" w:type="dxa"/>
            <w:vAlign w:val="center"/>
          </w:tcPr>
          <w:p w14:paraId="0BCF6252">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招标项目实施</w:t>
            </w:r>
          </w:p>
          <w:p w14:paraId="7525A725">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（交货）地点</w:t>
            </w:r>
          </w:p>
        </w:tc>
        <w:tc>
          <w:tcPr>
            <w:tcW w:w="8579" w:type="dxa"/>
            <w:gridSpan w:val="4"/>
            <w:vAlign w:val="center"/>
          </w:tcPr>
          <w:p w14:paraId="7E3C5629">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韶关市乳源瑶族自治县</w:t>
            </w:r>
            <w:r>
              <w:rPr>
                <w:rFonts w:hint="eastAsia" w:ascii="宋体" w:hAnsi="宋体" w:cs="宋体"/>
                <w:color w:val="000000" w:themeColor="text1"/>
                <w:sz w:val="20"/>
                <w:szCs w:val="20"/>
                <w:highlight w:val="none"/>
                <w:lang w:val="en-US" w:eastAsia="zh-CN"/>
                <w14:textFill>
                  <w14:solidFill>
                    <w14:schemeClr w14:val="tx1"/>
                  </w14:solidFill>
                </w14:textFill>
              </w:rPr>
              <w:t>桂头镇</w:t>
            </w:r>
          </w:p>
        </w:tc>
      </w:tr>
      <w:tr w14:paraId="7211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7C63354B">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资金来源</w:t>
            </w:r>
          </w:p>
        </w:tc>
        <w:tc>
          <w:tcPr>
            <w:tcW w:w="2249" w:type="dxa"/>
            <w:vAlign w:val="center"/>
          </w:tcPr>
          <w:p w14:paraId="0FB8F994">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lang w:val="en-US" w:eastAsia="zh-CN"/>
                <w14:textFill>
                  <w14:solidFill>
                    <w14:schemeClr w14:val="tx1"/>
                  </w14:solidFill>
                </w14:textFill>
              </w:rPr>
              <w:t>中央、省级补助资金、地方政府专项债券及县财政资金</w:t>
            </w:r>
          </w:p>
        </w:tc>
        <w:tc>
          <w:tcPr>
            <w:tcW w:w="1455" w:type="dxa"/>
            <w:vAlign w:val="center"/>
          </w:tcPr>
          <w:p w14:paraId="4A2E6C90">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资金来源构成</w:t>
            </w:r>
          </w:p>
        </w:tc>
        <w:tc>
          <w:tcPr>
            <w:tcW w:w="4875" w:type="dxa"/>
            <w:gridSpan w:val="2"/>
            <w:vAlign w:val="center"/>
          </w:tcPr>
          <w:p w14:paraId="2A2587A2">
            <w:pPr>
              <w:widowControl/>
              <w:adjustRightInd w:val="0"/>
              <w:snapToGrid w:val="0"/>
              <w:spacing w:line="288" w:lineRule="auto"/>
              <w:jc w:val="center"/>
              <w:textAlignment w:val="center"/>
              <w:rPr>
                <w:rFonts w:hint="default" w:ascii="宋体" w:hAnsi="宋体" w:cs="宋体"/>
                <w:color w:val="000000" w:themeColor="text1"/>
                <w:sz w:val="20"/>
                <w:szCs w:val="20"/>
                <w:highlight w:val="none"/>
                <w:lang w:val="en-US"/>
                <w14:textFill>
                  <w14:solidFill>
                    <w14:schemeClr w14:val="tx1"/>
                  </w14:solidFill>
                </w14:textFill>
              </w:rPr>
            </w:pPr>
            <w:r>
              <w:rPr>
                <w:rFonts w:hint="eastAsia" w:ascii="宋体" w:hAnsi="宋体" w:cs="宋体"/>
                <w:color w:val="000000" w:themeColor="text1"/>
                <w:sz w:val="20"/>
                <w:szCs w:val="20"/>
                <w:highlight w:val="none"/>
                <w:lang w:val="en-US" w:eastAsia="zh-CN"/>
                <w14:textFill>
                  <w14:solidFill>
                    <w14:schemeClr w14:val="tx1"/>
                  </w14:solidFill>
                </w14:textFill>
              </w:rPr>
              <w:t>中央、省级补助资金、地方政府专项债券及县财政资金，100%</w:t>
            </w:r>
          </w:p>
        </w:tc>
      </w:tr>
      <w:tr w14:paraId="7E9D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549C84A9">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招标范围及规模</w:t>
            </w:r>
          </w:p>
        </w:tc>
        <w:tc>
          <w:tcPr>
            <w:tcW w:w="8579" w:type="dxa"/>
            <w:gridSpan w:val="4"/>
            <w:vAlign w:val="center"/>
          </w:tcPr>
          <w:p w14:paraId="721550A8">
            <w:pPr>
              <w:widowControl/>
              <w:adjustRightInd w:val="0"/>
              <w:snapToGrid w:val="0"/>
              <w:spacing w:line="288" w:lineRule="auto"/>
              <w:jc w:val="left"/>
              <w:textAlignment w:val="center"/>
              <w:rPr>
                <w:rFonts w:hint="default" w:ascii="宋体" w:hAnsi="宋体" w:cs="宋体"/>
                <w:color w:val="000000" w:themeColor="text1"/>
                <w:sz w:val="20"/>
                <w:szCs w:val="20"/>
                <w:highlight w:val="none"/>
                <w:lang w:val="en-US"/>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1.建设地点：</w:t>
            </w:r>
            <w:r>
              <w:rPr>
                <w:rFonts w:hint="eastAsia" w:ascii="宋体" w:hAnsi="宋体" w:cs="宋体"/>
                <w:color w:val="000000" w:themeColor="text1"/>
                <w:sz w:val="20"/>
                <w:szCs w:val="20"/>
                <w:highlight w:val="none"/>
                <w:lang w:val="en-US" w:eastAsia="zh-CN"/>
                <w14:textFill>
                  <w14:solidFill>
                    <w14:schemeClr w14:val="tx1"/>
                  </w14:solidFill>
                </w14:textFill>
              </w:rPr>
              <w:t>韶关市乳源瑶族自治县桂头镇，起点与省道S250线平交，起点桩号为K0+000，路线沿乡道Y821线向东南方向布设，于松围村委会左转，沿仙湖工业园边界往东北方向延伸，途经莫家村右侧后，终点接顺新建桂头大桥，</w:t>
            </w:r>
            <w:r>
              <w:rPr>
                <w:rFonts w:hint="eastAsia" w:ascii="宋体" w:hAnsi="宋体" w:cs="宋体"/>
                <w:color w:val="000000" w:themeColor="text1"/>
                <w:sz w:val="20"/>
                <w:szCs w:val="20"/>
                <w:highlight w:val="none"/>
                <w14:textFill>
                  <w14:solidFill>
                    <w14:schemeClr w14:val="tx1"/>
                  </w14:solidFill>
                </w14:textFill>
              </w:rPr>
              <w:t>终点桩号为K2+</w:t>
            </w:r>
            <w:r>
              <w:rPr>
                <w:rFonts w:hint="eastAsia" w:ascii="宋体" w:hAnsi="宋体" w:cs="宋体"/>
                <w:color w:val="000000" w:themeColor="text1"/>
                <w:sz w:val="20"/>
                <w:szCs w:val="20"/>
                <w:highlight w:val="none"/>
                <w:lang w:val="en-US" w:eastAsia="zh-CN"/>
                <w14:textFill>
                  <w14:solidFill>
                    <w14:schemeClr w14:val="tx1"/>
                  </w14:solidFill>
                </w14:textFill>
              </w:rPr>
              <w:t>141.594。</w:t>
            </w:r>
          </w:p>
          <w:p w14:paraId="12D0C17D">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2.建设内容及规模：本项目路线全长约</w:t>
            </w:r>
            <w:r>
              <w:rPr>
                <w:rFonts w:hint="eastAsia" w:ascii="宋体" w:hAnsi="宋体" w:cs="宋体"/>
                <w:color w:val="000000" w:themeColor="text1"/>
                <w:sz w:val="20"/>
                <w:szCs w:val="20"/>
                <w:highlight w:val="none"/>
                <w:lang w:val="en-US" w:eastAsia="zh-CN"/>
                <w14:textFill>
                  <w14:solidFill>
                    <w14:schemeClr w14:val="tx1"/>
                  </w14:solidFill>
                </w14:textFill>
              </w:rPr>
              <w:t>2.142</w:t>
            </w:r>
            <w:r>
              <w:rPr>
                <w:rFonts w:hint="eastAsia" w:ascii="宋体" w:hAnsi="宋体" w:cs="宋体"/>
                <w:color w:val="000000" w:themeColor="text1"/>
                <w:sz w:val="20"/>
                <w:szCs w:val="20"/>
                <w:highlight w:val="none"/>
                <w14:textFill>
                  <w14:solidFill>
                    <w14:schemeClr w14:val="tx1"/>
                  </w14:solidFill>
                </w14:textFill>
              </w:rPr>
              <w:t>公里，采用二级公路兼城市道路功能的技术标准，双向四车道，设计速度为40千米每小时，路基宽度20米，路面宽度16.25米。本项目起点与省道250线平交，起点桩号为K0+000，终点接顺新建桂头大桥，终点桩号为K2+</w:t>
            </w:r>
            <w:r>
              <w:rPr>
                <w:rFonts w:hint="eastAsia" w:ascii="宋体" w:hAnsi="宋体" w:cs="宋体"/>
                <w:color w:val="000000" w:themeColor="text1"/>
                <w:sz w:val="20"/>
                <w:szCs w:val="20"/>
                <w:highlight w:val="none"/>
                <w:lang w:val="en-US" w:eastAsia="zh-CN"/>
                <w14:textFill>
                  <w14:solidFill>
                    <w14:schemeClr w14:val="tx1"/>
                  </w14:solidFill>
                </w14:textFill>
              </w:rPr>
              <w:t>141.594</w:t>
            </w:r>
            <w:r>
              <w:rPr>
                <w:rFonts w:hint="eastAsia" w:ascii="宋体" w:hAnsi="宋体" w:cs="宋体"/>
                <w:color w:val="000000" w:themeColor="text1"/>
                <w:sz w:val="20"/>
                <w:szCs w:val="20"/>
                <w:highlight w:val="none"/>
                <w14:textFill>
                  <w14:solidFill>
                    <w14:schemeClr w14:val="tx1"/>
                  </w14:solidFill>
                </w14:textFill>
              </w:rPr>
              <w:t>。建设内</w:t>
            </w:r>
          </w:p>
          <w:p w14:paraId="01A9D383">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容包括新建混凝土路面，新建左侧人行道和照明设施，完善道路沿线的管道排水设施和路基防护，完善沿线公路的标志、标线、标牌及相关交通安全设施等。</w:t>
            </w:r>
          </w:p>
          <w:p w14:paraId="7BF58C51">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3.招标范围：本项目施工图设计和工程量清单范围内的工程施工。</w:t>
            </w:r>
          </w:p>
          <w:p w14:paraId="3B7B10A2">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4.工程投资：</w:t>
            </w:r>
            <w:r>
              <w:rPr>
                <w:rFonts w:hint="eastAsia" w:ascii="宋体" w:hAnsi="宋体" w:cs="宋体"/>
                <w:color w:val="000000" w:themeColor="text1"/>
                <w:sz w:val="20"/>
                <w:szCs w:val="20"/>
                <w:highlight w:val="none"/>
                <w:lang w:val="en-US" w:eastAsia="zh-CN"/>
                <w14:textFill>
                  <w14:solidFill>
                    <w14:schemeClr w14:val="tx1"/>
                  </w14:solidFill>
                </w14:textFill>
              </w:rPr>
              <w:t>总投资为8442.78万元</w:t>
            </w:r>
            <w:r>
              <w:rPr>
                <w:rFonts w:hint="eastAsia" w:ascii="宋体" w:hAnsi="宋体" w:cs="宋体"/>
                <w:color w:val="000000" w:themeColor="text1"/>
                <w:sz w:val="20"/>
                <w:szCs w:val="20"/>
                <w:highlight w:val="none"/>
                <w14:textFill>
                  <w14:solidFill>
                    <w14:schemeClr w14:val="tx1"/>
                  </w14:solidFill>
                </w14:textFill>
              </w:rPr>
              <w:t>。</w:t>
            </w:r>
          </w:p>
        </w:tc>
      </w:tr>
      <w:tr w14:paraId="52B1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18" w:type="dxa"/>
            <w:vAlign w:val="center"/>
          </w:tcPr>
          <w:p w14:paraId="3CCD2502">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招标内容</w:t>
            </w:r>
          </w:p>
        </w:tc>
        <w:tc>
          <w:tcPr>
            <w:tcW w:w="8579" w:type="dxa"/>
            <w:gridSpan w:val="4"/>
            <w:vAlign w:val="center"/>
          </w:tcPr>
          <w:p w14:paraId="7EEFD5F5">
            <w:pPr>
              <w:widowControl/>
              <w:wordWrap w:val="0"/>
              <w:topLinePunct/>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9"/>
                <w:sz w:val="20"/>
                <w:szCs w:val="20"/>
                <w:highlight w:val="none"/>
                <w14:textFill>
                  <w14:solidFill>
                    <w14:schemeClr w14:val="tx1"/>
                  </w14:solidFill>
                </w14:textFill>
              </w:rPr>
              <w:t>本次招标共分</w:t>
            </w:r>
            <w:r>
              <w:rPr>
                <w:rFonts w:hint="eastAsia" w:ascii="宋体" w:hAnsi="宋体" w:cs="宋体"/>
                <w:color w:val="000000" w:themeColor="text1"/>
                <w:spacing w:val="-98"/>
                <w:sz w:val="20"/>
                <w:szCs w:val="20"/>
                <w:highlight w:val="none"/>
                <w14:textFill>
                  <w14:solidFill>
                    <w14:schemeClr w14:val="tx1"/>
                  </w14:solidFill>
                </w14:textFill>
              </w:rPr>
              <w:t xml:space="preserve"> </w:t>
            </w:r>
            <w:r>
              <w:rPr>
                <w:rFonts w:hint="eastAsia" w:ascii="宋体" w:hAnsi="宋体" w:cs="宋体"/>
                <w:color w:val="000000" w:themeColor="text1"/>
                <w:spacing w:val="5"/>
                <w:sz w:val="20"/>
                <w:szCs w:val="20"/>
                <w:highlight w:val="none"/>
                <w:u w:val="single"/>
                <w14:textFill>
                  <w14:solidFill>
                    <w14:schemeClr w14:val="tx1"/>
                  </w14:solidFill>
                </w14:textFill>
              </w:rPr>
              <w:t>1</w:t>
            </w:r>
            <w:r>
              <w:rPr>
                <w:rFonts w:hint="eastAsia" w:ascii="宋体" w:hAnsi="宋体" w:cs="宋体"/>
                <w:color w:val="000000" w:themeColor="text1"/>
                <w:spacing w:val="-90"/>
                <w:sz w:val="20"/>
                <w:szCs w:val="20"/>
                <w:highlight w:val="none"/>
                <w14:textFill>
                  <w14:solidFill>
                    <w14:schemeClr w14:val="tx1"/>
                  </w14:solidFill>
                </w14:textFill>
              </w:rPr>
              <w:t xml:space="preserve"> </w:t>
            </w:r>
            <w:r>
              <w:rPr>
                <w:rFonts w:hint="eastAsia" w:ascii="宋体" w:hAnsi="宋体" w:cs="宋体"/>
                <w:color w:val="000000" w:themeColor="text1"/>
                <w:spacing w:val="9"/>
                <w:sz w:val="20"/>
                <w:szCs w:val="20"/>
                <w:highlight w:val="none"/>
                <w14:textFill>
                  <w14:solidFill>
                    <w14:schemeClr w14:val="tx1"/>
                  </w14:solidFill>
                </w14:textFill>
              </w:rPr>
              <w:t>个标类</w:t>
            </w:r>
            <w:r>
              <w:rPr>
                <w:rFonts w:hint="eastAsia" w:ascii="宋体" w:hAnsi="宋体" w:cs="宋体"/>
                <w:color w:val="000000" w:themeColor="text1"/>
                <w:spacing w:val="9"/>
                <w:sz w:val="20"/>
                <w:szCs w:val="20"/>
                <w:highlight w:val="none"/>
                <w:u w:val="single"/>
                <w14:textFill>
                  <w14:solidFill>
                    <w14:schemeClr w14:val="tx1"/>
                  </w14:solidFill>
                </w14:textFill>
              </w:rPr>
              <w:t xml:space="preserve"> 1</w:t>
            </w:r>
            <w:r>
              <w:rPr>
                <w:rFonts w:hint="eastAsia" w:ascii="宋体" w:hAnsi="宋体" w:cs="宋体"/>
                <w:color w:val="000000" w:themeColor="text1"/>
                <w:spacing w:val="-91"/>
                <w:sz w:val="20"/>
                <w:szCs w:val="20"/>
                <w:highlight w:val="none"/>
                <w14:textFill>
                  <w14:solidFill>
                    <w14:schemeClr w14:val="tx1"/>
                  </w14:solidFill>
                </w14:textFill>
              </w:rPr>
              <w:t xml:space="preserve"> </w:t>
            </w:r>
            <w:r>
              <w:rPr>
                <w:rFonts w:hint="eastAsia" w:ascii="宋体" w:hAnsi="宋体" w:cs="宋体"/>
                <w:color w:val="000000" w:themeColor="text1"/>
                <w:spacing w:val="9"/>
                <w:sz w:val="20"/>
                <w:szCs w:val="20"/>
                <w:highlight w:val="none"/>
                <w14:textFill>
                  <w14:solidFill>
                    <w14:schemeClr w14:val="tx1"/>
                  </w14:solidFill>
                </w14:textFill>
              </w:rPr>
              <w:t>个标段。具体见附件：标段</w:t>
            </w:r>
            <w:r>
              <w:rPr>
                <w:rFonts w:hint="eastAsia" w:ascii="宋体" w:hAnsi="宋体" w:cs="宋体"/>
                <w:color w:val="000000" w:themeColor="text1"/>
                <w:spacing w:val="8"/>
                <w:sz w:val="20"/>
                <w:szCs w:val="20"/>
                <w:highlight w:val="none"/>
                <w14:textFill>
                  <w14:solidFill>
                    <w14:schemeClr w14:val="tx1"/>
                  </w14:solidFill>
                </w14:textFill>
              </w:rPr>
              <w:t>划分及主要工程项目情况。</w:t>
            </w:r>
          </w:p>
        </w:tc>
      </w:tr>
      <w:tr w14:paraId="3C45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18" w:type="dxa"/>
            <w:vAlign w:val="center"/>
          </w:tcPr>
          <w:p w14:paraId="404D4551">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工期（交货期）</w:t>
            </w:r>
          </w:p>
        </w:tc>
        <w:tc>
          <w:tcPr>
            <w:tcW w:w="8579" w:type="dxa"/>
            <w:gridSpan w:val="4"/>
            <w:vAlign w:val="center"/>
          </w:tcPr>
          <w:p w14:paraId="1F38CA4B">
            <w:pPr>
              <w:keepNext w:val="0"/>
              <w:keepLines w:val="0"/>
              <w:pageBreakBefore w:val="0"/>
              <w:kinsoku/>
              <w:wordWrap/>
              <w:overflowPunct/>
              <w:topLinePunct w:val="0"/>
              <w:autoSpaceDE/>
              <w:autoSpaceDN/>
              <w:bidi w:val="0"/>
              <w:adjustRightInd/>
              <w:snapToGrid/>
              <w:spacing w:line="360" w:lineRule="auto"/>
              <w:ind w:left="0" w:leftChars="0" w:right="0" w:firstLine="0" w:firstLineChars="0"/>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计划工期：</w:t>
            </w:r>
            <w:r>
              <w:rPr>
                <w:rFonts w:hint="eastAsia" w:ascii="宋体" w:hAnsi="宋体" w:cs="宋体"/>
                <w:color w:val="000000" w:themeColor="text1"/>
                <w:sz w:val="20"/>
                <w:szCs w:val="20"/>
                <w:highlight w:val="none"/>
                <w:u w:val="single"/>
                <w:lang w:val="en-US" w:eastAsia="zh-CN"/>
                <w14:textFill>
                  <w14:solidFill>
                    <w14:schemeClr w14:val="tx1"/>
                  </w14:solidFill>
                </w14:textFill>
              </w:rPr>
              <w:t>365</w:t>
            </w:r>
            <w:r>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t>日历天</w:t>
            </w:r>
            <w:r>
              <w:rPr>
                <w:rFonts w:hint="eastAsia" w:ascii="宋体" w:hAnsi="宋体" w:eastAsia="宋体" w:cs="宋体"/>
                <w:color w:val="000000" w:themeColor="text1"/>
                <w:sz w:val="20"/>
                <w:szCs w:val="20"/>
                <w:highlight w:val="none"/>
                <w14:textFill>
                  <w14:solidFill>
                    <w14:schemeClr w14:val="tx1"/>
                  </w14:solidFill>
                </w14:textFill>
              </w:rPr>
              <w:t>；</w:t>
            </w:r>
            <w:r>
              <w:rPr>
                <w:rFonts w:hint="eastAsia" w:ascii="宋体" w:hAnsi="宋体" w:eastAsia="宋体" w:cs="宋体"/>
                <w:color w:val="000000" w:themeColor="text1"/>
                <w:sz w:val="20"/>
                <w:szCs w:val="20"/>
                <w:highlight w:val="none"/>
                <w:lang w:eastAsia="zh-CN"/>
                <w14:textFill>
                  <w14:solidFill>
                    <w14:schemeClr w14:val="tx1"/>
                  </w14:solidFill>
                </w14:textFill>
              </w:rPr>
              <w:t>（</w:t>
            </w:r>
            <w:r>
              <w:rPr>
                <w:rFonts w:hint="eastAsia" w:ascii="宋体" w:hAnsi="宋体" w:eastAsia="宋体" w:cs="宋体"/>
                <w:color w:val="000000" w:themeColor="text1"/>
                <w:sz w:val="20"/>
                <w:szCs w:val="20"/>
                <w:highlight w:val="none"/>
                <w14:textFill>
                  <w14:solidFill>
                    <w14:schemeClr w14:val="tx1"/>
                  </w14:solidFill>
                </w14:textFill>
              </w:rPr>
              <w:t>实际开工时间以业主通知或监理签发开工令为准。</w:t>
            </w:r>
            <w:r>
              <w:rPr>
                <w:rFonts w:hint="eastAsia" w:ascii="宋体" w:hAnsi="宋体" w:eastAsia="宋体" w:cs="宋体"/>
                <w:color w:val="000000" w:themeColor="text1"/>
                <w:sz w:val="20"/>
                <w:szCs w:val="20"/>
                <w:highlight w:val="none"/>
                <w:lang w:eastAsia="zh-CN"/>
                <w14:textFill>
                  <w14:solidFill>
                    <w14:schemeClr w14:val="tx1"/>
                  </w14:solidFill>
                </w14:textFill>
              </w:rPr>
              <w:t>）</w:t>
            </w:r>
          </w:p>
          <w:p w14:paraId="08D8CA61">
            <w:pPr>
              <w:keepNext w:val="0"/>
              <w:keepLines w:val="0"/>
              <w:pageBreakBefore w:val="0"/>
              <w:kinsoku/>
              <w:wordWrap/>
              <w:overflowPunct/>
              <w:topLinePunct w:val="0"/>
              <w:autoSpaceDE/>
              <w:autoSpaceDN/>
              <w:bidi w:val="0"/>
              <w:adjustRightInd/>
              <w:snapToGrid/>
              <w:spacing w:line="360" w:lineRule="auto"/>
              <w:ind w:left="0" w:leftChars="0" w:right="0" w:firstLine="0" w:firstLineChars="0"/>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计划开工日期：</w:t>
            </w:r>
            <w:r>
              <w:rPr>
                <w:rFonts w:hint="eastAsia" w:ascii="宋体" w:hAnsi="宋体" w:eastAsia="宋体" w:cs="宋体"/>
                <w:color w:val="000000" w:themeColor="text1"/>
                <w:sz w:val="20"/>
                <w:szCs w:val="20"/>
                <w:highlight w:val="none"/>
                <w:u w:val="single"/>
                <w14:textFill>
                  <w14:solidFill>
                    <w14:schemeClr w14:val="tx1"/>
                  </w14:solidFill>
                </w14:textFill>
              </w:rPr>
              <w:t xml:space="preserve"> / </w:t>
            </w:r>
            <w:r>
              <w:rPr>
                <w:rFonts w:hint="eastAsia" w:ascii="宋体" w:hAnsi="宋体" w:eastAsia="宋体" w:cs="宋体"/>
                <w:color w:val="000000" w:themeColor="text1"/>
                <w:sz w:val="20"/>
                <w:szCs w:val="20"/>
                <w:highlight w:val="none"/>
                <w14:textFill>
                  <w14:solidFill>
                    <w14:schemeClr w14:val="tx1"/>
                  </w14:solidFill>
                </w14:textFill>
              </w:rPr>
              <w:t>年</w:t>
            </w:r>
            <w:r>
              <w:rPr>
                <w:rFonts w:hint="eastAsia" w:ascii="宋体" w:hAnsi="宋体" w:eastAsia="宋体" w:cs="宋体"/>
                <w:color w:val="000000" w:themeColor="text1"/>
                <w:sz w:val="20"/>
                <w:szCs w:val="20"/>
                <w:highlight w:val="none"/>
                <w:u w:val="single"/>
                <w14:textFill>
                  <w14:solidFill>
                    <w14:schemeClr w14:val="tx1"/>
                  </w14:solidFill>
                </w14:textFill>
              </w:rPr>
              <w:t xml:space="preserve"> / </w:t>
            </w:r>
            <w:r>
              <w:rPr>
                <w:rFonts w:hint="eastAsia" w:ascii="宋体" w:hAnsi="宋体" w:eastAsia="宋体" w:cs="宋体"/>
                <w:color w:val="000000" w:themeColor="text1"/>
                <w:sz w:val="20"/>
                <w:szCs w:val="20"/>
                <w:highlight w:val="none"/>
                <w14:textFill>
                  <w14:solidFill>
                    <w14:schemeClr w14:val="tx1"/>
                  </w14:solidFill>
                </w14:textFill>
              </w:rPr>
              <w:t>月</w:t>
            </w:r>
            <w:r>
              <w:rPr>
                <w:rFonts w:hint="eastAsia" w:ascii="宋体" w:hAnsi="宋体" w:eastAsia="宋体" w:cs="宋体"/>
                <w:color w:val="000000" w:themeColor="text1"/>
                <w:sz w:val="20"/>
                <w:szCs w:val="20"/>
                <w:highlight w:val="none"/>
                <w:u w:val="single"/>
                <w14:textFill>
                  <w14:solidFill>
                    <w14:schemeClr w14:val="tx1"/>
                  </w14:solidFill>
                </w14:textFill>
              </w:rPr>
              <w:t xml:space="preserve"> / </w:t>
            </w:r>
            <w:r>
              <w:rPr>
                <w:rFonts w:hint="eastAsia" w:ascii="宋体" w:hAnsi="宋体" w:eastAsia="宋体" w:cs="宋体"/>
                <w:color w:val="000000" w:themeColor="text1"/>
                <w:sz w:val="20"/>
                <w:szCs w:val="20"/>
                <w:highlight w:val="none"/>
                <w14:textFill>
                  <w14:solidFill>
                    <w14:schemeClr w14:val="tx1"/>
                  </w14:solidFill>
                </w14:textFill>
              </w:rPr>
              <w:t>日</w:t>
            </w:r>
          </w:p>
          <w:p w14:paraId="2FF01858">
            <w:pPr>
              <w:widowControl/>
              <w:adjustRightInd w:val="0"/>
              <w:snapToGrid w:val="0"/>
              <w:spacing w:line="288" w:lineRule="auto"/>
              <w:jc w:val="both"/>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计划竣工日期：</w:t>
            </w:r>
            <w:r>
              <w:rPr>
                <w:rFonts w:hint="eastAsia" w:ascii="宋体" w:hAnsi="宋体" w:eastAsia="宋体" w:cs="宋体"/>
                <w:color w:val="000000" w:themeColor="text1"/>
                <w:sz w:val="20"/>
                <w:szCs w:val="20"/>
                <w:highlight w:val="none"/>
                <w:u w:val="single"/>
                <w14:textFill>
                  <w14:solidFill>
                    <w14:schemeClr w14:val="tx1"/>
                  </w14:solidFill>
                </w14:textFill>
              </w:rPr>
              <w:t xml:space="preserve"> / </w:t>
            </w:r>
            <w:r>
              <w:rPr>
                <w:rFonts w:hint="eastAsia" w:ascii="宋体" w:hAnsi="宋体" w:eastAsia="宋体" w:cs="宋体"/>
                <w:color w:val="000000" w:themeColor="text1"/>
                <w:sz w:val="20"/>
                <w:szCs w:val="20"/>
                <w:highlight w:val="none"/>
                <w14:textFill>
                  <w14:solidFill>
                    <w14:schemeClr w14:val="tx1"/>
                  </w14:solidFill>
                </w14:textFill>
              </w:rPr>
              <w:t>年</w:t>
            </w:r>
            <w:r>
              <w:rPr>
                <w:rFonts w:hint="eastAsia" w:ascii="宋体" w:hAnsi="宋体" w:eastAsia="宋体" w:cs="宋体"/>
                <w:color w:val="000000" w:themeColor="text1"/>
                <w:sz w:val="20"/>
                <w:szCs w:val="20"/>
                <w:highlight w:val="none"/>
                <w:u w:val="single"/>
                <w14:textFill>
                  <w14:solidFill>
                    <w14:schemeClr w14:val="tx1"/>
                  </w14:solidFill>
                </w14:textFill>
              </w:rPr>
              <w:t xml:space="preserve"> / </w:t>
            </w:r>
            <w:r>
              <w:rPr>
                <w:rFonts w:hint="eastAsia" w:ascii="宋体" w:hAnsi="宋体" w:eastAsia="宋体" w:cs="宋体"/>
                <w:color w:val="000000" w:themeColor="text1"/>
                <w:sz w:val="20"/>
                <w:szCs w:val="20"/>
                <w:highlight w:val="none"/>
                <w14:textFill>
                  <w14:solidFill>
                    <w14:schemeClr w14:val="tx1"/>
                  </w14:solidFill>
                </w14:textFill>
              </w:rPr>
              <w:t>月</w:t>
            </w:r>
            <w:r>
              <w:rPr>
                <w:rFonts w:hint="eastAsia" w:ascii="宋体" w:hAnsi="宋体" w:eastAsia="宋体" w:cs="宋体"/>
                <w:color w:val="000000" w:themeColor="text1"/>
                <w:sz w:val="20"/>
                <w:szCs w:val="20"/>
                <w:highlight w:val="none"/>
                <w:u w:val="single"/>
                <w14:textFill>
                  <w14:solidFill>
                    <w14:schemeClr w14:val="tx1"/>
                  </w14:solidFill>
                </w14:textFill>
              </w:rPr>
              <w:t xml:space="preserve"> / </w:t>
            </w:r>
            <w:r>
              <w:rPr>
                <w:rFonts w:hint="eastAsia" w:ascii="宋体" w:hAnsi="宋体" w:eastAsia="宋体" w:cs="宋体"/>
                <w:color w:val="000000" w:themeColor="text1"/>
                <w:sz w:val="20"/>
                <w:szCs w:val="20"/>
                <w:highlight w:val="none"/>
                <w14:textFill>
                  <w14:solidFill>
                    <w14:schemeClr w14:val="tx1"/>
                  </w14:solidFill>
                </w14:textFill>
              </w:rPr>
              <w:t>日</w:t>
            </w:r>
          </w:p>
        </w:tc>
      </w:tr>
      <w:tr w14:paraId="4120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18" w:type="dxa"/>
            <w:vAlign w:val="center"/>
          </w:tcPr>
          <w:p w14:paraId="5900234B">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最高投标限价</w:t>
            </w:r>
          </w:p>
        </w:tc>
        <w:tc>
          <w:tcPr>
            <w:tcW w:w="8579" w:type="dxa"/>
            <w:gridSpan w:val="4"/>
            <w:vAlign w:val="center"/>
          </w:tcPr>
          <w:p w14:paraId="25E66602">
            <w:pPr>
              <w:widowControl/>
              <w:wordWrap w:val="0"/>
              <w:topLinePunct/>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本项目最高投标限价、工程量清单、施工图纸在在投标截止时间15天前以补遗书的形式在广东省招标投标监管网（http://zbtb.gd.gov.cn）、全国公共资源交易平台（广东省·韶关市）（https://ygp.gdzwfw.gov.cn/ggzy-portal/#/440200/index）公布，各投标人应自行下载。因投标人自身原因未能及时查阅而引起的任何问题、责任由投标人自行承担。</w:t>
            </w:r>
          </w:p>
        </w:tc>
      </w:tr>
      <w:tr w14:paraId="5605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8" w:type="dxa"/>
            <w:vAlign w:val="center"/>
          </w:tcPr>
          <w:p w14:paraId="5D463B36">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是否接受联合体投标</w:t>
            </w:r>
          </w:p>
        </w:tc>
        <w:tc>
          <w:tcPr>
            <w:tcW w:w="8579" w:type="dxa"/>
            <w:gridSpan w:val="4"/>
            <w:vAlign w:val="center"/>
          </w:tcPr>
          <w:p w14:paraId="277809C2">
            <w:pPr>
              <w:pStyle w:val="124"/>
              <w:widowControl/>
              <w:kinsoku w:val="0"/>
              <w:autoSpaceDE w:val="0"/>
              <w:autoSpaceDN w:val="0"/>
              <w:adjustRightInd w:val="0"/>
              <w:snapToGrid w:val="0"/>
              <w:spacing w:before="89" w:line="227" w:lineRule="auto"/>
              <w:ind w:left="116"/>
              <w:jc w:val="left"/>
              <w:textAlignment w:val="baseline"/>
              <w:rPr>
                <w:rFonts w:hint="eastAsia"/>
                <w:snapToGrid w:val="0"/>
                <w:color w:val="000000" w:themeColor="text1"/>
                <w:kern w:val="0"/>
                <w:sz w:val="20"/>
                <w:szCs w:val="20"/>
                <w:highlight w:val="none"/>
                <w:lang w:eastAsia="zh-CN"/>
                <w14:textFill>
                  <w14:solidFill>
                    <w14:schemeClr w14:val="tx1"/>
                  </w14:solidFill>
                </w14:textFill>
              </w:rPr>
            </w:pPr>
            <w:r>
              <w:rPr>
                <w:rFonts w:hint="eastAsia"/>
                <w:color w:val="000000" w:themeColor="text1"/>
                <w:spacing w:val="7"/>
                <w:sz w:val="20"/>
                <w:szCs w:val="15"/>
                <w:highlight w:val="none"/>
                <w:lang w:eastAsia="zh-CN"/>
                <w14:textFill>
                  <w14:solidFill>
                    <w14:schemeClr w14:val="tx1"/>
                  </w14:solidFill>
                </w14:textFill>
              </w:rPr>
              <w:t>本次招标</w:t>
            </w:r>
            <w:r>
              <w:rPr>
                <w:rFonts w:hint="eastAsia"/>
                <w:b/>
                <w:bCs/>
                <w:color w:val="000000" w:themeColor="text1"/>
                <w:spacing w:val="7"/>
                <w:sz w:val="20"/>
                <w:szCs w:val="15"/>
                <w:highlight w:val="none"/>
                <w:u w:val="single"/>
                <w:lang w:eastAsia="zh-CN"/>
                <w14:textFill>
                  <w14:solidFill>
                    <w14:schemeClr w14:val="tx1"/>
                  </w14:solidFill>
                </w14:textFill>
              </w:rPr>
              <w:t>接受</w:t>
            </w:r>
            <w:r>
              <w:rPr>
                <w:rFonts w:hint="eastAsia"/>
                <w:color w:val="000000" w:themeColor="text1"/>
                <w:spacing w:val="7"/>
                <w:sz w:val="20"/>
                <w:szCs w:val="15"/>
                <w:highlight w:val="none"/>
                <w:lang w:eastAsia="zh-CN"/>
                <w14:textFill>
                  <w14:solidFill>
                    <w14:schemeClr w14:val="tx1"/>
                  </w14:solidFill>
                </w14:textFill>
              </w:rPr>
              <w:t>联合体投标。</w:t>
            </w:r>
            <w:r>
              <w:rPr>
                <w:rFonts w:hint="eastAsia"/>
                <w:snapToGrid w:val="0"/>
                <w:color w:val="000000" w:themeColor="text1"/>
                <w:spacing w:val="7"/>
                <w:kern w:val="0"/>
                <w:sz w:val="20"/>
                <w:szCs w:val="20"/>
                <w:highlight w:val="none"/>
                <w:lang w:eastAsia="zh-CN"/>
                <w14:textFill>
                  <w14:solidFill>
                    <w14:schemeClr w14:val="tx1"/>
                  </w14:solidFill>
                </w14:textFill>
              </w:rPr>
              <w:t>具体要求</w:t>
            </w:r>
            <w:r>
              <w:rPr>
                <w:rFonts w:hint="eastAsia"/>
                <w:snapToGrid w:val="0"/>
                <w:color w:val="000000" w:themeColor="text1"/>
                <w:spacing w:val="6"/>
                <w:kern w:val="0"/>
                <w:sz w:val="20"/>
                <w:szCs w:val="20"/>
                <w:highlight w:val="none"/>
                <w:lang w:eastAsia="zh-CN"/>
                <w14:textFill>
                  <w14:solidFill>
                    <w14:schemeClr w14:val="tx1"/>
                  </w14:solidFill>
                </w14:textFill>
              </w:rPr>
              <w:t>为：</w:t>
            </w:r>
          </w:p>
          <w:p w14:paraId="4C4D6996">
            <w:pPr>
              <w:kinsoku w:val="0"/>
              <w:autoSpaceDE w:val="0"/>
              <w:autoSpaceDN w:val="0"/>
              <w:adjustRightInd w:val="0"/>
              <w:snapToGrid w:val="0"/>
              <w:spacing w:before="133" w:line="360" w:lineRule="auto"/>
              <w:ind w:right="127"/>
              <w:jc w:val="left"/>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(1)联合体各方应按招标文件提供的格式签订联合体协议书，明确联合体牵头人和各方权利义务，并承诺就中标项目向招标人承担连带责任；</w:t>
            </w:r>
          </w:p>
          <w:p w14:paraId="17CCBFFA">
            <w:pPr>
              <w:kinsoku w:val="0"/>
              <w:autoSpaceDE w:val="0"/>
              <w:autoSpaceDN w:val="0"/>
              <w:adjustRightInd w:val="0"/>
              <w:snapToGrid w:val="0"/>
              <w:spacing w:before="46" w:line="360" w:lineRule="auto"/>
              <w:jc w:val="left"/>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(2)由同一专业的单位组成的联合体，按照资质等级较低的单位确定资质等级；</w:t>
            </w:r>
          </w:p>
          <w:p w14:paraId="384BB386">
            <w:pPr>
              <w:kinsoku w:val="0"/>
              <w:autoSpaceDE w:val="0"/>
              <w:autoSpaceDN w:val="0"/>
              <w:adjustRightInd w:val="0"/>
              <w:snapToGrid w:val="0"/>
              <w:spacing w:before="84" w:line="360" w:lineRule="auto"/>
              <w:ind w:right="18"/>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(3)联合体各方不得再以自己名义单独或参加其他联合体在同一</w:t>
            </w:r>
            <w:r>
              <w:rPr>
                <w:rFonts w:hint="eastAsia" w:ascii="宋体" w:hAnsi="宋体" w:cs="宋体"/>
                <w:color w:val="000000" w:themeColor="text1"/>
                <w:sz w:val="20"/>
                <w:szCs w:val="20"/>
                <w:highlight w:val="none"/>
                <w:u w:val="single"/>
                <w14:textFill>
                  <w14:solidFill>
                    <w14:schemeClr w14:val="tx1"/>
                  </w14:solidFill>
                </w14:textFill>
              </w:rPr>
              <w:t>（标类或标段）</w:t>
            </w:r>
            <w:r>
              <w:rPr>
                <w:rFonts w:hint="eastAsia" w:ascii="宋体" w:hAnsi="宋体" w:cs="宋体"/>
                <w:color w:val="000000" w:themeColor="text1"/>
                <w:sz w:val="20"/>
                <w:szCs w:val="20"/>
                <w:highlight w:val="none"/>
                <w14:textFill>
                  <w14:solidFill>
                    <w14:schemeClr w14:val="tx1"/>
                  </w14:solidFill>
                </w14:textFill>
              </w:rPr>
              <w:t>中投标；</w:t>
            </w:r>
          </w:p>
          <w:p w14:paraId="114190C8">
            <w:pPr>
              <w:kinsoku w:val="0"/>
              <w:autoSpaceDE w:val="0"/>
              <w:autoSpaceDN w:val="0"/>
              <w:adjustRightInd w:val="0"/>
              <w:snapToGrid w:val="0"/>
              <w:spacing w:before="135" w:line="360" w:lineRule="auto"/>
              <w:jc w:val="left"/>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(4)联合体所有成员（含牵头人）数量不得超过</w:t>
            </w:r>
            <w:r>
              <w:rPr>
                <w:rFonts w:hint="eastAsia" w:ascii="宋体" w:hAnsi="宋体" w:cs="宋体"/>
                <w:color w:val="000000" w:themeColor="text1"/>
                <w:sz w:val="20"/>
                <w:szCs w:val="20"/>
                <w:highlight w:val="none"/>
                <w:u w:val="single"/>
                <w14:textFill>
                  <w14:solidFill>
                    <w14:schemeClr w14:val="tx1"/>
                  </w14:solidFill>
                </w14:textFill>
              </w:rPr>
              <w:t xml:space="preserve"> </w:t>
            </w:r>
            <w:r>
              <w:rPr>
                <w:rFonts w:hint="eastAsia" w:ascii="宋体" w:hAnsi="宋体" w:cs="宋体"/>
                <w:color w:val="000000" w:themeColor="text1"/>
                <w:sz w:val="20"/>
                <w:szCs w:val="20"/>
                <w:highlight w:val="none"/>
                <w:u w:val="single"/>
                <w:lang w:val="en-US" w:eastAsia="zh-CN"/>
                <w14:textFill>
                  <w14:solidFill>
                    <w14:schemeClr w14:val="tx1"/>
                  </w14:solidFill>
                </w14:textFill>
              </w:rPr>
              <w:t>3</w:t>
            </w:r>
            <w:r>
              <w:rPr>
                <w:rFonts w:hint="eastAsia" w:ascii="宋体" w:hAnsi="宋体" w:cs="宋体"/>
                <w:color w:val="000000" w:themeColor="text1"/>
                <w:sz w:val="20"/>
                <w:szCs w:val="20"/>
                <w:highlight w:val="none"/>
                <w:u w:val="single"/>
                <w14:textFill>
                  <w14:solidFill>
                    <w14:schemeClr w14:val="tx1"/>
                  </w14:solidFill>
                </w14:textFill>
              </w:rPr>
              <w:t xml:space="preserve"> </w:t>
            </w:r>
            <w:r>
              <w:rPr>
                <w:rFonts w:hint="eastAsia" w:ascii="宋体" w:hAnsi="宋体" w:cs="宋体"/>
                <w:color w:val="000000" w:themeColor="text1"/>
                <w:sz w:val="20"/>
                <w:szCs w:val="20"/>
                <w:highlight w:val="none"/>
                <w14:textFill>
                  <w14:solidFill>
                    <w14:schemeClr w14:val="tx1"/>
                  </w14:solidFill>
                </w14:textFill>
              </w:rPr>
              <w:t>个；</w:t>
            </w:r>
          </w:p>
          <w:p w14:paraId="67BB1F96">
            <w:pPr>
              <w:kinsoku w:val="0"/>
              <w:autoSpaceDE w:val="0"/>
              <w:autoSpaceDN w:val="0"/>
              <w:adjustRightInd w:val="0"/>
              <w:snapToGrid w:val="0"/>
              <w:spacing w:before="116" w:line="360" w:lineRule="auto"/>
              <w:jc w:val="left"/>
              <w:textAlignment w:val="baseline"/>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(5)联合体牵头人所承担的工程量必须超过总工程量的</w:t>
            </w:r>
            <w:r>
              <w:rPr>
                <w:rFonts w:hint="eastAsia" w:ascii="宋体" w:hAnsi="宋体" w:cs="宋体"/>
                <w:color w:val="000000" w:themeColor="text1"/>
                <w:sz w:val="20"/>
                <w:szCs w:val="20"/>
                <w:highlight w:val="none"/>
                <w:u w:val="single"/>
                <w14:textFill>
                  <w14:solidFill>
                    <w14:schemeClr w14:val="tx1"/>
                  </w14:solidFill>
                </w14:textFill>
              </w:rPr>
              <w:t xml:space="preserve"> 50 </w:t>
            </w:r>
            <w:r>
              <w:rPr>
                <w:rFonts w:hint="eastAsia" w:ascii="宋体" w:hAnsi="宋体" w:cs="宋体"/>
                <w:color w:val="000000" w:themeColor="text1"/>
                <w:sz w:val="20"/>
                <w:szCs w:val="20"/>
                <w:highlight w:val="none"/>
                <w14:textFill>
                  <w14:solidFill>
                    <w14:schemeClr w14:val="tx1"/>
                  </w14:solidFill>
                </w14:textFill>
              </w:rPr>
              <w:t>%;</w:t>
            </w:r>
          </w:p>
          <w:p w14:paraId="33DF0C54">
            <w:pPr>
              <w:pStyle w:val="124"/>
              <w:widowControl/>
              <w:kinsoku w:val="0"/>
              <w:autoSpaceDE w:val="0"/>
              <w:autoSpaceDN w:val="0"/>
              <w:adjustRightInd w:val="0"/>
              <w:snapToGrid w:val="0"/>
              <w:spacing w:before="91" w:line="360" w:lineRule="auto"/>
              <w:jc w:val="left"/>
              <w:textAlignment w:val="baseline"/>
              <w:rPr>
                <w:rFonts w:hint="eastAsia"/>
                <w:color w:val="000000" w:themeColor="text1"/>
                <w:sz w:val="20"/>
                <w:szCs w:val="20"/>
                <w:highlight w:val="none"/>
                <w:lang w:eastAsia="zh-CN"/>
                <w14:textFill>
                  <w14:solidFill>
                    <w14:schemeClr w14:val="tx1"/>
                  </w14:solidFill>
                </w14:textFill>
              </w:rPr>
            </w:pPr>
            <w:r>
              <w:rPr>
                <w:rFonts w:hint="eastAsia"/>
                <w:color w:val="000000" w:themeColor="text1"/>
                <w:sz w:val="20"/>
                <w:szCs w:val="20"/>
                <w:highlight w:val="none"/>
                <w:lang w:eastAsia="zh-CN"/>
                <w14:textFill>
                  <w14:solidFill>
                    <w14:schemeClr w14:val="tx1"/>
                  </w14:solidFill>
                </w14:textFill>
              </w:rPr>
              <w:t>(6)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08E14507">
            <w:pPr>
              <w:widowControl/>
              <w:adjustRightInd w:val="0"/>
              <w:snapToGrid w:val="0"/>
              <w:spacing w:line="360"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(7)联合体各成员在投标、签订合同与履行合同过程中，仍负有连带的和各自的法律责任。</w:t>
            </w:r>
          </w:p>
        </w:tc>
      </w:tr>
      <w:tr w14:paraId="6B2E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2118" w:type="dxa"/>
            <w:vMerge w:val="restart"/>
            <w:vAlign w:val="center"/>
          </w:tcPr>
          <w:p w14:paraId="45CA1AEB">
            <w:pPr>
              <w:widowControl/>
              <w:wordWrap w:val="0"/>
              <w:topLinePunct/>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投标资格能力要求（包括但不限于资质、人员、业绩等要求）</w:t>
            </w:r>
          </w:p>
        </w:tc>
        <w:tc>
          <w:tcPr>
            <w:tcW w:w="2249" w:type="dxa"/>
            <w:vAlign w:val="center"/>
          </w:tcPr>
          <w:p w14:paraId="6932FD05">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投标人资格要求</w:t>
            </w:r>
          </w:p>
        </w:tc>
        <w:tc>
          <w:tcPr>
            <w:tcW w:w="6330" w:type="dxa"/>
            <w:gridSpan w:val="3"/>
            <w:vAlign w:val="center"/>
          </w:tcPr>
          <w:p w14:paraId="29178097">
            <w:pPr>
              <w:spacing w:before="55" w:line="288" w:lineRule="auto"/>
              <w:ind w:left="118" w:right="42" w:firstLine="2"/>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9"/>
                <w:sz w:val="20"/>
                <w:szCs w:val="20"/>
                <w:highlight w:val="none"/>
                <w14:textFill>
                  <w14:solidFill>
                    <w14:schemeClr w14:val="tx1"/>
                  </w14:solidFill>
                </w14:textFill>
              </w:rPr>
              <w:t>投标人应具有以下资质：详见招标公告附件，</w:t>
            </w:r>
            <w:r>
              <w:rPr>
                <w:rFonts w:hint="eastAsia" w:ascii="宋体" w:hAnsi="宋体" w:cs="宋体"/>
                <w:color w:val="000000" w:themeColor="text1"/>
                <w:spacing w:val="9"/>
                <w:sz w:val="20"/>
                <w:szCs w:val="20"/>
                <w:highlight w:val="none"/>
                <w:u w:val="single"/>
                <w14:textFill>
                  <w14:solidFill>
                    <w14:schemeClr w14:val="tx1"/>
                  </w14:solidFill>
                </w14:textFill>
              </w:rPr>
              <w:t>投标人应进入交</w:t>
            </w:r>
            <w:r>
              <w:rPr>
                <w:rFonts w:hint="eastAsia" w:ascii="宋体" w:hAnsi="宋体" w:cs="宋体"/>
                <w:color w:val="000000" w:themeColor="text1"/>
                <w:spacing w:val="8"/>
                <w:sz w:val="20"/>
                <w:szCs w:val="20"/>
                <w:highlight w:val="none"/>
                <w:u w:val="single"/>
                <w14:textFill>
                  <w14:solidFill>
                    <w14:schemeClr w14:val="tx1"/>
                  </w14:solidFill>
                </w14:textFill>
              </w:rPr>
              <w:t>通运输部“全国公路建设市场监督管理系统</w:t>
            </w:r>
            <w:r>
              <w:rPr>
                <w:rFonts w:hint="eastAsia" w:ascii="宋体" w:hAnsi="宋体" w:cs="宋体"/>
                <w:color w:val="000000" w:themeColor="text1"/>
                <w:spacing w:val="-57"/>
                <w:sz w:val="20"/>
                <w:szCs w:val="20"/>
                <w:highlight w:val="none"/>
                <w:u w:val="single"/>
                <w14:textFill>
                  <w14:solidFill>
                    <w14:schemeClr w14:val="tx1"/>
                  </w14:solidFill>
                </w14:textFill>
              </w:rPr>
              <w:t xml:space="preserve"> </w:t>
            </w:r>
            <w:r>
              <w:rPr>
                <w:rFonts w:hint="eastAsia" w:ascii="宋体" w:hAnsi="宋体" w:cs="宋体"/>
                <w:color w:val="000000" w:themeColor="text1"/>
                <w:spacing w:val="8"/>
                <w:sz w:val="20"/>
                <w:szCs w:val="20"/>
                <w:highlight w:val="none"/>
                <w:u w:val="single"/>
                <w14:textFill>
                  <w14:solidFill>
                    <w14:schemeClr w14:val="tx1"/>
                  </w14:solidFill>
                </w14:textFill>
              </w:rPr>
              <w:t>”中的公路工程施</w:t>
            </w:r>
            <w:r>
              <w:rPr>
                <w:rFonts w:hint="eastAsia" w:ascii="宋体" w:hAnsi="宋体" w:cs="宋体"/>
                <w:color w:val="000000" w:themeColor="text1"/>
                <w:spacing w:val="9"/>
                <w:sz w:val="20"/>
                <w:szCs w:val="20"/>
                <w:highlight w:val="none"/>
                <w:u w:val="single"/>
                <w14:textFill>
                  <w14:solidFill>
                    <w14:schemeClr w14:val="tx1"/>
                  </w14:solidFill>
                </w14:textFill>
              </w:rPr>
              <w:t>工资质企业名录，且投标人名称和资质与该名录中的相应企业</w:t>
            </w:r>
            <w:r>
              <w:rPr>
                <w:rFonts w:hint="eastAsia" w:ascii="宋体" w:hAnsi="宋体" w:cs="宋体"/>
                <w:color w:val="000000" w:themeColor="text1"/>
                <w:spacing w:val="8"/>
                <w:sz w:val="20"/>
                <w:szCs w:val="20"/>
                <w:highlight w:val="none"/>
                <w:u w:val="single"/>
                <w14:textFill>
                  <w14:solidFill>
                    <w14:schemeClr w14:val="tx1"/>
                  </w14:solidFill>
                </w14:textFill>
              </w:rPr>
              <w:t>名称和资质完全一致（联合体投标的，联合体各方均需满足）</w:t>
            </w:r>
            <w:r>
              <w:rPr>
                <w:rFonts w:hint="eastAsia" w:ascii="宋体" w:hAnsi="宋体" w:cs="宋体"/>
                <w:color w:val="000000" w:themeColor="text1"/>
                <w:spacing w:val="8"/>
                <w:sz w:val="20"/>
                <w:szCs w:val="20"/>
                <w:highlight w:val="none"/>
                <w14:textFill>
                  <w14:solidFill>
                    <w14:schemeClr w14:val="tx1"/>
                  </w14:solidFill>
                </w14:textFill>
              </w:rPr>
              <w:t>。</w:t>
            </w:r>
          </w:p>
          <w:p w14:paraId="33A5C6BD">
            <w:pPr>
              <w:adjustRightInd w:val="0"/>
              <w:snapToGrid w:val="0"/>
              <w:spacing w:line="288" w:lineRule="auto"/>
              <w:ind w:firstLine="436" w:firstLineChars="200"/>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spacing w:val="9"/>
                <w:sz w:val="20"/>
                <w:szCs w:val="20"/>
                <w:highlight w:val="none"/>
                <w14:textFill>
                  <w14:solidFill>
                    <w14:schemeClr w14:val="tx1"/>
                  </w14:solidFill>
                </w14:textFill>
              </w:rPr>
              <w:t>项目经理的资格要求详见招标公告附件，项目总工的资格要求</w:t>
            </w:r>
            <w:r>
              <w:rPr>
                <w:rFonts w:hint="eastAsia" w:ascii="宋体" w:hAnsi="宋体" w:cs="宋体"/>
                <w:color w:val="000000" w:themeColor="text1"/>
                <w:spacing w:val="7"/>
                <w:sz w:val="20"/>
                <w:szCs w:val="20"/>
                <w:highlight w:val="none"/>
                <w14:textFill>
                  <w14:solidFill>
                    <w14:schemeClr w14:val="tx1"/>
                  </w14:solidFill>
                </w14:textFill>
              </w:rPr>
              <w:t>详见招标公告附件。</w:t>
            </w:r>
          </w:p>
        </w:tc>
      </w:tr>
      <w:tr w14:paraId="5950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118" w:type="dxa"/>
            <w:vMerge w:val="continue"/>
            <w:vAlign w:val="center"/>
          </w:tcPr>
          <w:p w14:paraId="64EF4FF4">
            <w:pPr>
              <w:widowControl/>
              <w:adjustRightInd w:val="0"/>
              <w:snapToGrid w:val="0"/>
              <w:spacing w:line="288" w:lineRule="auto"/>
              <w:jc w:val="center"/>
              <w:textAlignment w:val="center"/>
              <w:rPr>
                <w:rFonts w:hint="eastAsia" w:ascii="宋体" w:hAnsi="宋体" w:cs="宋体"/>
                <w:b/>
                <w:bCs/>
                <w:color w:val="000000" w:themeColor="text1"/>
                <w:sz w:val="24"/>
                <w:szCs w:val="20"/>
                <w:highlight w:val="none"/>
                <w14:textFill>
                  <w14:solidFill>
                    <w14:schemeClr w14:val="tx1"/>
                  </w14:solidFill>
                </w14:textFill>
              </w:rPr>
            </w:pPr>
          </w:p>
        </w:tc>
        <w:tc>
          <w:tcPr>
            <w:tcW w:w="2249" w:type="dxa"/>
            <w:vAlign w:val="center"/>
          </w:tcPr>
          <w:p w14:paraId="2BDCD610">
            <w:pPr>
              <w:widowControl/>
              <w:adjustRightInd w:val="0"/>
              <w:snapToGrid w:val="0"/>
              <w:spacing w:line="288"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投标人业绩要求</w:t>
            </w:r>
          </w:p>
        </w:tc>
        <w:tc>
          <w:tcPr>
            <w:tcW w:w="6330" w:type="dxa"/>
            <w:gridSpan w:val="3"/>
            <w:vAlign w:val="center"/>
          </w:tcPr>
          <w:p w14:paraId="785A2C56">
            <w:pPr>
              <w:widowControl/>
              <w:adjustRightInd w:val="0"/>
              <w:snapToGrid w:val="0"/>
              <w:spacing w:line="288"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详见招标公告附件</w:t>
            </w:r>
          </w:p>
        </w:tc>
      </w:tr>
      <w:tr w14:paraId="3C37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2118" w:type="dxa"/>
            <w:vMerge w:val="restart"/>
            <w:vAlign w:val="center"/>
          </w:tcPr>
          <w:p w14:paraId="218BEEBC">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是否采用电子</w:t>
            </w:r>
          </w:p>
          <w:p w14:paraId="4BEEFB0B">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招标投标方式</w:t>
            </w:r>
          </w:p>
        </w:tc>
        <w:tc>
          <w:tcPr>
            <w:tcW w:w="2249" w:type="dxa"/>
            <w:vMerge w:val="restart"/>
            <w:vAlign w:val="center"/>
          </w:tcPr>
          <w:p w14:paraId="7236AA38">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是</w:t>
            </w:r>
          </w:p>
        </w:tc>
        <w:tc>
          <w:tcPr>
            <w:tcW w:w="1455" w:type="dxa"/>
            <w:vMerge w:val="restart"/>
            <w:vAlign w:val="center"/>
          </w:tcPr>
          <w:p w14:paraId="570F3DC0">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获取招标文件的方式</w:t>
            </w:r>
          </w:p>
        </w:tc>
        <w:tc>
          <w:tcPr>
            <w:tcW w:w="1019" w:type="dxa"/>
            <w:vAlign w:val="center"/>
          </w:tcPr>
          <w:p w14:paraId="70FB38F0">
            <w:pPr>
              <w:widowControl/>
              <w:wordWrap w:val="0"/>
              <w:topLinePunct/>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下载招标文件的网络地址</w:t>
            </w:r>
          </w:p>
        </w:tc>
        <w:tc>
          <w:tcPr>
            <w:tcW w:w="3856" w:type="dxa"/>
            <w:vAlign w:val="center"/>
          </w:tcPr>
          <w:p w14:paraId="5A2682A8">
            <w:pPr>
              <w:widowControl/>
              <w:wordWrap w:val="0"/>
              <w:topLinePunct/>
              <w:adjustRightInd w:val="0"/>
              <w:snapToGrid w:val="0"/>
              <w:spacing w:line="288" w:lineRule="auto"/>
              <w:jc w:val="left"/>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广东省招标投标监管网http://zbtb.gd.gov.cn；</w:t>
            </w:r>
          </w:p>
          <w:p w14:paraId="1D52664A">
            <w:pPr>
              <w:widowControl/>
              <w:wordWrap w:val="0"/>
              <w:topLinePunct/>
              <w:adjustRightInd w:val="0"/>
              <w:snapToGrid w:val="0"/>
              <w:spacing w:line="288" w:lineRule="auto"/>
              <w:jc w:val="left"/>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全国公共资源交易平台（广东省·韶关市）https://ygp.gdzwfw.gov.cn/ggzy-portal/#/440200/index。</w:t>
            </w:r>
          </w:p>
        </w:tc>
      </w:tr>
      <w:tr w14:paraId="57C2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2118" w:type="dxa"/>
            <w:vMerge w:val="continue"/>
            <w:vAlign w:val="center"/>
          </w:tcPr>
          <w:p w14:paraId="3BC2DB3C">
            <w:pPr>
              <w:widowControl/>
              <w:adjustRightInd w:val="0"/>
              <w:snapToGrid w:val="0"/>
              <w:spacing w:line="288" w:lineRule="auto"/>
              <w:textAlignment w:val="center"/>
              <w:rPr>
                <w:rFonts w:hint="eastAsia" w:ascii="宋体" w:hAnsi="宋体" w:cs="宋体"/>
                <w:b/>
                <w:bCs/>
                <w:color w:val="000000" w:themeColor="text1"/>
                <w:sz w:val="24"/>
                <w:szCs w:val="20"/>
                <w:highlight w:val="none"/>
                <w14:textFill>
                  <w14:solidFill>
                    <w14:schemeClr w14:val="tx1"/>
                  </w14:solidFill>
                </w14:textFill>
              </w:rPr>
            </w:pPr>
          </w:p>
        </w:tc>
        <w:tc>
          <w:tcPr>
            <w:tcW w:w="2249" w:type="dxa"/>
            <w:vMerge w:val="continue"/>
            <w:vAlign w:val="center"/>
          </w:tcPr>
          <w:p w14:paraId="3377F227">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p>
        </w:tc>
        <w:tc>
          <w:tcPr>
            <w:tcW w:w="1455" w:type="dxa"/>
            <w:vMerge w:val="continue"/>
            <w:vAlign w:val="center"/>
          </w:tcPr>
          <w:p w14:paraId="01A2D549">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p>
        </w:tc>
        <w:tc>
          <w:tcPr>
            <w:tcW w:w="1019" w:type="dxa"/>
            <w:vAlign w:val="center"/>
          </w:tcPr>
          <w:p w14:paraId="26359F69">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获取招标文件的方式</w:t>
            </w:r>
          </w:p>
        </w:tc>
        <w:tc>
          <w:tcPr>
            <w:tcW w:w="3856" w:type="dxa"/>
            <w:vAlign w:val="center"/>
          </w:tcPr>
          <w:p w14:paraId="3D864C80">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凡有意参加投标者，请于获取招标文件截止时间前，登录全国公共资源交易平台（广东省·韶关市）网站，选择对应招标项目进行投标登记，并自行在网站中下载招标文件。投标人参加多个标段投标的，应按所投标段分别进行投标登记，并按所投标段分别递交投标文件。</w:t>
            </w:r>
          </w:p>
        </w:tc>
      </w:tr>
      <w:tr w14:paraId="6A50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2118" w:type="dxa"/>
            <w:vAlign w:val="center"/>
          </w:tcPr>
          <w:p w14:paraId="3FF06D2D">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获取招标文件开始时间</w:t>
            </w:r>
          </w:p>
        </w:tc>
        <w:tc>
          <w:tcPr>
            <w:tcW w:w="2249" w:type="dxa"/>
            <w:vAlign w:val="center"/>
          </w:tcPr>
          <w:p w14:paraId="78F79C25">
            <w:pPr>
              <w:adjustRightInd w:val="0"/>
              <w:snapToGrid w:val="0"/>
              <w:spacing w:line="288" w:lineRule="auto"/>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Cs/>
                <w:snapToGrid w:val="0"/>
                <w:color w:val="auto"/>
                <w:kern w:val="0"/>
                <w:sz w:val="20"/>
                <w:szCs w:val="20"/>
                <w:highlight w:val="none"/>
                <w:u w:val="single"/>
              </w:rPr>
              <w:t>2026年</w:t>
            </w:r>
            <w:r>
              <w:rPr>
                <w:rFonts w:hint="eastAsia" w:ascii="宋体" w:hAnsi="宋体" w:cs="宋体"/>
                <w:bCs/>
                <w:snapToGrid w:val="0"/>
                <w:color w:val="auto"/>
                <w:kern w:val="0"/>
                <w:sz w:val="20"/>
                <w:szCs w:val="20"/>
                <w:highlight w:val="none"/>
                <w:u w:val="single"/>
                <w:lang w:val="en-US" w:eastAsia="zh-CN"/>
              </w:rPr>
              <w:t>6</w:t>
            </w:r>
            <w:r>
              <w:rPr>
                <w:rFonts w:hint="eastAsia" w:ascii="宋体" w:hAnsi="宋体" w:cs="宋体"/>
                <w:bCs/>
                <w:snapToGrid w:val="0"/>
                <w:color w:val="auto"/>
                <w:kern w:val="0"/>
                <w:sz w:val="20"/>
                <w:szCs w:val="20"/>
                <w:highlight w:val="none"/>
                <w:u w:val="single"/>
              </w:rPr>
              <w:t>月</w:t>
            </w:r>
            <w:r>
              <w:rPr>
                <w:rFonts w:hint="eastAsia" w:ascii="宋体" w:hAnsi="宋体" w:cs="宋体"/>
                <w:bCs/>
                <w:snapToGrid w:val="0"/>
                <w:color w:val="auto"/>
                <w:kern w:val="0"/>
                <w:sz w:val="20"/>
                <w:szCs w:val="20"/>
                <w:highlight w:val="none"/>
                <w:u w:val="single"/>
                <w:lang w:val="en-US" w:eastAsia="zh-CN"/>
              </w:rPr>
              <w:t>30</w:t>
            </w:r>
            <w:r>
              <w:rPr>
                <w:rFonts w:hint="eastAsia" w:ascii="宋体" w:hAnsi="宋体" w:cs="宋体"/>
                <w:bCs/>
                <w:snapToGrid w:val="0"/>
                <w:color w:val="auto"/>
                <w:kern w:val="0"/>
                <w:sz w:val="20"/>
                <w:szCs w:val="20"/>
                <w:highlight w:val="none"/>
                <w:u w:val="single"/>
              </w:rPr>
              <w:t xml:space="preserve"> 日</w:t>
            </w:r>
            <w:r>
              <w:rPr>
                <w:rFonts w:hint="eastAsia" w:ascii="宋体" w:hAnsi="宋体" w:cs="宋体"/>
                <w:bCs/>
                <w:snapToGrid w:val="0"/>
                <w:color w:val="auto"/>
                <w:kern w:val="0"/>
                <w:sz w:val="20"/>
                <w:szCs w:val="20"/>
                <w:highlight w:val="none"/>
                <w:u w:val="single"/>
                <w:lang w:val="en-US" w:eastAsia="zh-CN"/>
              </w:rPr>
              <w:t xml:space="preserve">18 </w:t>
            </w:r>
            <w:r>
              <w:rPr>
                <w:rFonts w:hint="eastAsia" w:ascii="宋体" w:hAnsi="宋体" w:cs="宋体"/>
                <w:bCs/>
                <w:snapToGrid w:val="0"/>
                <w:color w:val="auto"/>
                <w:kern w:val="0"/>
                <w:sz w:val="20"/>
                <w:szCs w:val="20"/>
                <w:highlight w:val="none"/>
                <w:u w:val="single"/>
              </w:rPr>
              <w:t>时00分</w:t>
            </w:r>
          </w:p>
        </w:tc>
        <w:tc>
          <w:tcPr>
            <w:tcW w:w="1455" w:type="dxa"/>
            <w:vAlign w:val="center"/>
          </w:tcPr>
          <w:p w14:paraId="29F37E95">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获取招标文件截止时间</w:t>
            </w:r>
          </w:p>
        </w:tc>
        <w:tc>
          <w:tcPr>
            <w:tcW w:w="4875" w:type="dxa"/>
            <w:gridSpan w:val="2"/>
            <w:vAlign w:val="center"/>
          </w:tcPr>
          <w:p w14:paraId="715AE7CA">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Cs/>
                <w:snapToGrid w:val="0"/>
                <w:color w:val="auto"/>
                <w:kern w:val="0"/>
                <w:sz w:val="20"/>
                <w:szCs w:val="20"/>
                <w:highlight w:val="none"/>
                <w:u w:val="single"/>
              </w:rPr>
              <w:t>2026年</w:t>
            </w:r>
            <w:r>
              <w:rPr>
                <w:rFonts w:hint="eastAsia" w:ascii="宋体" w:hAnsi="宋体" w:cs="宋体"/>
                <w:bCs/>
                <w:snapToGrid w:val="0"/>
                <w:color w:val="auto"/>
                <w:kern w:val="0"/>
                <w:sz w:val="20"/>
                <w:szCs w:val="20"/>
                <w:highlight w:val="none"/>
                <w:u w:val="single"/>
                <w:lang w:val="en-US" w:eastAsia="zh-CN"/>
              </w:rPr>
              <w:t>7</w:t>
            </w:r>
            <w:r>
              <w:rPr>
                <w:rFonts w:hint="eastAsia" w:ascii="宋体" w:hAnsi="宋体" w:cs="宋体"/>
                <w:bCs/>
                <w:snapToGrid w:val="0"/>
                <w:color w:val="auto"/>
                <w:kern w:val="0"/>
                <w:sz w:val="20"/>
                <w:szCs w:val="20"/>
                <w:highlight w:val="none"/>
                <w:u w:val="single"/>
              </w:rPr>
              <w:t>月</w:t>
            </w:r>
            <w:r>
              <w:rPr>
                <w:rFonts w:hint="eastAsia" w:ascii="宋体" w:hAnsi="宋体" w:cs="宋体"/>
                <w:bCs/>
                <w:snapToGrid w:val="0"/>
                <w:color w:val="auto"/>
                <w:kern w:val="0"/>
                <w:sz w:val="20"/>
                <w:szCs w:val="20"/>
                <w:highlight w:val="none"/>
                <w:u w:val="single"/>
                <w:lang w:val="en-US" w:eastAsia="zh-CN"/>
              </w:rPr>
              <w:t>28</w:t>
            </w:r>
            <w:r>
              <w:rPr>
                <w:rFonts w:hint="eastAsia" w:ascii="宋体" w:hAnsi="宋体" w:cs="宋体"/>
                <w:bCs/>
                <w:snapToGrid w:val="0"/>
                <w:color w:val="auto"/>
                <w:kern w:val="0"/>
                <w:sz w:val="20"/>
                <w:szCs w:val="20"/>
                <w:highlight w:val="none"/>
                <w:u w:val="single"/>
              </w:rPr>
              <w:t>日</w:t>
            </w:r>
            <w:r>
              <w:rPr>
                <w:rFonts w:hint="eastAsia" w:ascii="宋体" w:hAnsi="宋体" w:cs="宋体"/>
                <w:bCs/>
                <w:snapToGrid w:val="0"/>
                <w:color w:val="auto"/>
                <w:kern w:val="0"/>
                <w:sz w:val="20"/>
                <w:szCs w:val="20"/>
                <w:highlight w:val="none"/>
                <w:u w:val="single"/>
                <w:lang w:val="en-US" w:eastAsia="zh-CN"/>
              </w:rPr>
              <w:t>10</w:t>
            </w:r>
            <w:r>
              <w:rPr>
                <w:rFonts w:hint="eastAsia" w:ascii="宋体" w:hAnsi="宋体" w:cs="宋体"/>
                <w:bCs/>
                <w:snapToGrid w:val="0"/>
                <w:color w:val="auto"/>
                <w:kern w:val="0"/>
                <w:sz w:val="20"/>
                <w:szCs w:val="20"/>
                <w:highlight w:val="none"/>
                <w:u w:val="single"/>
              </w:rPr>
              <w:t>时</w:t>
            </w:r>
            <w:r>
              <w:rPr>
                <w:rFonts w:hint="eastAsia" w:ascii="宋体" w:hAnsi="宋体" w:cs="宋体"/>
                <w:bCs/>
                <w:snapToGrid w:val="0"/>
                <w:color w:val="auto"/>
                <w:kern w:val="0"/>
                <w:sz w:val="20"/>
                <w:szCs w:val="20"/>
                <w:highlight w:val="none"/>
                <w:u w:val="single"/>
                <w:lang w:val="en-US" w:eastAsia="zh-CN"/>
              </w:rPr>
              <w:t>00</w:t>
            </w:r>
            <w:r>
              <w:rPr>
                <w:rFonts w:hint="eastAsia" w:ascii="宋体" w:hAnsi="宋体" w:cs="宋体"/>
                <w:bCs/>
                <w:snapToGrid w:val="0"/>
                <w:color w:val="auto"/>
                <w:kern w:val="0"/>
                <w:sz w:val="20"/>
                <w:szCs w:val="20"/>
                <w:highlight w:val="none"/>
                <w:u w:val="single"/>
              </w:rPr>
              <w:t>分</w:t>
            </w:r>
          </w:p>
        </w:tc>
      </w:tr>
      <w:tr w14:paraId="1F33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2118" w:type="dxa"/>
            <w:vAlign w:val="center"/>
          </w:tcPr>
          <w:p w14:paraId="63BD53EC">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递交投标文件截止时间</w:t>
            </w:r>
          </w:p>
        </w:tc>
        <w:tc>
          <w:tcPr>
            <w:tcW w:w="2249" w:type="dxa"/>
            <w:vAlign w:val="center"/>
          </w:tcPr>
          <w:p w14:paraId="5E3CF992">
            <w:pPr>
              <w:adjustRightInd w:val="0"/>
              <w:snapToGrid w:val="0"/>
              <w:spacing w:line="288" w:lineRule="auto"/>
              <w:ind w:left="400" w:leftChars="0" w:hanging="400" w:hangingChars="200"/>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Cs/>
                <w:snapToGrid w:val="0"/>
                <w:color w:val="auto"/>
                <w:kern w:val="0"/>
                <w:sz w:val="20"/>
                <w:szCs w:val="20"/>
                <w:highlight w:val="none"/>
                <w:u w:val="single"/>
              </w:rPr>
              <w:t>2026年</w:t>
            </w:r>
            <w:r>
              <w:rPr>
                <w:rFonts w:hint="eastAsia" w:ascii="宋体" w:hAnsi="宋体" w:cs="宋体"/>
                <w:bCs/>
                <w:snapToGrid w:val="0"/>
                <w:color w:val="auto"/>
                <w:kern w:val="0"/>
                <w:sz w:val="20"/>
                <w:szCs w:val="20"/>
                <w:highlight w:val="none"/>
                <w:u w:val="single"/>
                <w:lang w:val="en-US" w:eastAsia="zh-CN"/>
              </w:rPr>
              <w:t>7</w:t>
            </w:r>
            <w:r>
              <w:rPr>
                <w:rFonts w:hint="eastAsia" w:ascii="宋体" w:hAnsi="宋体" w:cs="宋体"/>
                <w:bCs/>
                <w:snapToGrid w:val="0"/>
                <w:color w:val="auto"/>
                <w:kern w:val="0"/>
                <w:sz w:val="20"/>
                <w:szCs w:val="20"/>
                <w:highlight w:val="none"/>
                <w:u w:val="single"/>
              </w:rPr>
              <w:t>月</w:t>
            </w:r>
            <w:r>
              <w:rPr>
                <w:rFonts w:hint="eastAsia" w:ascii="宋体" w:hAnsi="宋体" w:cs="宋体"/>
                <w:bCs/>
                <w:snapToGrid w:val="0"/>
                <w:color w:val="auto"/>
                <w:kern w:val="0"/>
                <w:sz w:val="20"/>
                <w:szCs w:val="20"/>
                <w:highlight w:val="none"/>
                <w:u w:val="single"/>
                <w:lang w:val="en-US" w:eastAsia="zh-CN"/>
              </w:rPr>
              <w:t>28</w:t>
            </w:r>
            <w:r>
              <w:rPr>
                <w:rFonts w:hint="eastAsia" w:ascii="宋体" w:hAnsi="宋体" w:cs="宋体"/>
                <w:bCs/>
                <w:snapToGrid w:val="0"/>
                <w:color w:val="auto"/>
                <w:kern w:val="0"/>
                <w:sz w:val="20"/>
                <w:szCs w:val="20"/>
                <w:highlight w:val="none"/>
                <w:u w:val="single"/>
              </w:rPr>
              <w:t>日</w:t>
            </w:r>
            <w:r>
              <w:rPr>
                <w:rFonts w:hint="eastAsia" w:ascii="宋体" w:hAnsi="宋体" w:cs="宋体"/>
                <w:bCs/>
                <w:snapToGrid w:val="0"/>
                <w:color w:val="auto"/>
                <w:kern w:val="0"/>
                <w:sz w:val="20"/>
                <w:szCs w:val="20"/>
                <w:highlight w:val="none"/>
                <w:u w:val="single"/>
                <w:lang w:val="en-US" w:eastAsia="zh-CN"/>
              </w:rPr>
              <w:t>10</w:t>
            </w:r>
            <w:r>
              <w:rPr>
                <w:rFonts w:hint="eastAsia" w:ascii="宋体" w:hAnsi="宋体" w:cs="宋体"/>
                <w:bCs/>
                <w:snapToGrid w:val="0"/>
                <w:color w:val="auto"/>
                <w:kern w:val="0"/>
                <w:sz w:val="20"/>
                <w:szCs w:val="20"/>
                <w:highlight w:val="none"/>
                <w:u w:val="single"/>
              </w:rPr>
              <w:t>时</w:t>
            </w:r>
            <w:r>
              <w:rPr>
                <w:rFonts w:hint="eastAsia" w:ascii="宋体" w:hAnsi="宋体" w:cs="宋体"/>
                <w:bCs/>
                <w:snapToGrid w:val="0"/>
                <w:color w:val="auto"/>
                <w:kern w:val="0"/>
                <w:sz w:val="20"/>
                <w:szCs w:val="20"/>
                <w:highlight w:val="none"/>
                <w:u w:val="single"/>
                <w:lang w:val="en-US" w:eastAsia="zh-CN"/>
              </w:rPr>
              <w:t xml:space="preserve"> 00</w:t>
            </w:r>
            <w:r>
              <w:rPr>
                <w:rFonts w:hint="eastAsia" w:ascii="宋体" w:hAnsi="宋体" w:cs="宋体"/>
                <w:bCs/>
                <w:snapToGrid w:val="0"/>
                <w:color w:val="auto"/>
                <w:kern w:val="0"/>
                <w:sz w:val="20"/>
                <w:szCs w:val="20"/>
                <w:highlight w:val="none"/>
                <w:u w:val="single"/>
              </w:rPr>
              <w:t>分</w:t>
            </w:r>
          </w:p>
        </w:tc>
        <w:tc>
          <w:tcPr>
            <w:tcW w:w="1455" w:type="dxa"/>
            <w:vAlign w:val="center"/>
          </w:tcPr>
          <w:p w14:paraId="5FA5756B">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投标文件递交方式</w:t>
            </w:r>
          </w:p>
        </w:tc>
        <w:tc>
          <w:tcPr>
            <w:tcW w:w="4875" w:type="dxa"/>
            <w:gridSpan w:val="2"/>
            <w:vAlign w:val="center"/>
          </w:tcPr>
          <w:p w14:paraId="07D938B5">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投标人应在递交投标文件截止时间前，通过互联网使用 CA 数字证书登录“电子交易平台 ”，将加密的投标文件上传，并保存上传成功后系统自动生成的电子签收凭证，递交时间即为电子签收凭证时间。逾期未完成上传或未按规定加密的投标文件，招标人予以拒收。</w:t>
            </w:r>
          </w:p>
        </w:tc>
      </w:tr>
      <w:tr w14:paraId="3246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2118" w:type="dxa"/>
            <w:vAlign w:val="center"/>
          </w:tcPr>
          <w:p w14:paraId="79162442">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开标时间</w:t>
            </w:r>
          </w:p>
        </w:tc>
        <w:tc>
          <w:tcPr>
            <w:tcW w:w="2249" w:type="dxa"/>
            <w:vAlign w:val="center"/>
          </w:tcPr>
          <w:p w14:paraId="4D43E99D">
            <w:pPr>
              <w:adjustRightInd w:val="0"/>
              <w:snapToGrid w:val="0"/>
              <w:spacing w:line="288" w:lineRule="auto"/>
              <w:ind w:left="400" w:leftChars="0" w:hanging="400" w:hangingChars="200"/>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Cs/>
                <w:snapToGrid w:val="0"/>
                <w:color w:val="auto"/>
                <w:kern w:val="0"/>
                <w:sz w:val="20"/>
                <w:szCs w:val="20"/>
                <w:highlight w:val="none"/>
                <w:u w:val="single"/>
              </w:rPr>
              <w:t>2026年</w:t>
            </w:r>
            <w:r>
              <w:rPr>
                <w:rFonts w:hint="eastAsia" w:ascii="宋体" w:hAnsi="宋体" w:cs="宋体"/>
                <w:bCs/>
                <w:snapToGrid w:val="0"/>
                <w:color w:val="auto"/>
                <w:kern w:val="0"/>
                <w:sz w:val="20"/>
                <w:szCs w:val="20"/>
                <w:highlight w:val="none"/>
                <w:u w:val="single"/>
                <w:lang w:val="en-US" w:eastAsia="zh-CN"/>
              </w:rPr>
              <w:t>7</w:t>
            </w:r>
            <w:r>
              <w:rPr>
                <w:rFonts w:hint="eastAsia" w:ascii="宋体" w:hAnsi="宋体" w:cs="宋体"/>
                <w:bCs/>
                <w:snapToGrid w:val="0"/>
                <w:color w:val="auto"/>
                <w:kern w:val="0"/>
                <w:sz w:val="20"/>
                <w:szCs w:val="20"/>
                <w:highlight w:val="none"/>
                <w:u w:val="single"/>
              </w:rPr>
              <w:t>月</w:t>
            </w:r>
            <w:r>
              <w:rPr>
                <w:rFonts w:hint="eastAsia" w:ascii="宋体" w:hAnsi="宋体" w:cs="宋体"/>
                <w:bCs/>
                <w:snapToGrid w:val="0"/>
                <w:color w:val="auto"/>
                <w:kern w:val="0"/>
                <w:sz w:val="20"/>
                <w:szCs w:val="20"/>
                <w:highlight w:val="none"/>
                <w:u w:val="single"/>
                <w:lang w:val="en-US" w:eastAsia="zh-CN"/>
              </w:rPr>
              <w:t>28</w:t>
            </w:r>
            <w:r>
              <w:rPr>
                <w:rFonts w:hint="eastAsia" w:ascii="宋体" w:hAnsi="宋体" w:cs="宋体"/>
                <w:bCs/>
                <w:snapToGrid w:val="0"/>
                <w:color w:val="auto"/>
                <w:kern w:val="0"/>
                <w:sz w:val="20"/>
                <w:szCs w:val="20"/>
                <w:highlight w:val="none"/>
                <w:u w:val="single"/>
              </w:rPr>
              <w:t>日</w:t>
            </w:r>
            <w:r>
              <w:rPr>
                <w:rFonts w:hint="eastAsia" w:ascii="宋体" w:hAnsi="宋体" w:cs="宋体"/>
                <w:bCs/>
                <w:snapToGrid w:val="0"/>
                <w:color w:val="auto"/>
                <w:kern w:val="0"/>
                <w:sz w:val="20"/>
                <w:szCs w:val="20"/>
                <w:highlight w:val="none"/>
                <w:u w:val="single"/>
                <w:lang w:val="en-US" w:eastAsia="zh-CN"/>
              </w:rPr>
              <w:t>10</w:t>
            </w:r>
            <w:r>
              <w:rPr>
                <w:rFonts w:hint="eastAsia" w:ascii="宋体" w:hAnsi="宋体" w:cs="宋体"/>
                <w:bCs/>
                <w:snapToGrid w:val="0"/>
                <w:color w:val="auto"/>
                <w:kern w:val="0"/>
                <w:sz w:val="20"/>
                <w:szCs w:val="20"/>
                <w:highlight w:val="none"/>
                <w:u w:val="single"/>
              </w:rPr>
              <w:t>时</w:t>
            </w:r>
            <w:r>
              <w:rPr>
                <w:rFonts w:hint="eastAsia" w:ascii="宋体" w:hAnsi="宋体" w:cs="宋体"/>
                <w:bCs/>
                <w:snapToGrid w:val="0"/>
                <w:color w:val="auto"/>
                <w:kern w:val="0"/>
                <w:sz w:val="20"/>
                <w:szCs w:val="20"/>
                <w:highlight w:val="none"/>
                <w:u w:val="single"/>
                <w:lang w:val="en-US" w:eastAsia="zh-CN"/>
              </w:rPr>
              <w:t>00</w:t>
            </w:r>
            <w:r>
              <w:rPr>
                <w:rFonts w:hint="eastAsia" w:ascii="宋体" w:hAnsi="宋体" w:cs="宋体"/>
                <w:bCs/>
                <w:snapToGrid w:val="0"/>
                <w:color w:val="auto"/>
                <w:kern w:val="0"/>
                <w:sz w:val="20"/>
                <w:szCs w:val="20"/>
                <w:highlight w:val="none"/>
                <w:u w:val="single"/>
              </w:rPr>
              <w:t>分</w:t>
            </w:r>
            <w:r>
              <w:rPr>
                <w:rFonts w:hint="eastAsia" w:ascii="宋体" w:hAnsi="宋体" w:cs="宋体"/>
                <w:color w:val="auto"/>
                <w:kern w:val="0"/>
                <w:sz w:val="20"/>
                <w:szCs w:val="20"/>
                <w:highlight w:val="none"/>
                <w:lang w:bidi="ar"/>
              </w:rPr>
              <w:t>（与投标截止时间为同一时间）</w:t>
            </w:r>
          </w:p>
        </w:tc>
        <w:tc>
          <w:tcPr>
            <w:tcW w:w="1455" w:type="dxa"/>
            <w:vAlign w:val="center"/>
          </w:tcPr>
          <w:p w14:paraId="3C871C96">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开标地点</w:t>
            </w:r>
          </w:p>
        </w:tc>
        <w:tc>
          <w:tcPr>
            <w:tcW w:w="4875" w:type="dxa"/>
            <w:gridSpan w:val="2"/>
            <w:vAlign w:val="center"/>
          </w:tcPr>
          <w:p w14:paraId="67CCA316">
            <w:pPr>
              <w:widowControl/>
              <w:adjustRightInd w:val="0"/>
              <w:snapToGrid w:val="0"/>
              <w:spacing w:line="288" w:lineRule="auto"/>
              <w:textAlignment w:val="center"/>
              <w:rPr>
                <w:rFonts w:hint="eastAsia" w:ascii="宋体" w:hAnsi="宋体" w:cs="宋体"/>
                <w:color w:val="000000" w:themeColor="text1"/>
                <w:sz w:val="20"/>
                <w:szCs w:val="20"/>
                <w:highlight w:val="none"/>
                <w:lang w:val="en-US" w:eastAsia="zh-CN"/>
                <w14:textFill>
                  <w14:solidFill>
                    <w14:schemeClr w14:val="tx1"/>
                  </w14:solidFill>
                </w14:textFill>
              </w:rPr>
            </w:pPr>
            <w:r>
              <w:rPr>
                <w:rFonts w:hint="eastAsia" w:ascii="宋体" w:hAnsi="宋体" w:cs="宋体"/>
                <w:color w:val="000000" w:themeColor="text1"/>
                <w:sz w:val="20"/>
                <w:szCs w:val="20"/>
                <w:highlight w:val="none"/>
                <w:lang w:val="en-US" w:eastAsia="zh-CN"/>
                <w14:textFill>
                  <w14:solidFill>
                    <w14:schemeClr w14:val="tx1"/>
                  </w14:solidFill>
                </w14:textFill>
              </w:rPr>
              <w:t xml:space="preserve">韶关市公共资源交易中心 </w:t>
            </w:r>
          </w:p>
          <w:p w14:paraId="1445FB86">
            <w:pPr>
              <w:widowControl/>
              <w:adjustRightInd w:val="0"/>
              <w:snapToGrid w:val="0"/>
              <w:spacing w:line="288" w:lineRule="auto"/>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lang w:val="en-US" w:eastAsia="zh-CN"/>
                <w14:textFill>
                  <w14:solidFill>
                    <w14:schemeClr w14:val="tx1"/>
                  </w14:solidFill>
                </w14:textFill>
              </w:rPr>
              <w:t>地址：韶关市乳源瑶族自治县乳城镇北环中路乳源农旅特色小镇政务服务大厅4号楼3楼(京港澳高速乳源收费站路口旁)；韶关市公共资源交易中心乳源分中心，具体房间号以当日现场通知为准。</w:t>
            </w:r>
          </w:p>
        </w:tc>
      </w:tr>
      <w:tr w14:paraId="5962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118" w:type="dxa"/>
            <w:vAlign w:val="center"/>
          </w:tcPr>
          <w:p w14:paraId="1E1528A9">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发布公告媒介</w:t>
            </w:r>
          </w:p>
        </w:tc>
        <w:tc>
          <w:tcPr>
            <w:tcW w:w="8579" w:type="dxa"/>
            <w:gridSpan w:val="4"/>
            <w:vAlign w:val="center"/>
          </w:tcPr>
          <w:p w14:paraId="63CEE699">
            <w:pPr>
              <w:widowControl/>
              <w:wordWrap w:val="0"/>
              <w:topLinePunct/>
              <w:adjustRightInd w:val="0"/>
              <w:snapToGrid w:val="0"/>
              <w:spacing w:line="288" w:lineRule="auto"/>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广东省招标投标监管网、全国公共资源交易平台（广东省·韶关市），如公告详细内容不一致者，以广东省招标投标监管网公告为准。</w:t>
            </w:r>
          </w:p>
        </w:tc>
      </w:tr>
      <w:tr w14:paraId="7866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118" w:type="dxa"/>
            <w:vAlign w:val="center"/>
          </w:tcPr>
          <w:p w14:paraId="5B4C2B51">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招标人</w:t>
            </w:r>
          </w:p>
        </w:tc>
        <w:tc>
          <w:tcPr>
            <w:tcW w:w="2249" w:type="dxa"/>
            <w:vAlign w:val="center"/>
          </w:tcPr>
          <w:p w14:paraId="306ED180">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乳源瑶族自治县地方公路事务中心</w:t>
            </w:r>
          </w:p>
        </w:tc>
        <w:tc>
          <w:tcPr>
            <w:tcW w:w="1455" w:type="dxa"/>
            <w:vAlign w:val="center"/>
          </w:tcPr>
          <w:p w14:paraId="76805132">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联系地址</w:t>
            </w:r>
          </w:p>
        </w:tc>
        <w:tc>
          <w:tcPr>
            <w:tcW w:w="4875" w:type="dxa"/>
            <w:gridSpan w:val="2"/>
            <w:vAlign w:val="center"/>
          </w:tcPr>
          <w:p w14:paraId="26074A05">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韶关市乳源瑶族自治县滨江中路县交通运输局3楼</w:t>
            </w:r>
          </w:p>
        </w:tc>
      </w:tr>
      <w:tr w14:paraId="17B8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18" w:type="dxa"/>
            <w:vAlign w:val="center"/>
          </w:tcPr>
          <w:p w14:paraId="7346BA52">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招标人联系人</w:t>
            </w:r>
          </w:p>
        </w:tc>
        <w:tc>
          <w:tcPr>
            <w:tcW w:w="2249" w:type="dxa"/>
            <w:vAlign w:val="center"/>
          </w:tcPr>
          <w:p w14:paraId="7B9B4CC0">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李工</w:t>
            </w:r>
          </w:p>
        </w:tc>
        <w:tc>
          <w:tcPr>
            <w:tcW w:w="1455" w:type="dxa"/>
            <w:vAlign w:val="center"/>
          </w:tcPr>
          <w:p w14:paraId="35199B54">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联系电话</w:t>
            </w:r>
          </w:p>
        </w:tc>
        <w:tc>
          <w:tcPr>
            <w:tcW w:w="4875" w:type="dxa"/>
            <w:gridSpan w:val="2"/>
            <w:vAlign w:val="center"/>
          </w:tcPr>
          <w:p w14:paraId="243B7A4D">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0751-8556170</w:t>
            </w:r>
          </w:p>
        </w:tc>
      </w:tr>
      <w:tr w14:paraId="795A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2118" w:type="dxa"/>
            <w:vAlign w:val="center"/>
          </w:tcPr>
          <w:p w14:paraId="3BB57731">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招标代理机构</w:t>
            </w:r>
          </w:p>
        </w:tc>
        <w:tc>
          <w:tcPr>
            <w:tcW w:w="2249" w:type="dxa"/>
            <w:vAlign w:val="center"/>
          </w:tcPr>
          <w:p w14:paraId="524DFAAA">
            <w:pPr>
              <w:widowControl/>
              <w:adjustRightInd w:val="0"/>
              <w:snapToGrid w:val="0"/>
              <w:spacing w:line="288" w:lineRule="auto"/>
              <w:jc w:val="center"/>
              <w:textAlignment w:val="center"/>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cs="宋体"/>
                <w:color w:val="000000" w:themeColor="text1"/>
                <w:sz w:val="20"/>
                <w:szCs w:val="20"/>
                <w:highlight w:val="none"/>
                <w:lang w:eastAsia="zh-CN"/>
                <w14:textFill>
                  <w14:solidFill>
                    <w14:schemeClr w14:val="tx1"/>
                  </w14:solidFill>
                </w14:textFill>
              </w:rPr>
              <w:t>韶关市鸿鑫招标代理有限公司</w:t>
            </w:r>
          </w:p>
        </w:tc>
        <w:tc>
          <w:tcPr>
            <w:tcW w:w="1455" w:type="dxa"/>
            <w:vAlign w:val="center"/>
          </w:tcPr>
          <w:p w14:paraId="7D78694D">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联系地址</w:t>
            </w:r>
          </w:p>
        </w:tc>
        <w:tc>
          <w:tcPr>
            <w:tcW w:w="4875" w:type="dxa"/>
            <w:gridSpan w:val="2"/>
            <w:vAlign w:val="center"/>
          </w:tcPr>
          <w:p w14:paraId="773D30BD">
            <w:pPr>
              <w:adjustRightInd w:val="0"/>
              <w:snapToGrid w:val="0"/>
              <w:spacing w:line="288" w:lineRule="auto"/>
              <w:jc w:val="center"/>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cs="宋体"/>
                <w:color w:val="000000" w:themeColor="text1"/>
                <w:sz w:val="20"/>
                <w:szCs w:val="20"/>
                <w:highlight w:val="none"/>
                <w:lang w:eastAsia="zh-CN"/>
                <w14:textFill>
                  <w14:solidFill>
                    <w14:schemeClr w14:val="tx1"/>
                  </w14:solidFill>
                </w14:textFill>
              </w:rPr>
              <w:t>韶关市浈江区十里亭镇良村坝厂新村11号</w:t>
            </w:r>
          </w:p>
        </w:tc>
      </w:tr>
      <w:tr w14:paraId="6E70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118" w:type="dxa"/>
            <w:vMerge w:val="restart"/>
            <w:vAlign w:val="center"/>
          </w:tcPr>
          <w:p w14:paraId="4CA0E902">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招标代理联系人</w:t>
            </w:r>
          </w:p>
        </w:tc>
        <w:tc>
          <w:tcPr>
            <w:tcW w:w="2249" w:type="dxa"/>
            <w:vAlign w:val="center"/>
          </w:tcPr>
          <w:p w14:paraId="7A52A24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center"/>
              <w:textAlignment w:val="center"/>
              <w:rPr>
                <w:rFonts w:hint="eastAsia" w:ascii="宋体" w:hAnsi="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i w:val="0"/>
                <w:color w:val="000000" w:themeColor="text1"/>
                <w:sz w:val="21"/>
                <w:szCs w:val="21"/>
                <w:highlight w:val="none"/>
                <w:u w:val="none"/>
                <w:lang w:val="en-US" w:eastAsia="zh-CN"/>
                <w14:textFill>
                  <w14:solidFill>
                    <w14:schemeClr w14:val="tx1"/>
                  </w14:solidFill>
                </w14:textFill>
              </w:rPr>
              <w:t>项目负责人：胡伟</w:t>
            </w:r>
          </w:p>
        </w:tc>
        <w:tc>
          <w:tcPr>
            <w:tcW w:w="1455" w:type="dxa"/>
            <w:vMerge w:val="restart"/>
            <w:vAlign w:val="center"/>
          </w:tcPr>
          <w:p w14:paraId="79E69327">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联系电话</w:t>
            </w:r>
          </w:p>
        </w:tc>
        <w:tc>
          <w:tcPr>
            <w:tcW w:w="4875" w:type="dxa"/>
            <w:gridSpan w:val="2"/>
            <w:vMerge w:val="restart"/>
            <w:vAlign w:val="center"/>
          </w:tcPr>
          <w:p w14:paraId="5D6B6F8D">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0751-8887660</w:t>
            </w:r>
          </w:p>
        </w:tc>
      </w:tr>
      <w:tr w14:paraId="3DED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118" w:type="dxa"/>
            <w:vMerge w:val="continue"/>
            <w:vAlign w:val="center"/>
          </w:tcPr>
          <w:p w14:paraId="675E5BAB">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p>
        </w:tc>
        <w:tc>
          <w:tcPr>
            <w:tcW w:w="2249" w:type="dxa"/>
            <w:vAlign w:val="center"/>
          </w:tcPr>
          <w:p w14:paraId="5FE7FC2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eastAsia="宋体" w:cs="宋体"/>
                <w:i w:val="0"/>
                <w:color w:val="000000" w:themeColor="text1"/>
                <w:sz w:val="21"/>
                <w:szCs w:val="21"/>
                <w:highlight w:val="none"/>
                <w:u w:val="none"/>
                <w14:textFill>
                  <w14:solidFill>
                    <w14:schemeClr w14:val="tx1"/>
                  </w14:solidFill>
                </w14:textFill>
              </w:rPr>
              <w:t>经办人：</w:t>
            </w:r>
            <w:r>
              <w:rPr>
                <w:rFonts w:hint="eastAsia" w:ascii="宋体" w:hAnsi="宋体" w:eastAsia="宋体" w:cs="宋体"/>
                <w:i w:val="0"/>
                <w:color w:val="000000" w:themeColor="text1"/>
                <w:sz w:val="21"/>
                <w:szCs w:val="21"/>
                <w:highlight w:val="none"/>
                <w:u w:val="none"/>
                <w:lang w:val="en-US" w:eastAsia="zh-CN"/>
                <w14:textFill>
                  <w14:solidFill>
                    <w14:schemeClr w14:val="tx1"/>
                  </w14:solidFill>
                </w14:textFill>
              </w:rPr>
              <w:t>杨静</w:t>
            </w:r>
          </w:p>
        </w:tc>
        <w:tc>
          <w:tcPr>
            <w:tcW w:w="1455" w:type="dxa"/>
            <w:vMerge w:val="continue"/>
            <w:vAlign w:val="center"/>
          </w:tcPr>
          <w:p w14:paraId="0F3EC4B6">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p>
        </w:tc>
        <w:tc>
          <w:tcPr>
            <w:tcW w:w="4875" w:type="dxa"/>
            <w:gridSpan w:val="2"/>
            <w:vMerge w:val="continue"/>
            <w:vAlign w:val="center"/>
          </w:tcPr>
          <w:p w14:paraId="64513B5E">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p>
        </w:tc>
      </w:tr>
      <w:tr w14:paraId="30A3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18" w:type="dxa"/>
            <w:vAlign w:val="center"/>
          </w:tcPr>
          <w:p w14:paraId="7057964E">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招标监督机构</w:t>
            </w:r>
          </w:p>
        </w:tc>
        <w:tc>
          <w:tcPr>
            <w:tcW w:w="2249" w:type="dxa"/>
            <w:vAlign w:val="center"/>
          </w:tcPr>
          <w:p w14:paraId="4716072B">
            <w:pPr>
              <w:widowControl/>
              <w:adjustRightInd w:val="0"/>
              <w:snapToGrid w:val="0"/>
              <w:spacing w:line="288" w:lineRule="auto"/>
              <w:jc w:val="center"/>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乳源瑶族自治县交通运输局</w:t>
            </w:r>
          </w:p>
        </w:tc>
        <w:tc>
          <w:tcPr>
            <w:tcW w:w="1455" w:type="dxa"/>
            <w:vAlign w:val="center"/>
          </w:tcPr>
          <w:p w14:paraId="4D9731E8">
            <w:pPr>
              <w:widowControl/>
              <w:adjustRightInd w:val="0"/>
              <w:snapToGrid w:val="0"/>
              <w:spacing w:line="288" w:lineRule="auto"/>
              <w:jc w:val="center"/>
              <w:textAlignment w:val="center"/>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联系电话</w:t>
            </w:r>
          </w:p>
        </w:tc>
        <w:tc>
          <w:tcPr>
            <w:tcW w:w="4875" w:type="dxa"/>
            <w:gridSpan w:val="2"/>
            <w:vAlign w:val="center"/>
          </w:tcPr>
          <w:p w14:paraId="74290DEF">
            <w:pPr>
              <w:adjustRightInd w:val="0"/>
              <w:snapToGrid w:val="0"/>
              <w:spacing w:line="288" w:lineRule="auto"/>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0751-8556180</w:t>
            </w:r>
          </w:p>
        </w:tc>
      </w:tr>
      <w:tr w14:paraId="7CB2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118" w:type="dxa"/>
            <w:vAlign w:val="center"/>
          </w:tcPr>
          <w:p w14:paraId="64A15C94">
            <w:pPr>
              <w:widowControl/>
              <w:adjustRightInd w:val="0"/>
              <w:snapToGrid w:val="0"/>
              <w:spacing w:line="288" w:lineRule="auto"/>
              <w:jc w:val="center"/>
              <w:textAlignment w:val="center"/>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b/>
                <w:bCs/>
                <w:color w:val="000000" w:themeColor="text1"/>
                <w:kern w:val="0"/>
                <w:sz w:val="20"/>
                <w:szCs w:val="20"/>
                <w:highlight w:val="none"/>
                <w:lang w:bidi="ar"/>
                <w14:textFill>
                  <w14:solidFill>
                    <w14:schemeClr w14:val="tx1"/>
                  </w14:solidFill>
                </w14:textFill>
              </w:rPr>
              <w:t>其他依法应当载明的内容</w:t>
            </w:r>
          </w:p>
        </w:tc>
        <w:tc>
          <w:tcPr>
            <w:tcW w:w="8579" w:type="dxa"/>
            <w:gridSpan w:val="4"/>
            <w:vAlign w:val="center"/>
          </w:tcPr>
          <w:p w14:paraId="26C219B8">
            <w:pPr>
              <w:spacing w:line="360" w:lineRule="auto"/>
              <w:ind w:left="115" w:right="112" w:firstLine="16"/>
              <w:rPr>
                <w:rFonts w:hint="eastAsia" w:ascii="宋体" w:hAnsi="宋体" w:cs="宋体"/>
                <w:color w:val="000000" w:themeColor="text1"/>
                <w:spacing w:val="5"/>
                <w:sz w:val="20"/>
                <w:szCs w:val="20"/>
                <w:highlight w:val="none"/>
                <w14:textFill>
                  <w14:solidFill>
                    <w14:schemeClr w14:val="tx1"/>
                  </w14:solidFill>
                </w14:textFill>
              </w:rPr>
            </w:pPr>
            <w:r>
              <w:rPr>
                <w:rFonts w:hint="eastAsia" w:ascii="宋体" w:hAnsi="宋体" w:cs="宋体"/>
                <w:color w:val="000000" w:themeColor="text1"/>
                <w:spacing w:val="5"/>
                <w:sz w:val="20"/>
                <w:szCs w:val="20"/>
                <w:highlight w:val="none"/>
                <w14:textFill>
                  <w14:solidFill>
                    <w14:schemeClr w14:val="tx1"/>
                  </w14:solidFill>
                </w14:textFill>
              </w:rPr>
              <w:t>1、</w:t>
            </w:r>
            <w:r>
              <w:rPr>
                <w:rFonts w:hint="eastAsia" w:ascii="宋体" w:hAnsi="宋体" w:cs="宋体"/>
                <w:color w:val="000000" w:themeColor="text1"/>
                <w:spacing w:val="4"/>
                <w:sz w:val="20"/>
                <w:szCs w:val="20"/>
                <w:highlight w:val="none"/>
                <w14:textFill>
                  <w14:solidFill>
                    <w14:schemeClr w14:val="tx1"/>
                  </w14:solidFill>
                </w14:textFill>
              </w:rPr>
              <w:t>本招标项目</w:t>
            </w:r>
            <w:r>
              <w:rPr>
                <w:rFonts w:hint="eastAsia" w:ascii="宋体" w:hAnsi="宋体" w:cs="宋体"/>
                <w:color w:val="000000" w:themeColor="text1"/>
                <w:spacing w:val="4"/>
                <w:sz w:val="20"/>
                <w:szCs w:val="20"/>
                <w:highlight w:val="none"/>
                <w:u w:val="single"/>
                <w:lang w:eastAsia="zh-CN"/>
                <w14:textFill>
                  <w14:solidFill>
                    <w14:schemeClr w14:val="tx1"/>
                  </w14:solidFill>
                </w14:textFill>
              </w:rPr>
              <w:t>桂头镇仙湖工业园规划路新建工程</w:t>
            </w:r>
            <w:r>
              <w:rPr>
                <w:rFonts w:hint="eastAsia" w:ascii="宋体" w:hAnsi="宋体" w:cs="宋体"/>
                <w:color w:val="000000" w:themeColor="text1"/>
                <w:spacing w:val="4"/>
                <w:sz w:val="20"/>
                <w:szCs w:val="20"/>
                <w:highlight w:val="none"/>
                <w14:textFill>
                  <w14:solidFill>
                    <w14:schemeClr w14:val="tx1"/>
                  </w14:solidFill>
                </w14:textFill>
              </w:rPr>
              <w:t>已由</w:t>
            </w:r>
            <w:r>
              <w:rPr>
                <w:rFonts w:hint="eastAsia" w:ascii="宋体" w:hAnsi="宋体" w:cs="宋体"/>
                <w:color w:val="000000" w:themeColor="text1"/>
                <w:spacing w:val="4"/>
                <w:sz w:val="20"/>
                <w:szCs w:val="20"/>
                <w:highlight w:val="none"/>
                <w:u w:val="single"/>
                <w14:textFill>
                  <w14:solidFill>
                    <w14:schemeClr w14:val="tx1"/>
                  </w14:solidFill>
                </w14:textFill>
              </w:rPr>
              <w:t>乳源瑶族自治县发展和改革局</w:t>
            </w:r>
            <w:r>
              <w:rPr>
                <w:rFonts w:hint="eastAsia" w:ascii="宋体" w:hAnsi="宋体" w:cs="宋体"/>
                <w:color w:val="000000" w:themeColor="text1"/>
                <w:spacing w:val="4"/>
                <w:sz w:val="20"/>
                <w:szCs w:val="20"/>
                <w:highlight w:val="none"/>
                <w:u w:val="none"/>
                <w:lang w:val="en-US" w:eastAsia="zh-CN"/>
                <w14:textFill>
                  <w14:solidFill>
                    <w14:schemeClr w14:val="tx1"/>
                  </w14:solidFill>
                </w14:textFill>
              </w:rPr>
              <w:t>以</w:t>
            </w:r>
            <w:r>
              <w:rPr>
                <w:rFonts w:hint="eastAsia" w:ascii="宋体" w:hAnsi="宋体" w:cs="宋体"/>
                <w:color w:val="000000" w:themeColor="text1"/>
                <w:spacing w:val="4"/>
                <w:sz w:val="20"/>
                <w:szCs w:val="20"/>
                <w:highlight w:val="none"/>
                <w:u w:val="single"/>
                <w:lang w:val="en-US" w:eastAsia="zh-CN"/>
                <w14:textFill>
                  <w14:solidFill>
                    <w14:schemeClr w14:val="tx1"/>
                  </w14:solidFill>
                </w14:textFill>
              </w:rPr>
              <w:t>关于同意桂头镇仙湖工业园规划路新建工程项目可行性研究报告变更的批复（乳发改投审〔2026〕11号〕</w:t>
            </w:r>
            <w:r>
              <w:rPr>
                <w:rFonts w:hint="eastAsia" w:ascii="宋体" w:hAnsi="宋体" w:cs="宋体"/>
                <w:color w:val="000000" w:themeColor="text1"/>
                <w:spacing w:val="4"/>
                <w:sz w:val="20"/>
                <w:szCs w:val="20"/>
                <w:highlight w:val="none"/>
                <w:u w:val="none"/>
                <w:lang w:val="en-US" w:eastAsia="zh-CN"/>
                <w14:textFill>
                  <w14:solidFill>
                    <w14:schemeClr w14:val="tx1"/>
                  </w14:solidFill>
                </w14:textFill>
              </w:rPr>
              <w:t>、</w:t>
            </w:r>
            <w:r>
              <w:rPr>
                <w:rFonts w:hint="eastAsia" w:ascii="宋体" w:hAnsi="宋体" w:cs="宋体"/>
                <w:color w:val="000000" w:themeColor="text1"/>
                <w:spacing w:val="4"/>
                <w:sz w:val="20"/>
                <w:szCs w:val="20"/>
                <w:highlight w:val="none"/>
                <w:u w:val="single"/>
                <w14:textFill>
                  <w14:solidFill>
                    <w14:schemeClr w14:val="tx1"/>
                  </w14:solidFill>
                </w14:textFill>
              </w:rPr>
              <w:t>乳源瑶族自治县交通运输局</w:t>
            </w:r>
            <w:r>
              <w:rPr>
                <w:rFonts w:hint="eastAsia" w:ascii="宋体" w:hAnsi="宋体" w:cs="宋体"/>
                <w:color w:val="000000" w:themeColor="text1"/>
                <w:spacing w:val="4"/>
                <w:sz w:val="20"/>
                <w:szCs w:val="20"/>
                <w:highlight w:val="none"/>
                <w14:textFill>
                  <w14:solidFill>
                    <w14:schemeClr w14:val="tx1"/>
                  </w14:solidFill>
                </w14:textFill>
              </w:rPr>
              <w:t>以</w:t>
            </w:r>
            <w:r>
              <w:rPr>
                <w:rFonts w:hint="eastAsia" w:ascii="宋体" w:hAnsi="宋体" w:cs="宋体"/>
                <w:color w:val="000000" w:themeColor="text1"/>
                <w:spacing w:val="4"/>
                <w:sz w:val="20"/>
                <w:szCs w:val="20"/>
                <w:highlight w:val="none"/>
                <w:u w:val="single"/>
                <w14:textFill>
                  <w14:solidFill>
                    <w14:schemeClr w14:val="tx1"/>
                  </w14:solidFill>
                </w14:textFill>
              </w:rPr>
              <w:t>关于</w:t>
            </w:r>
            <w:r>
              <w:rPr>
                <w:rFonts w:hint="eastAsia" w:ascii="宋体" w:hAnsi="宋体" w:cs="宋体"/>
                <w:color w:val="000000" w:themeColor="text1"/>
                <w:spacing w:val="4"/>
                <w:sz w:val="20"/>
                <w:szCs w:val="20"/>
                <w:highlight w:val="none"/>
                <w:u w:val="single"/>
                <w:lang w:eastAsia="zh-CN"/>
                <w14:textFill>
                  <w14:solidFill>
                    <w14:schemeClr w14:val="tx1"/>
                  </w14:solidFill>
                </w14:textFill>
              </w:rPr>
              <w:t>桂头镇仙湖工业园规划路新建工程</w:t>
            </w:r>
            <w:r>
              <w:rPr>
                <w:rFonts w:hint="eastAsia" w:ascii="宋体" w:hAnsi="宋体" w:cs="宋体"/>
                <w:color w:val="000000" w:themeColor="text1"/>
                <w:spacing w:val="4"/>
                <w:sz w:val="20"/>
                <w:szCs w:val="20"/>
                <w:highlight w:val="none"/>
                <w:u w:val="single"/>
                <w14:textFill>
                  <w14:solidFill>
                    <w14:schemeClr w14:val="tx1"/>
                  </w14:solidFill>
                </w14:textFill>
              </w:rPr>
              <w:t>初步设计的批复（乳交基〔202</w:t>
            </w:r>
            <w:r>
              <w:rPr>
                <w:rFonts w:hint="eastAsia" w:ascii="宋体" w:hAnsi="宋体" w:cs="宋体"/>
                <w:color w:val="000000" w:themeColor="text1"/>
                <w:spacing w:val="4"/>
                <w:sz w:val="20"/>
                <w:szCs w:val="20"/>
                <w:highlight w:val="none"/>
                <w:u w:val="single"/>
                <w:lang w:val="en-US" w:eastAsia="zh-CN"/>
                <w14:textFill>
                  <w14:solidFill>
                    <w14:schemeClr w14:val="tx1"/>
                  </w14:solidFill>
                </w14:textFill>
              </w:rPr>
              <w:t>6</w:t>
            </w:r>
            <w:r>
              <w:rPr>
                <w:rFonts w:hint="eastAsia" w:ascii="宋体" w:hAnsi="宋体" w:cs="宋体"/>
                <w:color w:val="000000" w:themeColor="text1"/>
                <w:spacing w:val="4"/>
                <w:sz w:val="20"/>
                <w:szCs w:val="20"/>
                <w:highlight w:val="none"/>
                <w:u w:val="single"/>
                <w14:textFill>
                  <w14:solidFill>
                    <w14:schemeClr w14:val="tx1"/>
                  </w14:solidFill>
                </w14:textFill>
              </w:rPr>
              <w:t>〕</w:t>
            </w:r>
            <w:r>
              <w:rPr>
                <w:rFonts w:hint="eastAsia" w:ascii="宋体" w:hAnsi="宋体" w:cs="宋体"/>
                <w:color w:val="000000" w:themeColor="text1"/>
                <w:spacing w:val="4"/>
                <w:sz w:val="20"/>
                <w:szCs w:val="20"/>
                <w:highlight w:val="none"/>
                <w:u w:val="single"/>
                <w:lang w:val="en-US" w:eastAsia="zh-CN"/>
                <w14:textFill>
                  <w14:solidFill>
                    <w14:schemeClr w14:val="tx1"/>
                  </w14:solidFill>
                </w14:textFill>
              </w:rPr>
              <w:t>8</w:t>
            </w:r>
            <w:r>
              <w:rPr>
                <w:rFonts w:hint="eastAsia" w:ascii="宋体" w:hAnsi="宋体" w:cs="宋体"/>
                <w:color w:val="000000" w:themeColor="text1"/>
                <w:spacing w:val="4"/>
                <w:sz w:val="20"/>
                <w:szCs w:val="20"/>
                <w:highlight w:val="none"/>
                <w:u w:val="single"/>
                <w14:textFill>
                  <w14:solidFill>
                    <w14:schemeClr w14:val="tx1"/>
                  </w14:solidFill>
                </w14:textFill>
              </w:rPr>
              <w:t>号）</w:t>
            </w:r>
            <w:r>
              <w:rPr>
                <w:rFonts w:hint="eastAsia" w:ascii="宋体" w:hAnsi="宋体" w:cs="宋体"/>
                <w:color w:val="000000" w:themeColor="text1"/>
                <w:spacing w:val="4"/>
                <w:sz w:val="20"/>
                <w:szCs w:val="20"/>
                <w:highlight w:val="none"/>
                <w14:textFill>
                  <w14:solidFill>
                    <w14:schemeClr w14:val="tx1"/>
                  </w14:solidFill>
                </w14:textFill>
              </w:rPr>
              <w:t>批准建设</w:t>
            </w:r>
            <w:r>
              <w:rPr>
                <w:rFonts w:hint="eastAsia" w:ascii="宋体" w:hAnsi="宋体" w:cs="宋体"/>
                <w:color w:val="000000" w:themeColor="text1"/>
                <w:spacing w:val="7"/>
                <w:sz w:val="20"/>
                <w:szCs w:val="20"/>
                <w:highlight w:val="none"/>
                <w14:textFill>
                  <w14:solidFill>
                    <w14:schemeClr w14:val="tx1"/>
                  </w14:solidFill>
                </w14:textFill>
              </w:rPr>
              <w:t>，</w:t>
            </w:r>
            <w:r>
              <w:rPr>
                <w:rFonts w:hint="eastAsia" w:ascii="宋体" w:hAnsi="宋体" w:cs="宋体"/>
                <w:color w:val="000000" w:themeColor="text1"/>
                <w:spacing w:val="7"/>
                <w:sz w:val="20"/>
                <w:szCs w:val="20"/>
                <w:highlight w:val="none"/>
                <w:lang w:val="en-US" w:eastAsia="zh-CN"/>
                <w14:textFill>
                  <w14:solidFill>
                    <w14:schemeClr w14:val="tx1"/>
                  </w14:solidFill>
                </w14:textFill>
              </w:rPr>
              <w:t>初步设计概算的批复</w:t>
            </w:r>
            <w:r>
              <w:rPr>
                <w:rFonts w:hint="eastAsia" w:ascii="宋体" w:hAnsi="宋体" w:cs="宋体"/>
                <w:color w:val="000000" w:themeColor="text1"/>
                <w:sz w:val="20"/>
                <w:szCs w:val="15"/>
                <w:highlight w:val="none"/>
                <w14:textFill>
                  <w14:solidFill>
                    <w14:schemeClr w14:val="tx1"/>
                  </w14:solidFill>
                </w14:textFill>
              </w:rPr>
              <w:t>已由</w:t>
            </w:r>
            <w:r>
              <w:rPr>
                <w:rFonts w:hint="eastAsia" w:ascii="宋体" w:hAnsi="宋体" w:cs="宋体"/>
                <w:color w:val="000000" w:themeColor="text1"/>
                <w:sz w:val="20"/>
                <w:szCs w:val="15"/>
                <w:highlight w:val="none"/>
                <w:u w:val="single"/>
                <w14:textFill>
                  <w14:solidFill>
                    <w14:schemeClr w14:val="tx1"/>
                  </w14:solidFill>
                </w14:textFill>
              </w:rPr>
              <w:t>乳源瑶族自治县</w:t>
            </w:r>
            <w:r>
              <w:rPr>
                <w:rFonts w:hint="eastAsia" w:ascii="宋体" w:hAnsi="宋体" w:cs="宋体"/>
                <w:color w:val="000000" w:themeColor="text1"/>
                <w:sz w:val="20"/>
                <w:szCs w:val="15"/>
                <w:highlight w:val="none"/>
                <w:u w:val="single"/>
                <w:lang w:eastAsia="zh-CN"/>
                <w14:textFill>
                  <w14:solidFill>
                    <w14:schemeClr w14:val="tx1"/>
                  </w14:solidFill>
                </w14:textFill>
              </w:rPr>
              <w:t>发展和改革局</w:t>
            </w:r>
            <w:r>
              <w:rPr>
                <w:rFonts w:hint="eastAsia" w:ascii="宋体" w:hAnsi="宋体" w:cs="宋体"/>
                <w:color w:val="000000" w:themeColor="text1"/>
                <w:spacing w:val="9"/>
                <w:sz w:val="20"/>
                <w:szCs w:val="15"/>
                <w:highlight w:val="none"/>
                <w14:textFill>
                  <w14:solidFill>
                    <w14:schemeClr w14:val="tx1"/>
                  </w14:solidFill>
                </w14:textFill>
              </w:rPr>
              <w:t>以</w:t>
            </w:r>
            <w:r>
              <w:rPr>
                <w:rFonts w:hint="eastAsia" w:ascii="宋体" w:hAnsi="宋体" w:cs="宋体"/>
                <w:color w:val="000000" w:themeColor="text1"/>
                <w:spacing w:val="7"/>
                <w:sz w:val="20"/>
                <w:szCs w:val="20"/>
                <w:highlight w:val="none"/>
                <w:u w:val="single"/>
                <w:lang w:val="en-US" w:eastAsia="zh-CN"/>
                <w14:textFill>
                  <w14:solidFill>
                    <w14:schemeClr w14:val="tx1"/>
                  </w14:solidFill>
                </w14:textFill>
              </w:rPr>
              <w:t>关于桂头镇仙湖工业园规划路新建工程项目初步设计概算的批复（乳发改</w:t>
            </w:r>
            <w:r>
              <w:rPr>
                <w:rFonts w:hint="eastAsia" w:ascii="宋体" w:hAnsi="宋体" w:cs="宋体"/>
                <w:color w:val="000000" w:themeColor="text1"/>
                <w:spacing w:val="7"/>
                <w:sz w:val="20"/>
                <w:szCs w:val="20"/>
                <w:highlight w:val="none"/>
                <w:u w:val="single"/>
                <w14:textFill>
                  <w14:solidFill>
                    <w14:schemeClr w14:val="tx1"/>
                  </w14:solidFill>
                </w14:textFill>
              </w:rPr>
              <w:t>〔2026〕</w:t>
            </w:r>
            <w:r>
              <w:rPr>
                <w:rFonts w:hint="eastAsia" w:ascii="宋体" w:hAnsi="宋体" w:cs="宋体"/>
                <w:color w:val="000000" w:themeColor="text1"/>
                <w:spacing w:val="7"/>
                <w:sz w:val="20"/>
                <w:szCs w:val="20"/>
                <w:highlight w:val="none"/>
                <w:u w:val="single"/>
                <w:lang w:val="en-US" w:eastAsia="zh-CN"/>
                <w14:textFill>
                  <w14:solidFill>
                    <w14:schemeClr w14:val="tx1"/>
                  </w14:solidFill>
                </w14:textFill>
              </w:rPr>
              <w:t>29</w:t>
            </w:r>
            <w:r>
              <w:rPr>
                <w:rFonts w:hint="eastAsia" w:ascii="宋体" w:hAnsi="宋体" w:cs="宋体"/>
                <w:color w:val="000000" w:themeColor="text1"/>
                <w:spacing w:val="7"/>
                <w:sz w:val="20"/>
                <w:szCs w:val="20"/>
                <w:highlight w:val="none"/>
                <w:u w:val="single"/>
                <w14:textFill>
                  <w14:solidFill>
                    <w14:schemeClr w14:val="tx1"/>
                  </w14:solidFill>
                </w14:textFill>
              </w:rPr>
              <w:t>号</w:t>
            </w:r>
            <w:r>
              <w:rPr>
                <w:rFonts w:hint="eastAsia" w:ascii="宋体" w:hAnsi="宋体" w:cs="宋体"/>
                <w:color w:val="000000" w:themeColor="text1"/>
                <w:spacing w:val="7"/>
                <w:sz w:val="20"/>
                <w:szCs w:val="20"/>
                <w:highlight w:val="none"/>
                <w:u w:val="single"/>
                <w:lang w:eastAsia="zh-CN"/>
                <w14:textFill>
                  <w14:solidFill>
                    <w14:schemeClr w14:val="tx1"/>
                  </w14:solidFill>
                </w14:textFill>
              </w:rPr>
              <w:t>）批准</w:t>
            </w:r>
            <w:r>
              <w:rPr>
                <w:rFonts w:hint="eastAsia" w:ascii="宋体" w:hAnsi="宋体" w:cs="宋体"/>
                <w:color w:val="000000" w:themeColor="text1"/>
                <w:spacing w:val="7"/>
                <w:sz w:val="20"/>
                <w:szCs w:val="20"/>
                <w:highlight w:val="none"/>
                <w:u w:val="single"/>
                <w:lang w:val="en-US" w:eastAsia="zh-CN"/>
                <w14:textFill>
                  <w14:solidFill>
                    <w14:schemeClr w14:val="tx1"/>
                  </w14:solidFill>
                </w14:textFill>
              </w:rPr>
              <w:t>，</w:t>
            </w:r>
            <w:r>
              <w:rPr>
                <w:rFonts w:hint="eastAsia" w:ascii="宋体" w:hAnsi="宋体" w:cs="宋体"/>
                <w:color w:val="000000" w:themeColor="text1"/>
                <w:sz w:val="20"/>
                <w:szCs w:val="15"/>
                <w:highlight w:val="none"/>
                <w14:textFill>
                  <w14:solidFill>
                    <w14:schemeClr w14:val="tx1"/>
                  </w14:solidFill>
                </w14:textFill>
              </w:rPr>
              <w:t>施工图设计已由</w:t>
            </w:r>
            <w:r>
              <w:rPr>
                <w:rFonts w:hint="eastAsia" w:ascii="宋体" w:hAnsi="宋体" w:cs="宋体"/>
                <w:color w:val="000000" w:themeColor="text1"/>
                <w:sz w:val="20"/>
                <w:szCs w:val="15"/>
                <w:highlight w:val="none"/>
                <w:u w:val="single"/>
                <w14:textFill>
                  <w14:solidFill>
                    <w14:schemeClr w14:val="tx1"/>
                  </w14:solidFill>
                </w14:textFill>
              </w:rPr>
              <w:t>乳源瑶族自治县交通运输局</w:t>
            </w:r>
            <w:r>
              <w:rPr>
                <w:rFonts w:hint="eastAsia" w:ascii="宋体" w:hAnsi="宋体" w:cs="宋体"/>
                <w:color w:val="000000" w:themeColor="text1"/>
                <w:spacing w:val="9"/>
                <w:sz w:val="20"/>
                <w:szCs w:val="15"/>
                <w:highlight w:val="none"/>
                <w14:textFill>
                  <w14:solidFill>
                    <w14:schemeClr w14:val="tx1"/>
                  </w14:solidFill>
                </w14:textFill>
              </w:rPr>
              <w:t>以</w:t>
            </w:r>
            <w:r>
              <w:rPr>
                <w:rFonts w:hint="eastAsia" w:ascii="宋体" w:hAnsi="宋体" w:cs="宋体"/>
                <w:color w:val="000000" w:themeColor="text1"/>
                <w:sz w:val="20"/>
                <w:szCs w:val="15"/>
                <w:highlight w:val="none"/>
                <w:u w:val="single"/>
                <w14:textFill>
                  <w14:solidFill>
                    <w14:schemeClr w14:val="tx1"/>
                  </w14:solidFill>
                </w14:textFill>
              </w:rPr>
              <w:t>关于</w:t>
            </w:r>
            <w:r>
              <w:rPr>
                <w:rFonts w:hint="eastAsia" w:ascii="宋体" w:hAnsi="宋体" w:cs="宋体"/>
                <w:color w:val="000000" w:themeColor="text1"/>
                <w:sz w:val="20"/>
                <w:szCs w:val="15"/>
                <w:highlight w:val="none"/>
                <w:u w:val="single"/>
                <w:lang w:eastAsia="zh-CN"/>
                <w14:textFill>
                  <w14:solidFill>
                    <w14:schemeClr w14:val="tx1"/>
                  </w14:solidFill>
                </w14:textFill>
              </w:rPr>
              <w:t>桂头镇仙湖工业园规划路新建工程</w:t>
            </w:r>
            <w:r>
              <w:rPr>
                <w:rFonts w:hint="eastAsia" w:ascii="宋体" w:hAnsi="宋体" w:cs="宋体"/>
                <w:color w:val="000000" w:themeColor="text1"/>
                <w:sz w:val="20"/>
                <w:szCs w:val="15"/>
                <w:highlight w:val="none"/>
                <w:u w:val="single"/>
                <w14:textFill>
                  <w14:solidFill>
                    <w14:schemeClr w14:val="tx1"/>
                  </w14:solidFill>
                </w14:textFill>
              </w:rPr>
              <w:t>施工图设计的批复</w:t>
            </w:r>
            <w:r>
              <w:rPr>
                <w:rFonts w:hint="eastAsia" w:ascii="宋体" w:hAnsi="宋体" w:cs="宋体"/>
                <w:color w:val="000000" w:themeColor="text1"/>
                <w:sz w:val="20"/>
                <w:szCs w:val="15"/>
                <w:highlight w:val="none"/>
                <w:u w:val="single"/>
                <w:lang w:eastAsia="zh-CN"/>
                <w14:textFill>
                  <w14:solidFill>
                    <w14:schemeClr w14:val="tx1"/>
                  </w14:solidFill>
                </w14:textFill>
              </w:rPr>
              <w:t>（乳交基〔2026〕</w:t>
            </w:r>
            <w:r>
              <w:rPr>
                <w:rFonts w:hint="eastAsia" w:ascii="宋体" w:hAnsi="宋体" w:cs="宋体"/>
                <w:color w:val="000000" w:themeColor="text1"/>
                <w:sz w:val="20"/>
                <w:szCs w:val="15"/>
                <w:highlight w:val="none"/>
                <w:u w:val="single"/>
                <w:lang w:val="en-US" w:eastAsia="zh-CN"/>
                <w14:textFill>
                  <w14:solidFill>
                    <w14:schemeClr w14:val="tx1"/>
                  </w14:solidFill>
                </w14:textFill>
              </w:rPr>
              <w:t>1</w:t>
            </w:r>
            <w:r>
              <w:rPr>
                <w:rFonts w:hint="eastAsia" w:ascii="宋体" w:hAnsi="宋体" w:cs="宋体"/>
                <w:color w:val="000000" w:themeColor="text1"/>
                <w:sz w:val="20"/>
                <w:szCs w:val="15"/>
                <w:highlight w:val="none"/>
                <w:u w:val="single"/>
                <w:lang w:eastAsia="zh-CN"/>
                <w14:textFill>
                  <w14:solidFill>
                    <w14:schemeClr w14:val="tx1"/>
                  </w14:solidFill>
                </w14:textFill>
              </w:rPr>
              <w:t>2号）</w:t>
            </w:r>
            <w:r>
              <w:rPr>
                <w:rFonts w:hint="eastAsia" w:ascii="宋体" w:hAnsi="宋体" w:cs="宋体"/>
                <w:color w:val="000000" w:themeColor="text1"/>
                <w:sz w:val="20"/>
                <w:szCs w:val="15"/>
                <w:highlight w:val="none"/>
                <w14:textFill>
                  <w14:solidFill>
                    <w14:schemeClr w14:val="tx1"/>
                  </w14:solidFill>
                </w14:textFill>
              </w:rPr>
              <w:t>批准，</w:t>
            </w:r>
            <w:r>
              <w:rPr>
                <w:rFonts w:hint="eastAsia" w:ascii="宋体" w:hAnsi="宋体" w:cs="宋体"/>
                <w:color w:val="000000" w:themeColor="text1"/>
                <w:spacing w:val="6"/>
                <w:sz w:val="20"/>
                <w:szCs w:val="20"/>
                <w:highlight w:val="none"/>
                <w14:textFill>
                  <w14:solidFill>
                    <w14:schemeClr w14:val="tx1"/>
                  </w14:solidFill>
                </w14:textFill>
              </w:rPr>
              <w:t>建设单位为</w:t>
            </w:r>
            <w:r>
              <w:rPr>
                <w:rFonts w:hint="eastAsia" w:ascii="宋体" w:hAnsi="宋体" w:cs="宋体"/>
                <w:color w:val="000000" w:themeColor="text1"/>
                <w:spacing w:val="6"/>
                <w:sz w:val="20"/>
                <w:szCs w:val="20"/>
                <w:highlight w:val="none"/>
                <w:u w:val="single"/>
                <w14:textFill>
                  <w14:solidFill>
                    <w14:schemeClr w14:val="tx1"/>
                  </w14:solidFill>
                </w14:textFill>
              </w:rPr>
              <w:t>乳源瑶族自治县地方公路事务中心</w:t>
            </w:r>
            <w:r>
              <w:rPr>
                <w:rFonts w:hint="eastAsia" w:ascii="宋体" w:hAnsi="宋体" w:cs="宋体"/>
                <w:color w:val="000000" w:themeColor="text1"/>
                <w:spacing w:val="6"/>
                <w:sz w:val="20"/>
                <w:szCs w:val="20"/>
                <w:highlight w:val="none"/>
                <w14:textFill>
                  <w14:solidFill>
                    <w14:schemeClr w14:val="tx1"/>
                  </w14:solidFill>
                </w14:textFill>
              </w:rPr>
              <w:t>，招标人为</w:t>
            </w:r>
            <w:r>
              <w:rPr>
                <w:rFonts w:hint="eastAsia" w:ascii="宋体" w:hAnsi="宋体" w:cs="宋体"/>
                <w:color w:val="000000" w:themeColor="text1"/>
                <w:spacing w:val="6"/>
                <w:sz w:val="20"/>
                <w:szCs w:val="20"/>
                <w:highlight w:val="none"/>
                <w:u w:val="single"/>
                <w14:textFill>
                  <w14:solidFill>
                    <w14:schemeClr w14:val="tx1"/>
                  </w14:solidFill>
                </w14:textFill>
              </w:rPr>
              <w:t>乳源瑶族自治县地方公路事务中心</w:t>
            </w:r>
            <w:r>
              <w:rPr>
                <w:rFonts w:hint="eastAsia" w:ascii="宋体" w:hAnsi="宋体" w:cs="宋体"/>
                <w:color w:val="000000" w:themeColor="text1"/>
                <w:spacing w:val="5"/>
                <w:sz w:val="20"/>
                <w:szCs w:val="20"/>
                <w:highlight w:val="none"/>
                <w14:textFill>
                  <w14:solidFill>
                    <w14:schemeClr w14:val="tx1"/>
                  </w14:solidFill>
                </w14:textFill>
              </w:rPr>
              <w:t>。</w:t>
            </w:r>
          </w:p>
          <w:p w14:paraId="2E581D75">
            <w:pPr>
              <w:spacing w:line="360" w:lineRule="auto"/>
              <w:ind w:left="115" w:right="112" w:firstLine="16"/>
              <w:rPr>
                <w:rFonts w:hint="eastAsia" w:ascii="宋体" w:hAnsi="宋体" w:cs="宋体"/>
                <w:color w:val="000000" w:themeColor="text1"/>
                <w:sz w:val="10"/>
                <w:szCs w:val="10"/>
                <w:highlight w:val="none"/>
                <w14:textFill>
                  <w14:solidFill>
                    <w14:schemeClr w14:val="tx1"/>
                  </w14:solidFill>
                </w14:textFill>
              </w:rPr>
            </w:pPr>
            <w:r>
              <w:rPr>
                <w:rFonts w:hint="eastAsia" w:ascii="宋体" w:hAnsi="宋体" w:cs="宋体"/>
                <w:color w:val="000000" w:themeColor="text1"/>
                <w:sz w:val="20"/>
                <w:szCs w:val="15"/>
                <w:highlight w:val="none"/>
                <w14:textFill>
                  <w14:solidFill>
                    <w14:schemeClr w14:val="tx1"/>
                  </w14:solidFill>
                </w14:textFill>
              </w:rPr>
              <w:t>2、在本次招标中，每个投标人可对</w:t>
            </w:r>
            <w:r>
              <w:rPr>
                <w:rFonts w:hint="eastAsia" w:ascii="宋体" w:hAnsi="宋体" w:cs="宋体"/>
                <w:color w:val="000000" w:themeColor="text1"/>
                <w:sz w:val="20"/>
                <w:szCs w:val="15"/>
                <w:highlight w:val="none"/>
                <w:u w:val="single"/>
                <w14:textFill>
                  <w14:solidFill>
                    <w14:schemeClr w14:val="tx1"/>
                  </w14:solidFill>
                </w14:textFill>
              </w:rPr>
              <w:t xml:space="preserve"> 1 </w:t>
            </w:r>
            <w:r>
              <w:rPr>
                <w:rFonts w:hint="eastAsia" w:ascii="宋体" w:hAnsi="宋体" w:cs="宋体"/>
                <w:color w:val="000000" w:themeColor="text1"/>
                <w:sz w:val="20"/>
                <w:szCs w:val="15"/>
                <w:highlight w:val="none"/>
                <w14:textFill>
                  <w14:solidFill>
                    <w14:schemeClr w14:val="tx1"/>
                  </w14:solidFill>
                </w14:textFill>
              </w:rPr>
              <w:t>个</w:t>
            </w:r>
            <w:r>
              <w:rPr>
                <w:rFonts w:hint="eastAsia" w:ascii="宋体" w:hAnsi="宋体" w:cs="宋体"/>
                <w:color w:val="000000" w:themeColor="text1"/>
                <w:sz w:val="20"/>
                <w:szCs w:val="15"/>
                <w:highlight w:val="none"/>
                <w:u w:val="single"/>
                <w14:textFill>
                  <w14:solidFill>
                    <w14:schemeClr w14:val="tx1"/>
                  </w14:solidFill>
                </w14:textFill>
              </w:rPr>
              <w:t>标类或标段</w:t>
            </w:r>
            <w:r>
              <w:rPr>
                <w:rFonts w:hint="eastAsia" w:ascii="宋体" w:hAnsi="宋体" w:cs="宋体"/>
                <w:color w:val="000000" w:themeColor="text1"/>
                <w:sz w:val="20"/>
                <w:szCs w:val="15"/>
                <w:highlight w:val="none"/>
                <w14:textFill>
                  <w14:solidFill>
                    <w14:schemeClr w14:val="tx1"/>
                  </w14:solidFill>
                </w14:textFill>
              </w:rPr>
              <w:t>投标，且只允许中</w:t>
            </w:r>
            <w:r>
              <w:rPr>
                <w:rFonts w:hint="eastAsia" w:ascii="宋体" w:hAnsi="宋体" w:cs="宋体"/>
                <w:color w:val="000000" w:themeColor="text1"/>
                <w:sz w:val="20"/>
                <w:szCs w:val="15"/>
                <w:highlight w:val="none"/>
                <w:u w:val="single"/>
                <w14:textFill>
                  <w14:solidFill>
                    <w14:schemeClr w14:val="tx1"/>
                  </w14:solidFill>
                </w14:textFill>
              </w:rPr>
              <w:t xml:space="preserve"> 1</w:t>
            </w:r>
            <w:r>
              <w:rPr>
                <w:rFonts w:hint="eastAsia" w:ascii="宋体" w:hAnsi="宋体" w:cs="宋体"/>
                <w:color w:val="000000" w:themeColor="text1"/>
                <w:sz w:val="20"/>
                <w:szCs w:val="15"/>
                <w:highlight w:val="none"/>
                <w14:textFill>
                  <w14:solidFill>
                    <w14:schemeClr w14:val="tx1"/>
                  </w14:solidFill>
                </w14:textFill>
              </w:rPr>
              <w:t>个</w:t>
            </w:r>
            <w:r>
              <w:rPr>
                <w:rFonts w:hint="eastAsia" w:ascii="宋体" w:hAnsi="宋体" w:cs="宋体"/>
                <w:color w:val="000000" w:themeColor="text1"/>
                <w:sz w:val="20"/>
                <w:szCs w:val="15"/>
                <w:highlight w:val="none"/>
                <w:u w:val="single"/>
                <w14:textFill>
                  <w14:solidFill>
                    <w14:schemeClr w14:val="tx1"/>
                  </w14:solidFill>
                </w14:textFill>
              </w:rPr>
              <w:t>标类或标段</w:t>
            </w:r>
            <w:r>
              <w:rPr>
                <w:rFonts w:hint="eastAsia" w:ascii="宋体" w:hAnsi="宋体" w:cs="宋体"/>
                <w:color w:val="000000" w:themeColor="text1"/>
                <w:sz w:val="20"/>
                <w:szCs w:val="15"/>
                <w:highlight w:val="none"/>
                <w14:textFill>
                  <w14:solidFill>
                    <w14:schemeClr w14:val="tx1"/>
                  </w14:solidFill>
                </w14:textFill>
              </w:rPr>
              <w:t>。</w:t>
            </w:r>
          </w:p>
          <w:p w14:paraId="02AC5309">
            <w:pPr>
              <w:spacing w:line="360" w:lineRule="auto"/>
              <w:ind w:left="116" w:right="110" w:firstLine="3"/>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7"/>
                <w:sz w:val="20"/>
                <w:szCs w:val="20"/>
                <w:highlight w:val="none"/>
                <w14:textFill>
                  <w14:solidFill>
                    <w14:schemeClr w14:val="tx1"/>
                  </w14:solidFill>
                </w14:textFill>
              </w:rPr>
              <w:t>3、与招标人存在利害关系可能影响招标公正性的法人，不得参加投标；若单位负责人为同一人、或者存在控股</w:t>
            </w:r>
            <w:r>
              <w:rPr>
                <w:rFonts w:hint="eastAsia" w:ascii="宋体" w:hAnsi="宋体" w:cs="宋体"/>
                <w:color w:val="000000" w:themeColor="text1"/>
                <w:spacing w:val="-28"/>
                <w:position w:val="10"/>
                <w:sz w:val="10"/>
                <w:szCs w:val="10"/>
                <w:highlight w:val="none"/>
                <w14:textFill>
                  <w14:solidFill>
                    <w14:schemeClr w14:val="tx1"/>
                  </w14:solidFill>
                </w14:textFill>
              </w:rPr>
              <w:t xml:space="preserve"> </w:t>
            </w:r>
            <w:r>
              <w:rPr>
                <w:rFonts w:hint="eastAsia" w:ascii="宋体" w:hAnsi="宋体" w:cs="宋体"/>
                <w:color w:val="000000" w:themeColor="text1"/>
                <w:spacing w:val="7"/>
                <w:sz w:val="20"/>
                <w:szCs w:val="20"/>
                <w:highlight w:val="none"/>
                <w14:textFill>
                  <w14:solidFill>
                    <w14:schemeClr w14:val="tx1"/>
                  </w14:solidFill>
                </w14:textFill>
              </w:rPr>
              <w:t>、管理关系的不同单</w:t>
            </w:r>
            <w:r>
              <w:rPr>
                <w:rFonts w:hint="eastAsia" w:ascii="宋体" w:hAnsi="宋体" w:cs="宋体"/>
                <w:color w:val="000000" w:themeColor="text1"/>
                <w:spacing w:val="6"/>
                <w:sz w:val="20"/>
                <w:szCs w:val="20"/>
                <w:highlight w:val="none"/>
                <w14:textFill>
                  <w14:solidFill>
                    <w14:schemeClr w14:val="tx1"/>
                  </w14:solidFill>
                </w14:textFill>
              </w:rPr>
              <w:t>位，不得参加同一标段投标或者未划分</w:t>
            </w:r>
            <w:r>
              <w:rPr>
                <w:rFonts w:hint="eastAsia" w:ascii="宋体" w:hAnsi="宋体" w:cs="宋体"/>
                <w:color w:val="000000" w:themeColor="text1"/>
                <w:spacing w:val="9"/>
                <w:sz w:val="20"/>
                <w:szCs w:val="20"/>
                <w:highlight w:val="none"/>
                <w14:textFill>
                  <w14:solidFill>
                    <w14:schemeClr w14:val="tx1"/>
                  </w14:solidFill>
                </w14:textFill>
              </w:rPr>
              <w:t>标段的同一招标项目投标，否则按否决其投标处理。</w:t>
            </w:r>
          </w:p>
          <w:p w14:paraId="15684FD1">
            <w:pPr>
              <w:spacing w:line="360" w:lineRule="auto"/>
              <w:ind w:left="122" w:right="115" w:hanging="7"/>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6"/>
                <w:sz w:val="20"/>
                <w:szCs w:val="20"/>
                <w:highlight w:val="none"/>
                <w14:textFill>
                  <w14:solidFill>
                    <w14:schemeClr w14:val="tx1"/>
                  </w14:solidFill>
                </w14:textFill>
              </w:rPr>
              <w:t>4、在“信用中国</w:t>
            </w:r>
            <w:r>
              <w:rPr>
                <w:rFonts w:hint="eastAsia" w:ascii="宋体" w:hAnsi="宋体" w:cs="宋体"/>
                <w:color w:val="000000" w:themeColor="text1"/>
                <w:spacing w:val="-70"/>
                <w:sz w:val="20"/>
                <w:szCs w:val="20"/>
                <w:highlight w:val="none"/>
                <w14:textFill>
                  <w14:solidFill>
                    <w14:schemeClr w14:val="tx1"/>
                  </w14:solidFill>
                </w14:textFill>
              </w:rPr>
              <w:t xml:space="preserve"> </w:t>
            </w:r>
            <w:r>
              <w:rPr>
                <w:rFonts w:hint="eastAsia" w:ascii="宋体" w:hAnsi="宋体" w:cs="宋体"/>
                <w:color w:val="000000" w:themeColor="text1"/>
                <w:spacing w:val="6"/>
                <w:sz w:val="20"/>
                <w:szCs w:val="20"/>
                <w:highlight w:val="none"/>
                <w14:textFill>
                  <w14:solidFill>
                    <w14:schemeClr w14:val="tx1"/>
                  </w14:solidFill>
                </w14:textFill>
              </w:rPr>
              <w:t>”网站中被列入失信被执行人名单</w:t>
            </w:r>
            <w:r>
              <w:rPr>
                <w:rFonts w:hint="eastAsia" w:ascii="宋体" w:hAnsi="宋体" w:cs="宋体"/>
                <w:color w:val="000000" w:themeColor="text1"/>
                <w:spacing w:val="5"/>
                <w:sz w:val="20"/>
                <w:szCs w:val="20"/>
                <w:highlight w:val="none"/>
                <w14:textFill>
                  <w14:solidFill>
                    <w14:schemeClr w14:val="tx1"/>
                  </w14:solidFill>
                </w14:textFill>
              </w:rPr>
              <w:t>的投标人，在“</w:t>
            </w:r>
            <w:r>
              <w:rPr>
                <w:rFonts w:hint="eastAsia" w:ascii="宋体" w:hAnsi="宋体" w:cs="宋体"/>
                <w:color w:val="000000" w:themeColor="text1"/>
                <w:spacing w:val="-71"/>
                <w:sz w:val="20"/>
                <w:szCs w:val="20"/>
                <w:highlight w:val="none"/>
                <w14:textFill>
                  <w14:solidFill>
                    <w14:schemeClr w14:val="tx1"/>
                  </w14:solidFill>
                </w14:textFill>
              </w:rPr>
              <w:t xml:space="preserve"> </w:t>
            </w:r>
            <w:r>
              <w:rPr>
                <w:rFonts w:hint="eastAsia" w:ascii="宋体" w:hAnsi="宋体" w:cs="宋体"/>
                <w:color w:val="000000" w:themeColor="text1"/>
                <w:spacing w:val="5"/>
                <w:sz w:val="20"/>
                <w:szCs w:val="20"/>
                <w:highlight w:val="none"/>
                <w14:textFill>
                  <w14:solidFill>
                    <w14:schemeClr w14:val="tx1"/>
                  </w14:solidFill>
                </w14:textFill>
              </w:rPr>
              <w:t>国家企业信用信息</w:t>
            </w:r>
            <w:r>
              <w:rPr>
                <w:rFonts w:hint="eastAsia" w:ascii="宋体" w:hAnsi="宋体" w:cs="宋体"/>
                <w:color w:val="000000" w:themeColor="text1"/>
                <w:spacing w:val="8"/>
                <w:sz w:val="20"/>
                <w:szCs w:val="20"/>
                <w:highlight w:val="none"/>
                <w14:textFill>
                  <w14:solidFill>
                    <w14:schemeClr w14:val="tx1"/>
                  </w14:solidFill>
                </w14:textFill>
              </w:rPr>
              <w:t>公示系统</w:t>
            </w:r>
            <w:r>
              <w:rPr>
                <w:rFonts w:hint="eastAsia" w:ascii="宋体" w:hAnsi="宋体" w:cs="宋体"/>
                <w:color w:val="000000" w:themeColor="text1"/>
                <w:spacing w:val="-64"/>
                <w:sz w:val="20"/>
                <w:szCs w:val="20"/>
                <w:highlight w:val="none"/>
                <w14:textFill>
                  <w14:solidFill>
                    <w14:schemeClr w14:val="tx1"/>
                  </w14:solidFill>
                </w14:textFill>
              </w:rPr>
              <w:t xml:space="preserve"> </w:t>
            </w:r>
            <w:r>
              <w:rPr>
                <w:rFonts w:hint="eastAsia" w:ascii="宋体" w:hAnsi="宋体" w:cs="宋体"/>
                <w:color w:val="000000" w:themeColor="text1"/>
                <w:spacing w:val="8"/>
                <w:sz w:val="20"/>
                <w:szCs w:val="20"/>
                <w:highlight w:val="none"/>
                <w14:textFill>
                  <w14:solidFill>
                    <w14:schemeClr w14:val="tx1"/>
                  </w14:solidFill>
                </w14:textFill>
              </w:rPr>
              <w:t>”中被列入严重违法失信名单的投标人，均按否决投标处理。</w:t>
            </w:r>
          </w:p>
          <w:p w14:paraId="5A334EB6">
            <w:pPr>
              <w:spacing w:line="360" w:lineRule="auto"/>
              <w:ind w:left="120"/>
              <w:rPr>
                <w:rFonts w:hint="eastAsia" w:ascii="宋体" w:hAnsi="宋体" w:cs="宋体"/>
                <w:color w:val="000000" w:themeColor="text1"/>
                <w:spacing w:val="6"/>
                <w:sz w:val="20"/>
                <w:szCs w:val="20"/>
                <w:highlight w:val="none"/>
                <w14:textFill>
                  <w14:solidFill>
                    <w14:schemeClr w14:val="tx1"/>
                  </w14:solidFill>
                </w14:textFill>
              </w:rPr>
            </w:pPr>
            <w:r>
              <w:rPr>
                <w:rFonts w:hint="eastAsia" w:ascii="宋体" w:hAnsi="宋体" w:cs="宋体"/>
                <w:color w:val="000000" w:themeColor="text1"/>
                <w:spacing w:val="6"/>
                <w:sz w:val="20"/>
                <w:szCs w:val="20"/>
                <w:highlight w:val="none"/>
                <w14:textFill>
                  <w14:solidFill>
                    <w14:schemeClr w14:val="tx1"/>
                  </w14:solidFill>
                </w14:textFill>
              </w:rPr>
              <w:t>5、办理企业信息登记要求：</w:t>
            </w:r>
            <w:r>
              <w:rPr>
                <w:rFonts w:hint="eastAsia" w:ascii="宋体" w:hAnsi="宋体" w:cs="宋体"/>
                <w:color w:val="000000" w:themeColor="text1"/>
                <w:spacing w:val="6"/>
                <w:sz w:val="20"/>
                <w:szCs w:val="20"/>
                <w:highlight w:val="none"/>
                <w:u w:val="single"/>
                <w14:textFill>
                  <w14:solidFill>
                    <w14:schemeClr w14:val="tx1"/>
                  </w14:solidFill>
                </w14:textFill>
              </w:rPr>
              <w:t>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w:t>
            </w:r>
          </w:p>
          <w:p w14:paraId="5476D399">
            <w:pPr>
              <w:spacing w:line="360" w:lineRule="auto"/>
              <w:ind w:left="120"/>
              <w:rPr>
                <w:rFonts w:hint="eastAsia" w:ascii="宋体" w:hAnsi="宋体" w:cs="宋体"/>
                <w:color w:val="000000" w:themeColor="text1"/>
                <w:spacing w:val="5"/>
                <w:sz w:val="20"/>
                <w:szCs w:val="20"/>
                <w:highlight w:val="none"/>
                <w14:textFill>
                  <w14:solidFill>
                    <w14:schemeClr w14:val="tx1"/>
                  </w14:solidFill>
                </w14:textFill>
              </w:rPr>
            </w:pPr>
            <w:r>
              <w:rPr>
                <w:rFonts w:hint="eastAsia" w:ascii="宋体" w:hAnsi="宋体" w:cs="宋体"/>
                <w:color w:val="000000" w:themeColor="text1"/>
                <w:spacing w:val="8"/>
                <w:sz w:val="20"/>
                <w:szCs w:val="20"/>
                <w:highlight w:val="none"/>
                <w14:textFill>
                  <w14:solidFill>
                    <w14:schemeClr w14:val="tx1"/>
                  </w14:solidFill>
                </w14:textFill>
              </w:rPr>
              <w:t>6、招标人将</w:t>
            </w:r>
            <w:r>
              <w:rPr>
                <w:rFonts w:hint="eastAsia" w:ascii="宋体" w:hAnsi="宋体" w:cs="宋体"/>
                <w:color w:val="000000" w:themeColor="text1"/>
                <w:spacing w:val="8"/>
                <w:sz w:val="20"/>
                <w:szCs w:val="20"/>
                <w:highlight w:val="none"/>
                <w:u w:val="single"/>
                <w14:textFill>
                  <w14:solidFill>
                    <w14:schemeClr w14:val="tx1"/>
                  </w14:solidFill>
                </w14:textFill>
              </w:rPr>
              <w:t>不组织</w:t>
            </w:r>
            <w:r>
              <w:rPr>
                <w:rFonts w:hint="eastAsia" w:ascii="宋体" w:hAnsi="宋体" w:cs="宋体"/>
                <w:color w:val="000000" w:themeColor="text1"/>
                <w:spacing w:val="8"/>
                <w:sz w:val="20"/>
                <w:szCs w:val="20"/>
                <w:highlight w:val="none"/>
                <w14:textFill>
                  <w14:solidFill>
                    <w14:schemeClr w14:val="tx1"/>
                  </w14:solidFill>
                </w14:textFill>
              </w:rPr>
              <w:t>踏勘现场和投标预备会。</w:t>
            </w:r>
          </w:p>
          <w:p w14:paraId="3F855EC1">
            <w:pPr>
              <w:spacing w:line="360" w:lineRule="auto"/>
              <w:ind w:left="115" w:right="58"/>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5"/>
                <w:sz w:val="20"/>
                <w:szCs w:val="20"/>
                <w:highlight w:val="none"/>
                <w14:textFill>
                  <w14:solidFill>
                    <w14:schemeClr w14:val="tx1"/>
                  </w14:solidFill>
                </w14:textFill>
              </w:rPr>
              <w:t>7、在规定的投标登记期间，如某个标段投标登记并获取招标文件的投标人不足</w:t>
            </w:r>
            <w:r>
              <w:rPr>
                <w:rFonts w:hint="eastAsia" w:ascii="宋体" w:hAnsi="宋体" w:cs="宋体"/>
                <w:color w:val="000000" w:themeColor="text1"/>
                <w:spacing w:val="-26"/>
                <w:sz w:val="20"/>
                <w:szCs w:val="20"/>
                <w:highlight w:val="none"/>
                <w14:textFill>
                  <w14:solidFill>
                    <w14:schemeClr w14:val="tx1"/>
                  </w14:solidFill>
                </w14:textFill>
              </w:rPr>
              <w:t xml:space="preserve"> </w:t>
            </w:r>
            <w:r>
              <w:rPr>
                <w:rFonts w:hint="eastAsia" w:ascii="宋体" w:hAnsi="宋体" w:cs="宋体"/>
                <w:color w:val="000000" w:themeColor="text1"/>
                <w:spacing w:val="5"/>
                <w:sz w:val="20"/>
                <w:szCs w:val="20"/>
                <w:highlight w:val="none"/>
                <w14:textFill>
                  <w14:solidFill>
                    <w14:schemeClr w14:val="tx1"/>
                  </w14:solidFill>
                </w14:textFill>
              </w:rPr>
              <w:t>3</w:t>
            </w:r>
            <w:r>
              <w:rPr>
                <w:rFonts w:hint="eastAsia" w:ascii="宋体" w:hAnsi="宋体" w:cs="宋体"/>
                <w:color w:val="000000" w:themeColor="text1"/>
                <w:spacing w:val="-36"/>
                <w:sz w:val="20"/>
                <w:szCs w:val="20"/>
                <w:highlight w:val="none"/>
                <w14:textFill>
                  <w14:solidFill>
                    <w14:schemeClr w14:val="tx1"/>
                  </w14:solidFill>
                </w14:textFill>
              </w:rPr>
              <w:t xml:space="preserve"> </w:t>
            </w:r>
            <w:r>
              <w:rPr>
                <w:rFonts w:hint="eastAsia" w:ascii="宋体" w:hAnsi="宋体" w:cs="宋体"/>
                <w:color w:val="000000" w:themeColor="text1"/>
                <w:spacing w:val="5"/>
                <w:sz w:val="20"/>
                <w:szCs w:val="20"/>
                <w:highlight w:val="none"/>
                <w14:textFill>
                  <w14:solidFill>
                    <w14:schemeClr w14:val="tx1"/>
                  </w14:solidFill>
                </w14:textFill>
              </w:rPr>
              <w:t>家时，</w:t>
            </w:r>
            <w:r>
              <w:rPr>
                <w:rFonts w:hint="eastAsia" w:ascii="宋体" w:hAnsi="宋体" w:cs="宋体"/>
                <w:color w:val="000000" w:themeColor="text1"/>
                <w:spacing w:val="9"/>
                <w:sz w:val="20"/>
                <w:szCs w:val="20"/>
                <w:highlight w:val="none"/>
                <w14:textFill>
                  <w14:solidFill>
                    <w14:schemeClr w14:val="tx1"/>
                  </w14:solidFill>
                </w14:textFill>
              </w:rPr>
              <w:t>招标人有权选择以下任一方式</w:t>
            </w:r>
            <w:r>
              <w:rPr>
                <w:rFonts w:hint="eastAsia" w:ascii="宋体" w:hAnsi="宋体" w:cs="宋体"/>
                <w:color w:val="000000" w:themeColor="text1"/>
                <w:spacing w:val="-36"/>
                <w:sz w:val="20"/>
                <w:szCs w:val="20"/>
                <w:highlight w:val="none"/>
                <w14:textFill>
                  <w14:solidFill>
                    <w14:schemeClr w14:val="tx1"/>
                  </w14:solidFill>
                </w14:textFill>
              </w:rPr>
              <w:t>：</w:t>
            </w:r>
            <w:r>
              <w:rPr>
                <w:rFonts w:hint="eastAsia" w:ascii="宋体" w:hAnsi="宋体" w:cs="宋体"/>
                <w:color w:val="000000" w:themeColor="text1"/>
                <w:spacing w:val="9"/>
                <w:sz w:val="20"/>
                <w:szCs w:val="20"/>
                <w:highlight w:val="none"/>
                <w14:textFill>
                  <w14:solidFill>
                    <w14:schemeClr w14:val="tx1"/>
                  </w14:solidFill>
                </w14:textFill>
              </w:rPr>
              <w:t>（1）在广东省招标投标监管网及全国公共资源交易平台（广东省·韶关市）</w:t>
            </w:r>
            <w:r>
              <w:rPr>
                <w:rFonts w:hint="eastAsia" w:ascii="宋体" w:hAnsi="宋体" w:cs="宋体"/>
                <w:color w:val="000000" w:themeColor="text1"/>
                <w:spacing w:val="7"/>
                <w:sz w:val="20"/>
                <w:szCs w:val="20"/>
                <w:highlight w:val="none"/>
                <w14:textFill>
                  <w14:solidFill>
                    <w14:schemeClr w14:val="tx1"/>
                  </w14:solidFill>
                </w14:textFill>
              </w:rPr>
              <w:t>发布公告延长上述投标人家数不足的标段投标登记和获取招标文件时间，在延</w:t>
            </w:r>
            <w:r>
              <w:rPr>
                <w:rFonts w:hint="eastAsia" w:ascii="宋体" w:hAnsi="宋体" w:cs="宋体"/>
                <w:color w:val="000000" w:themeColor="text1"/>
                <w:spacing w:val="12"/>
                <w:sz w:val="20"/>
                <w:szCs w:val="20"/>
                <w:highlight w:val="none"/>
                <w14:textFill>
                  <w14:solidFill>
                    <w14:schemeClr w14:val="tx1"/>
                  </w14:solidFill>
                </w14:textFill>
              </w:rPr>
              <w:t>期投标登记和获取招标文件时间内，</w:t>
            </w:r>
            <w:r>
              <w:rPr>
                <w:rFonts w:hint="eastAsia" w:ascii="宋体" w:hAnsi="宋体" w:cs="宋体"/>
                <w:color w:val="000000" w:themeColor="text1"/>
                <w:spacing w:val="-58"/>
                <w:sz w:val="20"/>
                <w:szCs w:val="20"/>
                <w:highlight w:val="none"/>
                <w14:textFill>
                  <w14:solidFill>
                    <w14:schemeClr w14:val="tx1"/>
                  </w14:solidFill>
                </w14:textFill>
              </w:rPr>
              <w:t xml:space="preserve"> </w:t>
            </w:r>
            <w:r>
              <w:rPr>
                <w:rFonts w:hint="eastAsia" w:ascii="宋体" w:hAnsi="宋体" w:cs="宋体"/>
                <w:color w:val="000000" w:themeColor="text1"/>
                <w:spacing w:val="12"/>
                <w:sz w:val="20"/>
                <w:szCs w:val="20"/>
                <w:highlight w:val="none"/>
                <w14:textFill>
                  <w14:solidFill>
                    <w14:schemeClr w14:val="tx1"/>
                  </w14:solidFill>
                </w14:textFill>
              </w:rPr>
              <w:t>已投标登记投标人的资料仍有效</w:t>
            </w:r>
            <w:r>
              <w:rPr>
                <w:rFonts w:hint="eastAsia" w:ascii="宋体" w:hAnsi="宋体" w:cs="宋体"/>
                <w:color w:val="000000" w:themeColor="text1"/>
                <w:spacing w:val="11"/>
                <w:sz w:val="20"/>
                <w:szCs w:val="20"/>
                <w:highlight w:val="none"/>
                <w14:textFill>
                  <w14:solidFill>
                    <w14:schemeClr w14:val="tx1"/>
                  </w14:solidFill>
                </w14:textFill>
              </w:rPr>
              <w:t>并可自行补充资料，未投标登记的投标人可根据公告的约定进行投标登记并获</w:t>
            </w:r>
            <w:r>
              <w:rPr>
                <w:rFonts w:hint="eastAsia" w:ascii="宋体" w:hAnsi="宋体" w:cs="宋体"/>
                <w:color w:val="000000" w:themeColor="text1"/>
                <w:spacing w:val="10"/>
                <w:sz w:val="20"/>
                <w:szCs w:val="20"/>
                <w:highlight w:val="none"/>
                <w14:textFill>
                  <w14:solidFill>
                    <w14:schemeClr w14:val="tx1"/>
                  </w14:solidFill>
                </w14:textFill>
              </w:rPr>
              <w:t>取招标文件</w:t>
            </w:r>
            <w:r>
              <w:rPr>
                <w:rFonts w:hint="eastAsia" w:ascii="宋体" w:hAnsi="宋体" w:cs="宋体"/>
                <w:color w:val="000000" w:themeColor="text1"/>
                <w:spacing w:val="-4"/>
                <w:sz w:val="20"/>
                <w:szCs w:val="20"/>
                <w:highlight w:val="none"/>
                <w14:textFill>
                  <w14:solidFill>
                    <w14:schemeClr w14:val="tx1"/>
                  </w14:solidFill>
                </w14:textFill>
              </w:rPr>
              <w:t>；（</w:t>
            </w:r>
            <w:r>
              <w:rPr>
                <w:rFonts w:hint="eastAsia" w:ascii="宋体" w:hAnsi="宋体" w:cs="宋体"/>
                <w:color w:val="000000" w:themeColor="text1"/>
                <w:spacing w:val="10"/>
                <w:sz w:val="20"/>
                <w:szCs w:val="20"/>
                <w:highlight w:val="none"/>
                <w14:textFill>
                  <w14:solidFill>
                    <w14:schemeClr w14:val="tx1"/>
                  </w14:solidFill>
                </w14:textFill>
              </w:rPr>
              <w:t>2）对上</w:t>
            </w:r>
            <w:r>
              <w:rPr>
                <w:rFonts w:hint="eastAsia" w:ascii="宋体" w:hAnsi="宋体" w:cs="宋体"/>
                <w:color w:val="000000" w:themeColor="text1"/>
                <w:spacing w:val="9"/>
                <w:sz w:val="20"/>
                <w:szCs w:val="20"/>
                <w:highlight w:val="none"/>
                <w14:textFill>
                  <w14:solidFill>
                    <w14:schemeClr w14:val="tx1"/>
                  </w14:solidFill>
                </w14:textFill>
              </w:rPr>
              <w:t>述投标人家数不足的标段依法重新组织招标或依法开展后续工作。</w:t>
            </w:r>
          </w:p>
          <w:p w14:paraId="3B7A74E4">
            <w:pPr>
              <w:spacing w:line="360" w:lineRule="auto"/>
              <w:ind w:left="116"/>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pacing w:val="8"/>
                <w:sz w:val="20"/>
                <w:szCs w:val="20"/>
                <w:highlight w:val="none"/>
                <w14:textFill>
                  <w14:solidFill>
                    <w14:schemeClr w14:val="tx1"/>
                  </w14:solidFill>
                </w14:textFill>
              </w:rPr>
              <w:t>8、受理异议的联系人和联系方式：</w:t>
            </w:r>
          </w:p>
          <w:p w14:paraId="234F4BEB">
            <w:pPr>
              <w:spacing w:line="360" w:lineRule="auto"/>
              <w:ind w:left="118"/>
              <w:rPr>
                <w:rFonts w:hint="eastAsia" w:ascii="宋体" w:hAnsi="宋体" w:cs="宋体"/>
                <w:color w:val="000000" w:themeColor="text1"/>
                <w:sz w:val="20"/>
                <w:szCs w:val="20"/>
                <w:highlight w:val="none"/>
                <w:u w:val="single"/>
                <w14:textFill>
                  <w14:solidFill>
                    <w14:schemeClr w14:val="tx1"/>
                  </w14:solidFill>
                </w14:textFill>
              </w:rPr>
            </w:pPr>
            <w:r>
              <w:rPr>
                <w:rFonts w:hint="eastAsia" w:ascii="宋体" w:hAnsi="宋体" w:cs="宋体"/>
                <w:color w:val="000000" w:themeColor="text1"/>
                <w:spacing w:val="8"/>
                <w:sz w:val="20"/>
                <w:szCs w:val="20"/>
                <w:highlight w:val="none"/>
                <w14:textFill>
                  <w14:solidFill>
                    <w14:schemeClr w14:val="tx1"/>
                  </w14:solidFill>
                </w14:textFill>
              </w:rPr>
              <w:t>异议受理部门：</w:t>
            </w:r>
            <w:r>
              <w:rPr>
                <w:rFonts w:hint="eastAsia" w:ascii="宋体" w:hAnsi="宋体" w:cs="宋体"/>
                <w:color w:val="000000" w:themeColor="text1"/>
                <w:sz w:val="20"/>
                <w:szCs w:val="20"/>
                <w:highlight w:val="none"/>
                <w:u w:val="single"/>
                <w14:textFill>
                  <w14:solidFill>
                    <w14:schemeClr w14:val="tx1"/>
                  </w14:solidFill>
                </w14:textFill>
              </w:rPr>
              <w:t>乳源瑶族自治县地方公路事务中心</w:t>
            </w:r>
          </w:p>
          <w:p w14:paraId="20AB747E">
            <w:pPr>
              <w:spacing w:line="360" w:lineRule="auto"/>
              <w:ind w:left="118"/>
              <w:rPr>
                <w:rFonts w:hint="eastAsia" w:ascii="宋体" w:hAnsi="宋体" w:cs="宋体"/>
                <w:color w:val="000000" w:themeColor="text1"/>
                <w:spacing w:val="7"/>
                <w:sz w:val="20"/>
                <w:szCs w:val="20"/>
                <w:highlight w:val="none"/>
                <w:u w:val="single"/>
                <w:lang w:eastAsia="en-US"/>
                <w14:textFill>
                  <w14:solidFill>
                    <w14:schemeClr w14:val="tx1"/>
                  </w14:solidFill>
                </w14:textFill>
              </w:rPr>
            </w:pPr>
            <w:r>
              <w:rPr>
                <w:rFonts w:hint="eastAsia" w:ascii="宋体" w:hAnsi="宋体" w:cs="宋体"/>
                <w:color w:val="000000" w:themeColor="text1"/>
                <w:spacing w:val="-7"/>
                <w:sz w:val="20"/>
                <w:szCs w:val="20"/>
                <w:highlight w:val="none"/>
                <w:lang w:eastAsia="en-US"/>
                <w14:textFill>
                  <w14:solidFill>
                    <w14:schemeClr w14:val="tx1"/>
                  </w14:solidFill>
                </w14:textFill>
              </w:rPr>
              <w:t>联</w:t>
            </w:r>
            <w:r>
              <w:rPr>
                <w:rFonts w:hint="eastAsia" w:ascii="宋体" w:hAnsi="宋体" w:cs="宋体"/>
                <w:color w:val="000000" w:themeColor="text1"/>
                <w:spacing w:val="23"/>
                <w:sz w:val="20"/>
                <w:szCs w:val="20"/>
                <w:highlight w:val="none"/>
                <w:lang w:eastAsia="en-US"/>
                <w14:textFill>
                  <w14:solidFill>
                    <w14:schemeClr w14:val="tx1"/>
                  </w14:solidFill>
                </w14:textFill>
              </w:rPr>
              <w:t xml:space="preserve"> </w:t>
            </w:r>
            <w:r>
              <w:rPr>
                <w:rFonts w:hint="eastAsia" w:ascii="宋体" w:hAnsi="宋体" w:cs="宋体"/>
                <w:color w:val="000000" w:themeColor="text1"/>
                <w:spacing w:val="-7"/>
                <w:sz w:val="20"/>
                <w:szCs w:val="20"/>
                <w:highlight w:val="none"/>
                <w:lang w:eastAsia="en-US"/>
                <w14:textFill>
                  <w14:solidFill>
                    <w14:schemeClr w14:val="tx1"/>
                  </w14:solidFill>
                </w14:textFill>
              </w:rPr>
              <w:t>系</w:t>
            </w:r>
            <w:r>
              <w:rPr>
                <w:rFonts w:hint="eastAsia" w:ascii="宋体" w:hAnsi="宋体" w:cs="宋体"/>
                <w:color w:val="000000" w:themeColor="text1"/>
                <w:spacing w:val="15"/>
                <w:sz w:val="20"/>
                <w:szCs w:val="20"/>
                <w:highlight w:val="none"/>
                <w:lang w:eastAsia="en-US"/>
                <w14:textFill>
                  <w14:solidFill>
                    <w14:schemeClr w14:val="tx1"/>
                  </w14:solidFill>
                </w14:textFill>
              </w:rPr>
              <w:t xml:space="preserve"> </w:t>
            </w:r>
            <w:r>
              <w:rPr>
                <w:rFonts w:hint="eastAsia" w:ascii="宋体" w:hAnsi="宋体" w:cs="宋体"/>
                <w:color w:val="000000" w:themeColor="text1"/>
                <w:spacing w:val="-7"/>
                <w:sz w:val="20"/>
                <w:szCs w:val="20"/>
                <w:highlight w:val="none"/>
                <w:lang w:eastAsia="en-US"/>
                <w14:textFill>
                  <w14:solidFill>
                    <w14:schemeClr w14:val="tx1"/>
                  </w14:solidFill>
                </w14:textFill>
              </w:rPr>
              <w:t>方</w:t>
            </w:r>
            <w:r>
              <w:rPr>
                <w:rFonts w:hint="eastAsia" w:ascii="宋体" w:hAnsi="宋体" w:cs="宋体"/>
                <w:color w:val="000000" w:themeColor="text1"/>
                <w:spacing w:val="18"/>
                <w:sz w:val="20"/>
                <w:szCs w:val="20"/>
                <w:highlight w:val="none"/>
                <w:lang w:eastAsia="en-US"/>
                <w14:textFill>
                  <w14:solidFill>
                    <w14:schemeClr w14:val="tx1"/>
                  </w14:solidFill>
                </w14:textFill>
              </w:rPr>
              <w:t xml:space="preserve"> </w:t>
            </w:r>
            <w:r>
              <w:rPr>
                <w:rFonts w:hint="eastAsia" w:ascii="宋体" w:hAnsi="宋体" w:cs="宋体"/>
                <w:color w:val="000000" w:themeColor="text1"/>
                <w:spacing w:val="-7"/>
                <w:sz w:val="20"/>
                <w:szCs w:val="20"/>
                <w:highlight w:val="none"/>
                <w:lang w:eastAsia="en-US"/>
                <w14:textFill>
                  <w14:solidFill>
                    <w14:schemeClr w14:val="tx1"/>
                  </w14:solidFill>
                </w14:textFill>
              </w:rPr>
              <w:t>式</w:t>
            </w:r>
            <w:r>
              <w:rPr>
                <w:rFonts w:hint="eastAsia" w:ascii="宋体" w:hAnsi="宋体" w:cs="宋体"/>
                <w:color w:val="000000" w:themeColor="text1"/>
                <w:spacing w:val="31"/>
                <w:sz w:val="20"/>
                <w:szCs w:val="20"/>
                <w:highlight w:val="none"/>
                <w:lang w:eastAsia="en-US"/>
                <w14:textFill>
                  <w14:solidFill>
                    <w14:schemeClr w14:val="tx1"/>
                  </w14:solidFill>
                </w14:textFill>
              </w:rPr>
              <w:t xml:space="preserve"> </w:t>
            </w:r>
            <w:r>
              <w:rPr>
                <w:rFonts w:hint="eastAsia" w:ascii="宋体" w:hAnsi="宋体" w:cs="宋体"/>
                <w:color w:val="000000" w:themeColor="text1"/>
                <w:spacing w:val="-7"/>
                <w:sz w:val="20"/>
                <w:szCs w:val="20"/>
                <w:highlight w:val="none"/>
                <w:lang w:eastAsia="en-US"/>
                <w14:textFill>
                  <w14:solidFill>
                    <w14:schemeClr w14:val="tx1"/>
                  </w14:solidFill>
                </w14:textFill>
              </w:rPr>
              <w:t>：</w:t>
            </w:r>
            <w:r>
              <w:rPr>
                <w:rFonts w:hint="eastAsia" w:ascii="宋体" w:hAnsi="宋体" w:cs="宋体"/>
                <w:color w:val="000000" w:themeColor="text1"/>
                <w:sz w:val="20"/>
                <w:szCs w:val="20"/>
                <w:highlight w:val="none"/>
                <w:u w:val="single"/>
                <w14:textFill>
                  <w14:solidFill>
                    <w14:schemeClr w14:val="tx1"/>
                  </w14:solidFill>
                </w14:textFill>
              </w:rPr>
              <w:t xml:space="preserve">0751-8556170 </w:t>
            </w:r>
          </w:p>
        </w:tc>
      </w:tr>
    </w:tbl>
    <w:p w14:paraId="1D0573DA">
      <w:pPr>
        <w:spacing w:before="130" w:line="226" w:lineRule="auto"/>
        <w:ind w:left="322"/>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8"/>
          <w:sz w:val="20"/>
          <w:szCs w:val="20"/>
          <w:highlight w:val="none"/>
          <w14:textFill>
            <w14:solidFill>
              <w14:schemeClr w14:val="tx1"/>
            </w14:solidFill>
          </w14:textFill>
        </w:rPr>
        <w:t>招标公告附件</w:t>
      </w:r>
    </w:p>
    <w:p w14:paraId="1A90A8CE">
      <w:pPr>
        <w:spacing w:before="222" w:line="227" w:lineRule="auto"/>
        <w:ind w:left="338"/>
        <w:rPr>
          <w:rFonts w:hint="eastAsia" w:ascii="宋体" w:hAnsi="宋体" w:cs="宋体"/>
          <w:color w:val="000000" w:themeColor="text1"/>
          <w:spacing w:val="6"/>
          <w:sz w:val="20"/>
          <w:szCs w:val="20"/>
          <w:highlight w:val="none"/>
          <w14:textFill>
            <w14:solidFill>
              <w14:schemeClr w14:val="tx1"/>
            </w14:solidFill>
          </w14:textFill>
        </w:rPr>
      </w:pPr>
      <w:r>
        <w:rPr>
          <w:rFonts w:ascii="宋体" w:hAnsi="宋体" w:cs="宋体"/>
          <w:color w:val="000000" w:themeColor="text1"/>
          <w:spacing w:val="6"/>
          <w:sz w:val="20"/>
          <w:szCs w:val="20"/>
          <w:highlight w:val="none"/>
          <w14:textFill>
            <w14:solidFill>
              <w14:schemeClr w14:val="tx1"/>
            </w14:solidFill>
          </w14:textFill>
        </w:rPr>
        <w:t>附件</w:t>
      </w:r>
      <w:r>
        <w:rPr>
          <w:rFonts w:ascii="宋体" w:hAnsi="宋体" w:cs="宋体"/>
          <w:color w:val="000000" w:themeColor="text1"/>
          <w:spacing w:val="-7"/>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1：标段的划分及主要工程项目</w:t>
      </w:r>
    </w:p>
    <w:p w14:paraId="6B7B2602">
      <w:pPr>
        <w:spacing w:before="222" w:line="227" w:lineRule="auto"/>
        <w:ind w:left="338"/>
        <w:rPr>
          <w:rFonts w:hint="eastAsia" w:ascii="宋体" w:hAnsi="宋体" w:cs="宋体"/>
          <w:color w:val="000000" w:themeColor="text1"/>
          <w:spacing w:val="7"/>
          <w:position w:val="5"/>
          <w:sz w:val="20"/>
          <w:szCs w:val="20"/>
          <w:highlight w:val="none"/>
          <w14:textFill>
            <w14:solidFill>
              <w14:schemeClr w14:val="tx1"/>
            </w14:solidFill>
          </w14:textFill>
        </w:rPr>
      </w:pPr>
      <w:r>
        <w:rPr>
          <w:rFonts w:hint="eastAsia" w:ascii="宋体" w:hAnsi="宋体" w:cs="宋体"/>
          <w:color w:val="000000" w:themeColor="text1"/>
          <w:spacing w:val="7"/>
          <w:position w:val="5"/>
          <w:sz w:val="20"/>
          <w:szCs w:val="20"/>
          <w:highlight w:val="none"/>
          <w14:textFill>
            <w14:solidFill>
              <w14:schemeClr w14:val="tx1"/>
            </w14:solidFill>
          </w14:textFill>
        </w:rPr>
        <w:t>附件2：重要事项时间地点一览表</w:t>
      </w:r>
    </w:p>
    <w:p w14:paraId="5BB070B4">
      <w:pPr>
        <w:spacing w:before="222" w:line="227" w:lineRule="auto"/>
        <w:ind w:left="338"/>
        <w:rPr>
          <w:rFonts w:hint="eastAsia" w:ascii="宋体" w:hAnsi="宋体" w:cs="宋体"/>
          <w:color w:val="000000" w:themeColor="text1"/>
          <w:spacing w:val="7"/>
          <w:position w:val="5"/>
          <w:sz w:val="20"/>
          <w:szCs w:val="20"/>
          <w:highlight w:val="none"/>
          <w14:textFill>
            <w14:solidFill>
              <w14:schemeClr w14:val="tx1"/>
            </w14:solidFill>
          </w14:textFill>
        </w:rPr>
      </w:pPr>
      <w:r>
        <w:rPr>
          <w:rFonts w:ascii="宋体" w:hAnsi="宋体" w:cs="宋体"/>
          <w:color w:val="000000" w:themeColor="text1"/>
          <w:spacing w:val="7"/>
          <w:position w:val="5"/>
          <w:sz w:val="20"/>
          <w:szCs w:val="20"/>
          <w:highlight w:val="none"/>
          <w14:textFill>
            <w14:solidFill>
              <w14:schemeClr w14:val="tx1"/>
            </w14:solidFill>
          </w14:textFill>
        </w:rPr>
        <w:t>附件</w:t>
      </w:r>
      <w:r>
        <w:rPr>
          <w:rFonts w:ascii="宋体" w:hAnsi="宋体" w:cs="宋体"/>
          <w:color w:val="000000" w:themeColor="text1"/>
          <w:spacing w:val="-19"/>
          <w:position w:val="5"/>
          <w:sz w:val="20"/>
          <w:szCs w:val="20"/>
          <w:highlight w:val="none"/>
          <w14:textFill>
            <w14:solidFill>
              <w14:schemeClr w14:val="tx1"/>
            </w14:solidFill>
          </w14:textFill>
        </w:rPr>
        <w:t xml:space="preserve"> </w:t>
      </w:r>
      <w:r>
        <w:rPr>
          <w:rFonts w:hint="eastAsia" w:ascii="宋体" w:hAnsi="宋体" w:cs="宋体"/>
          <w:color w:val="000000" w:themeColor="text1"/>
          <w:spacing w:val="7"/>
          <w:position w:val="5"/>
          <w:sz w:val="20"/>
          <w:szCs w:val="20"/>
          <w:highlight w:val="none"/>
          <w14:textFill>
            <w14:solidFill>
              <w14:schemeClr w14:val="tx1"/>
            </w14:solidFill>
          </w14:textFill>
        </w:rPr>
        <w:t>3</w:t>
      </w:r>
      <w:r>
        <w:rPr>
          <w:rFonts w:ascii="宋体" w:hAnsi="宋体" w:cs="宋体"/>
          <w:color w:val="000000" w:themeColor="text1"/>
          <w:spacing w:val="7"/>
          <w:position w:val="5"/>
          <w:sz w:val="20"/>
          <w:szCs w:val="20"/>
          <w:highlight w:val="none"/>
          <w14:textFill>
            <w14:solidFill>
              <w14:schemeClr w14:val="tx1"/>
            </w14:solidFill>
          </w14:textFill>
        </w:rPr>
        <w:t>：招标文件（含资格审查条件、评标办法</w:t>
      </w:r>
      <w:r>
        <w:rPr>
          <w:rFonts w:hint="eastAsia" w:ascii="宋体" w:hAnsi="宋体" w:cs="宋体"/>
          <w:color w:val="000000" w:themeColor="text1"/>
          <w:spacing w:val="7"/>
          <w:position w:val="5"/>
          <w:sz w:val="20"/>
          <w:szCs w:val="20"/>
          <w:highlight w:val="none"/>
          <w:lang w:eastAsia="zh-CN"/>
          <w14:textFill>
            <w14:solidFill>
              <w14:schemeClr w14:val="tx1"/>
            </w14:solidFill>
          </w14:textFill>
        </w:rPr>
        <w:t>、</w:t>
      </w:r>
      <w:r>
        <w:rPr>
          <w:rFonts w:hint="eastAsia" w:ascii="宋体" w:hAnsi="宋体" w:cs="宋体"/>
          <w:color w:val="000000" w:themeColor="text1"/>
          <w:spacing w:val="7"/>
          <w:position w:val="5"/>
          <w:sz w:val="20"/>
          <w:szCs w:val="20"/>
          <w:highlight w:val="none"/>
          <w:lang w:val="en-US" w:eastAsia="zh-CN"/>
          <w14:textFill>
            <w14:solidFill>
              <w14:schemeClr w14:val="tx1"/>
            </w14:solidFill>
          </w14:textFill>
        </w:rPr>
        <w:t>定标办法</w:t>
      </w:r>
      <w:r>
        <w:rPr>
          <w:rFonts w:ascii="宋体" w:hAnsi="宋体" w:cs="宋体"/>
          <w:color w:val="000000" w:themeColor="text1"/>
          <w:spacing w:val="7"/>
          <w:position w:val="5"/>
          <w:sz w:val="20"/>
          <w:szCs w:val="20"/>
          <w:highlight w:val="none"/>
          <w14:textFill>
            <w14:solidFill>
              <w14:schemeClr w14:val="tx1"/>
            </w14:solidFill>
          </w14:textFill>
        </w:rPr>
        <w:t>）</w:t>
      </w:r>
    </w:p>
    <w:bookmarkEnd w:id="2"/>
    <w:bookmarkEnd w:id="3"/>
    <w:bookmarkEnd w:id="4"/>
    <w:p w14:paraId="3B80D10B">
      <w:pPr>
        <w:pStyle w:val="5"/>
        <w:rPr>
          <w:color w:val="000000" w:themeColor="text1"/>
          <w:highlight w:val="none"/>
          <w14:textFill>
            <w14:solidFill>
              <w14:schemeClr w14:val="tx1"/>
            </w14:solidFill>
          </w14:textFill>
        </w:rPr>
      </w:pPr>
      <w:bookmarkStart w:id="5" w:name="_Toc367"/>
      <w:r>
        <w:rPr>
          <w:color w:val="000000" w:themeColor="text1"/>
          <w:highlight w:val="none"/>
          <w14:textFill>
            <w14:solidFill>
              <w14:schemeClr w14:val="tx1"/>
            </w14:solidFill>
          </w14:textFill>
        </w:rPr>
        <w:br w:type="page"/>
      </w:r>
      <w:bookmarkStart w:id="6" w:name="_Toc23274"/>
      <w:r>
        <w:rPr>
          <w:rFonts w:hint="eastAsia" w:ascii="宋体" w:hAnsi="宋体" w:cs="宋体"/>
          <w:color w:val="000000" w:themeColor="text1"/>
          <w:highlight w:val="none"/>
          <w14:textFill>
            <w14:solidFill>
              <w14:schemeClr w14:val="tx1"/>
            </w14:solidFill>
          </w14:textFill>
        </w:rPr>
        <w:t>附件 1：标段划分及主要工程项目情况</w:t>
      </w:r>
      <w:bookmarkEnd w:id="6"/>
    </w:p>
    <w:p w14:paraId="398D0C63">
      <w:pPr>
        <w:spacing w:before="183" w:line="219" w:lineRule="auto"/>
        <w:ind w:firstLine="236" w:firstLineChars="1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本次招标共分</w:t>
      </w:r>
      <w:r>
        <w:rPr>
          <w:rFonts w:hint="eastAsia" w:ascii="宋体" w:hAnsi="宋体" w:cs="宋体"/>
          <w:color w:val="000000" w:themeColor="text1"/>
          <w:spacing w:val="-2"/>
          <w:sz w:val="24"/>
          <w:highlight w:val="none"/>
          <w:u w:val="single"/>
          <w14:textFill>
            <w14:solidFill>
              <w14:schemeClr w14:val="tx1"/>
            </w14:solidFill>
          </w14:textFill>
        </w:rPr>
        <w:t>1</w:t>
      </w:r>
      <w:r>
        <w:rPr>
          <w:rFonts w:ascii="宋体" w:hAnsi="宋体" w:cs="宋体"/>
          <w:color w:val="000000" w:themeColor="text1"/>
          <w:spacing w:val="-99"/>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个标类</w:t>
      </w:r>
      <w:r>
        <w:rPr>
          <w:rFonts w:ascii="宋体" w:hAnsi="宋体" w:cs="宋体"/>
          <w:color w:val="000000" w:themeColor="text1"/>
          <w:spacing w:val="-2"/>
          <w:sz w:val="24"/>
          <w:highlight w:val="none"/>
          <w:u w:val="single"/>
          <w14:textFill>
            <w14:solidFill>
              <w14:schemeClr w14:val="tx1"/>
            </w14:solidFill>
          </w14:textFill>
        </w:rPr>
        <w:t xml:space="preserve"> </w:t>
      </w:r>
      <w:r>
        <w:rPr>
          <w:rFonts w:hint="eastAsia" w:ascii="宋体" w:hAnsi="宋体" w:cs="宋体"/>
          <w:color w:val="000000" w:themeColor="text1"/>
          <w:spacing w:val="-2"/>
          <w:sz w:val="24"/>
          <w:highlight w:val="none"/>
          <w:u w:val="single"/>
          <w14:textFill>
            <w14:solidFill>
              <w14:schemeClr w14:val="tx1"/>
            </w14:solidFill>
          </w14:textFill>
        </w:rPr>
        <w:t>1</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1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个标段。</w:t>
      </w:r>
    </w:p>
    <w:p w14:paraId="6F0C8160">
      <w:pPr>
        <w:spacing w:line="68" w:lineRule="exact"/>
        <w:rPr>
          <w:color w:val="000000" w:themeColor="text1"/>
          <w:highlight w:val="none"/>
          <w14:textFill>
            <w14:solidFill>
              <w14:schemeClr w14:val="tx1"/>
            </w14:solidFill>
          </w14:textFill>
        </w:rPr>
      </w:pPr>
    </w:p>
    <w:tbl>
      <w:tblPr>
        <w:tblStyle w:val="45"/>
        <w:tblW w:w="10179" w:type="dxa"/>
        <w:tblInd w:w="-5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91"/>
        <w:gridCol w:w="623"/>
        <w:gridCol w:w="1036"/>
        <w:gridCol w:w="1009"/>
        <w:gridCol w:w="3013"/>
        <w:gridCol w:w="1420"/>
        <w:gridCol w:w="1487"/>
      </w:tblGrid>
      <w:tr w14:paraId="6423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3" w:hRule="atLeast"/>
        </w:trPr>
        <w:tc>
          <w:tcPr>
            <w:tcW w:w="1591" w:type="dxa"/>
          </w:tcPr>
          <w:p w14:paraId="02E12BFE">
            <w:pPr>
              <w:pStyle w:val="124"/>
              <w:spacing w:before="283" w:line="219" w:lineRule="auto"/>
              <w:jc w:val="center"/>
              <w:rPr>
                <w:rFonts w:hint="eastAsia"/>
                <w:color w:val="000000" w:themeColor="text1"/>
                <w:sz w:val="20"/>
                <w:szCs w:val="20"/>
                <w:highlight w:val="none"/>
                <w14:textFill>
                  <w14:solidFill>
                    <w14:schemeClr w14:val="tx1"/>
                  </w14:solidFill>
                </w14:textFill>
              </w:rPr>
            </w:pPr>
            <w:r>
              <w:rPr>
                <w:color w:val="000000" w:themeColor="text1"/>
                <w:spacing w:val="-3"/>
                <w:sz w:val="20"/>
                <w:szCs w:val="20"/>
                <w:highlight w:val="none"/>
                <w14:textFill>
                  <w14:solidFill>
                    <w14:schemeClr w14:val="tx1"/>
                  </w14:solidFill>
                </w14:textFill>
              </w:rPr>
              <w:t>标段类别</w:t>
            </w:r>
          </w:p>
        </w:tc>
        <w:tc>
          <w:tcPr>
            <w:tcW w:w="623" w:type="dxa"/>
            <w:textDirection w:val="tbRlV"/>
          </w:tcPr>
          <w:p w14:paraId="60C9D1DA">
            <w:pPr>
              <w:pStyle w:val="124"/>
              <w:spacing w:before="176" w:line="208" w:lineRule="auto"/>
              <w:jc w:val="center"/>
              <w:rPr>
                <w:rFonts w:hint="eastAsia"/>
                <w:color w:val="000000" w:themeColor="text1"/>
                <w:sz w:val="20"/>
                <w:szCs w:val="20"/>
                <w:highlight w:val="none"/>
                <w14:textFill>
                  <w14:solidFill>
                    <w14:schemeClr w14:val="tx1"/>
                  </w14:solidFill>
                </w14:textFill>
              </w:rPr>
            </w:pPr>
            <w:r>
              <w:rPr>
                <w:color w:val="000000" w:themeColor="text1"/>
                <w:spacing w:val="-1"/>
                <w:sz w:val="20"/>
                <w:szCs w:val="20"/>
                <w:highlight w:val="none"/>
                <w14:textFill>
                  <w14:solidFill>
                    <w14:schemeClr w14:val="tx1"/>
                  </w14:solidFill>
                </w14:textFill>
              </w:rPr>
              <w:t>标</w:t>
            </w:r>
            <w:r>
              <w:rPr>
                <w:color w:val="000000" w:themeColor="text1"/>
                <w:spacing w:val="-47"/>
                <w:sz w:val="20"/>
                <w:szCs w:val="20"/>
                <w:highlight w:val="none"/>
                <w14:textFill>
                  <w14:solidFill>
                    <w14:schemeClr w14:val="tx1"/>
                  </w14:solidFill>
                </w14:textFill>
              </w:rPr>
              <w:t xml:space="preserve"> </w:t>
            </w:r>
            <w:r>
              <w:rPr>
                <w:color w:val="000000" w:themeColor="text1"/>
                <w:spacing w:val="-1"/>
                <w:sz w:val="20"/>
                <w:szCs w:val="20"/>
                <w:highlight w:val="none"/>
                <w14:textFill>
                  <w14:solidFill>
                    <w14:schemeClr w14:val="tx1"/>
                  </w14:solidFill>
                </w14:textFill>
              </w:rPr>
              <w:t>段</w:t>
            </w:r>
          </w:p>
        </w:tc>
        <w:tc>
          <w:tcPr>
            <w:tcW w:w="1036" w:type="dxa"/>
          </w:tcPr>
          <w:p w14:paraId="530247FB">
            <w:pPr>
              <w:pStyle w:val="124"/>
              <w:spacing w:before="127" w:line="220" w:lineRule="auto"/>
              <w:ind w:left="123"/>
              <w:jc w:val="center"/>
              <w:rPr>
                <w:rFonts w:hint="eastAsia"/>
                <w:color w:val="000000" w:themeColor="text1"/>
                <w:sz w:val="20"/>
                <w:szCs w:val="20"/>
                <w:highlight w:val="none"/>
                <w14:textFill>
                  <w14:solidFill>
                    <w14:schemeClr w14:val="tx1"/>
                  </w14:solidFill>
                </w14:textFill>
              </w:rPr>
            </w:pPr>
            <w:r>
              <w:rPr>
                <w:color w:val="000000" w:themeColor="text1"/>
                <w:spacing w:val="-6"/>
                <w:sz w:val="20"/>
                <w:szCs w:val="20"/>
                <w:highlight w:val="none"/>
                <w14:textFill>
                  <w14:solidFill>
                    <w14:schemeClr w14:val="tx1"/>
                  </w14:solidFill>
                </w14:textFill>
              </w:rPr>
              <w:t>起讫</w:t>
            </w:r>
          </w:p>
          <w:p w14:paraId="35E5CCED">
            <w:pPr>
              <w:pStyle w:val="124"/>
              <w:spacing w:before="26" w:line="219" w:lineRule="auto"/>
              <w:ind w:left="122"/>
              <w:jc w:val="center"/>
              <w:rPr>
                <w:rFonts w:hint="eastAsia"/>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桩号</w:t>
            </w:r>
          </w:p>
        </w:tc>
        <w:tc>
          <w:tcPr>
            <w:tcW w:w="1009" w:type="dxa"/>
            <w:vAlign w:val="center"/>
          </w:tcPr>
          <w:p w14:paraId="0B913736">
            <w:pPr>
              <w:pStyle w:val="124"/>
              <w:jc w:val="center"/>
              <w:rPr>
                <w:rFonts w:hint="eastAsia"/>
                <w:color w:val="000000" w:themeColor="text1"/>
                <w:sz w:val="20"/>
                <w:szCs w:val="20"/>
                <w:highlight w:val="none"/>
                <w14:textFill>
                  <w14:solidFill>
                    <w14:schemeClr w14:val="tx1"/>
                  </w14:solidFill>
                </w14:textFill>
              </w:rPr>
            </w:pPr>
            <w:r>
              <w:rPr>
                <w:color w:val="000000" w:themeColor="text1"/>
                <w:spacing w:val="-6"/>
                <w:sz w:val="20"/>
                <w:szCs w:val="20"/>
                <w:highlight w:val="none"/>
                <w14:textFill>
                  <w14:solidFill>
                    <w14:schemeClr w14:val="tx1"/>
                  </w14:solidFill>
                </w14:textFill>
              </w:rPr>
              <w:t>长度</w:t>
            </w:r>
            <w:r>
              <w:rPr>
                <w:color w:val="000000" w:themeColor="text1"/>
                <w:spacing w:val="-13"/>
                <w:sz w:val="20"/>
                <w:szCs w:val="20"/>
                <w:highlight w:val="none"/>
                <w14:textFill>
                  <w14:solidFill>
                    <w14:schemeClr w14:val="tx1"/>
                  </w14:solidFill>
                </w14:textFill>
              </w:rPr>
              <w:t>(km)</w:t>
            </w:r>
          </w:p>
        </w:tc>
        <w:tc>
          <w:tcPr>
            <w:tcW w:w="3013" w:type="dxa"/>
            <w:vAlign w:val="center"/>
          </w:tcPr>
          <w:p w14:paraId="33AF6879">
            <w:pPr>
              <w:pStyle w:val="124"/>
              <w:wordWrap w:val="0"/>
              <w:topLinePunct/>
              <w:jc w:val="center"/>
              <w:rPr>
                <w:rFonts w:hint="eastAsia"/>
                <w:color w:val="000000" w:themeColor="text1"/>
                <w:sz w:val="20"/>
                <w:szCs w:val="20"/>
                <w:highlight w:val="none"/>
                <w14:textFill>
                  <w14:solidFill>
                    <w14:schemeClr w14:val="tx1"/>
                  </w14:solidFill>
                </w14:textFill>
              </w:rPr>
            </w:pPr>
            <w:r>
              <w:rPr>
                <w:color w:val="000000" w:themeColor="text1"/>
                <w:spacing w:val="-4"/>
                <w:sz w:val="20"/>
                <w:szCs w:val="20"/>
                <w:highlight w:val="none"/>
                <w14:textFill>
                  <w14:solidFill>
                    <w14:schemeClr w14:val="tx1"/>
                  </w14:solidFill>
                </w14:textFill>
              </w:rPr>
              <w:t>主要工</w:t>
            </w:r>
            <w:r>
              <w:rPr>
                <w:color w:val="000000" w:themeColor="text1"/>
                <w:spacing w:val="-3"/>
                <w:sz w:val="20"/>
                <w:szCs w:val="20"/>
                <w:highlight w:val="none"/>
                <w14:textFill>
                  <w14:solidFill>
                    <w14:schemeClr w14:val="tx1"/>
                  </w14:solidFill>
                </w14:textFill>
              </w:rPr>
              <w:t>程项目</w:t>
            </w:r>
          </w:p>
        </w:tc>
        <w:tc>
          <w:tcPr>
            <w:tcW w:w="1420" w:type="dxa"/>
            <w:vAlign w:val="center"/>
          </w:tcPr>
          <w:p w14:paraId="6A1B5E6B">
            <w:pPr>
              <w:pStyle w:val="124"/>
              <w:wordWrap w:val="0"/>
              <w:topLinePunct/>
              <w:jc w:val="center"/>
              <w:rPr>
                <w:rFonts w:hint="eastAsia"/>
                <w:color w:val="000000" w:themeColor="text1"/>
                <w:sz w:val="20"/>
                <w:szCs w:val="20"/>
                <w:highlight w:val="none"/>
                <w14:textFill>
                  <w14:solidFill>
                    <w14:schemeClr w14:val="tx1"/>
                  </w14:solidFill>
                </w14:textFill>
              </w:rPr>
            </w:pPr>
            <w:r>
              <w:rPr>
                <w:color w:val="000000" w:themeColor="text1"/>
                <w:spacing w:val="-2"/>
                <w:sz w:val="20"/>
                <w:szCs w:val="20"/>
                <w:highlight w:val="none"/>
                <w14:textFill>
                  <w14:solidFill>
                    <w14:schemeClr w14:val="tx1"/>
                  </w14:solidFill>
                </w14:textFill>
              </w:rPr>
              <w:t>对投标人资</w:t>
            </w:r>
            <w:r>
              <w:rPr>
                <w:color w:val="000000" w:themeColor="text1"/>
                <w:spacing w:val="-4"/>
                <w:sz w:val="20"/>
                <w:szCs w:val="20"/>
                <w:highlight w:val="none"/>
                <w14:textFill>
                  <w14:solidFill>
                    <w14:schemeClr w14:val="tx1"/>
                  </w14:solidFill>
                </w14:textFill>
              </w:rPr>
              <w:t>质要求</w:t>
            </w:r>
          </w:p>
        </w:tc>
        <w:tc>
          <w:tcPr>
            <w:tcW w:w="1487" w:type="dxa"/>
          </w:tcPr>
          <w:p w14:paraId="0B4E8EEA">
            <w:pPr>
              <w:pStyle w:val="124"/>
              <w:spacing w:before="282" w:line="221" w:lineRule="auto"/>
              <w:jc w:val="center"/>
              <w:rPr>
                <w:rFonts w:hint="eastAsia"/>
                <w:color w:val="000000" w:themeColor="text1"/>
                <w:sz w:val="20"/>
                <w:szCs w:val="20"/>
                <w:highlight w:val="none"/>
                <w14:textFill>
                  <w14:solidFill>
                    <w14:schemeClr w14:val="tx1"/>
                  </w14:solidFill>
                </w14:textFill>
              </w:rPr>
            </w:pPr>
            <w:r>
              <w:rPr>
                <w:color w:val="000000" w:themeColor="text1"/>
                <w:spacing w:val="-7"/>
                <w:sz w:val="20"/>
                <w:szCs w:val="20"/>
                <w:highlight w:val="none"/>
                <w14:textFill>
                  <w14:solidFill>
                    <w14:schemeClr w14:val="tx1"/>
                  </w14:solidFill>
                </w14:textFill>
              </w:rPr>
              <w:t>备注</w:t>
            </w:r>
          </w:p>
        </w:tc>
      </w:tr>
      <w:tr w14:paraId="3589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trPr>
        <w:tc>
          <w:tcPr>
            <w:tcW w:w="1591" w:type="dxa"/>
            <w:vAlign w:val="center"/>
          </w:tcPr>
          <w:p w14:paraId="15F15ED7">
            <w:pPr>
              <w:pStyle w:val="124"/>
              <w:spacing w:before="27" w:line="219" w:lineRule="auto"/>
              <w:jc w:val="center"/>
              <w:rPr>
                <w:rFonts w:hint="eastAsia"/>
                <w:color w:val="000000" w:themeColor="text1"/>
                <w:spacing w:val="-1"/>
                <w:sz w:val="20"/>
                <w:szCs w:val="20"/>
                <w:highlight w:val="none"/>
                <w:lang w:eastAsia="zh-CN"/>
                <w14:textFill>
                  <w14:solidFill>
                    <w14:schemeClr w14:val="tx1"/>
                  </w14:solidFill>
                </w14:textFill>
              </w:rPr>
            </w:pPr>
            <w:r>
              <w:rPr>
                <w:rFonts w:hint="eastAsia"/>
                <w:color w:val="000000" w:themeColor="text1"/>
                <w:spacing w:val="-1"/>
                <w:sz w:val="20"/>
                <w:szCs w:val="20"/>
                <w:highlight w:val="none"/>
                <w:lang w:eastAsia="zh-CN"/>
                <w14:textFill>
                  <w14:solidFill>
                    <w14:schemeClr w14:val="tx1"/>
                  </w14:solidFill>
                </w14:textFill>
              </w:rPr>
              <w:t>A类</w:t>
            </w:r>
          </w:p>
          <w:p w14:paraId="46045B1B">
            <w:pPr>
              <w:pStyle w:val="124"/>
              <w:spacing w:before="27" w:line="219" w:lineRule="auto"/>
              <w:jc w:val="center"/>
              <w:rPr>
                <w:rFonts w:hint="eastAsia"/>
                <w:color w:val="000000" w:themeColor="text1"/>
                <w:spacing w:val="-1"/>
                <w:sz w:val="20"/>
                <w:szCs w:val="20"/>
                <w:highlight w:val="none"/>
                <w:lang w:eastAsia="zh-CN"/>
                <w14:textFill>
                  <w14:solidFill>
                    <w14:schemeClr w14:val="tx1"/>
                  </w14:solidFill>
                </w14:textFill>
              </w:rPr>
            </w:pPr>
            <w:r>
              <w:rPr>
                <w:rFonts w:hint="eastAsia"/>
                <w:color w:val="000000" w:themeColor="text1"/>
                <w:spacing w:val="-1"/>
                <w:sz w:val="20"/>
                <w:szCs w:val="20"/>
                <w:highlight w:val="none"/>
                <w:lang w:eastAsia="zh-CN"/>
                <w14:textFill>
                  <w14:solidFill>
                    <w14:schemeClr w14:val="tx1"/>
                  </w14:solidFill>
                </w14:textFill>
              </w:rPr>
              <w:t>路基桥涵工程、</w:t>
            </w:r>
          </w:p>
          <w:p w14:paraId="06CB1F20">
            <w:pPr>
              <w:pStyle w:val="124"/>
              <w:spacing w:before="27" w:line="219" w:lineRule="auto"/>
              <w:jc w:val="center"/>
              <w:rPr>
                <w:rFonts w:hint="eastAsia"/>
                <w:color w:val="000000" w:themeColor="text1"/>
                <w:spacing w:val="-1"/>
                <w:sz w:val="20"/>
                <w:szCs w:val="20"/>
                <w:highlight w:val="none"/>
                <w:lang w:eastAsia="zh-CN"/>
                <w14:textFill>
                  <w14:solidFill>
                    <w14:schemeClr w14:val="tx1"/>
                  </w14:solidFill>
                </w14:textFill>
              </w:rPr>
            </w:pPr>
            <w:r>
              <w:rPr>
                <w:rFonts w:hint="eastAsia"/>
                <w:color w:val="000000" w:themeColor="text1"/>
                <w:spacing w:val="-1"/>
                <w:sz w:val="20"/>
                <w:szCs w:val="20"/>
                <w:highlight w:val="none"/>
                <w:lang w:eastAsia="zh-CN"/>
                <w14:textFill>
                  <w14:solidFill>
                    <w14:schemeClr w14:val="tx1"/>
                  </w14:solidFill>
                </w14:textFill>
              </w:rPr>
              <w:t>G类</w:t>
            </w:r>
          </w:p>
          <w:p w14:paraId="1914BFDD">
            <w:pPr>
              <w:pStyle w:val="124"/>
              <w:spacing w:before="27" w:line="219" w:lineRule="auto"/>
              <w:jc w:val="center"/>
              <w:rPr>
                <w:rFonts w:hint="eastAsia"/>
                <w:color w:val="000000" w:themeColor="text1"/>
                <w:sz w:val="20"/>
                <w:szCs w:val="20"/>
                <w:highlight w:val="none"/>
                <w14:textFill>
                  <w14:solidFill>
                    <w14:schemeClr w14:val="tx1"/>
                  </w14:solidFill>
                </w14:textFill>
              </w:rPr>
            </w:pPr>
            <w:r>
              <w:rPr>
                <w:rFonts w:hint="eastAsia"/>
                <w:color w:val="000000" w:themeColor="text1"/>
                <w:spacing w:val="-1"/>
                <w:sz w:val="20"/>
                <w:szCs w:val="20"/>
                <w:highlight w:val="none"/>
                <w:lang w:eastAsia="zh-CN"/>
                <w14:textFill>
                  <w14:solidFill>
                    <w14:schemeClr w14:val="tx1"/>
                  </w14:solidFill>
                </w14:textFill>
              </w:rPr>
              <w:t>路面工程</w:t>
            </w:r>
          </w:p>
        </w:tc>
        <w:tc>
          <w:tcPr>
            <w:tcW w:w="623" w:type="dxa"/>
            <w:vAlign w:val="center"/>
          </w:tcPr>
          <w:p w14:paraId="1E5EB753">
            <w:pPr>
              <w:jc w:val="center"/>
              <w:rPr>
                <w:rFonts w:hint="eastAsia" w:ascii="Arial" w:eastAsia="宋体"/>
                <w:color w:val="000000" w:themeColor="text1"/>
                <w:sz w:val="20"/>
                <w:szCs w:val="20"/>
                <w:highlight w:val="none"/>
                <w:lang w:eastAsia="zh-CN"/>
                <w14:textFill>
                  <w14:solidFill>
                    <w14:schemeClr w14:val="tx1"/>
                  </w14:solidFill>
                </w14:textFill>
              </w:rPr>
            </w:pPr>
            <w:r>
              <w:rPr>
                <w:rFonts w:hint="eastAsia" w:ascii="宋体" w:hAnsi="宋体" w:cs="宋体"/>
                <w:color w:val="000000" w:themeColor="text1"/>
                <w:sz w:val="20"/>
                <w:szCs w:val="20"/>
                <w:highlight w:val="none"/>
                <w:lang w:val="en-US" w:eastAsia="zh-CN"/>
                <w14:textFill>
                  <w14:solidFill>
                    <w14:schemeClr w14:val="tx1"/>
                  </w14:solidFill>
                </w14:textFill>
              </w:rPr>
              <w:t>1</w:t>
            </w:r>
          </w:p>
        </w:tc>
        <w:tc>
          <w:tcPr>
            <w:tcW w:w="1036" w:type="dxa"/>
            <w:vAlign w:val="center"/>
          </w:tcPr>
          <w:p w14:paraId="583F7ED3">
            <w:pPr>
              <w:ind w:left="63" w:leftChars="30" w:right="63" w:rightChars="30"/>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K0+000至</w:t>
            </w:r>
            <w:r>
              <w:rPr>
                <w:rFonts w:hint="eastAsia" w:ascii="宋体" w:hAnsi="宋体" w:cs="宋体"/>
                <w:color w:val="000000" w:themeColor="text1"/>
                <w:sz w:val="20"/>
                <w:szCs w:val="20"/>
                <w:highlight w:val="none"/>
                <w:lang w:val="en-US" w:eastAsia="zh-CN"/>
                <w14:textFill>
                  <w14:solidFill>
                    <w14:schemeClr w14:val="tx1"/>
                  </w14:solidFill>
                </w14:textFill>
              </w:rPr>
              <w:t>K2+080.409</w:t>
            </w:r>
          </w:p>
        </w:tc>
        <w:tc>
          <w:tcPr>
            <w:tcW w:w="1009" w:type="dxa"/>
            <w:vAlign w:val="center"/>
          </w:tcPr>
          <w:p w14:paraId="194289FB">
            <w:pPr>
              <w:ind w:left="63" w:leftChars="30" w:right="63" w:rightChars="30"/>
              <w:jc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2.080</w:t>
            </w:r>
          </w:p>
        </w:tc>
        <w:tc>
          <w:tcPr>
            <w:tcW w:w="3013" w:type="dxa"/>
          </w:tcPr>
          <w:p w14:paraId="30002CCF">
            <w:pPr>
              <w:widowControl/>
              <w:adjustRightInd w:val="0"/>
              <w:snapToGrid w:val="0"/>
              <w:spacing w:line="288" w:lineRule="auto"/>
              <w:jc w:val="left"/>
              <w:textAlignment w:val="center"/>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本项目路线全长约</w:t>
            </w:r>
            <w:r>
              <w:rPr>
                <w:rFonts w:hint="eastAsia" w:ascii="宋体" w:hAnsi="宋体" w:cs="宋体"/>
                <w:color w:val="000000" w:themeColor="text1"/>
                <w:sz w:val="20"/>
                <w:szCs w:val="20"/>
                <w:highlight w:val="none"/>
                <w:lang w:val="en-US" w:eastAsia="zh-CN"/>
                <w14:textFill>
                  <w14:solidFill>
                    <w14:schemeClr w14:val="tx1"/>
                  </w14:solidFill>
                </w14:textFill>
              </w:rPr>
              <w:t>2.142</w:t>
            </w:r>
            <w:r>
              <w:rPr>
                <w:rFonts w:hint="eastAsia" w:ascii="宋体" w:hAnsi="宋体" w:cs="宋体"/>
                <w:color w:val="000000" w:themeColor="text1"/>
                <w:sz w:val="20"/>
                <w:szCs w:val="20"/>
                <w:highlight w:val="none"/>
                <w14:textFill>
                  <w14:solidFill>
                    <w14:schemeClr w14:val="tx1"/>
                  </w14:solidFill>
                </w14:textFill>
              </w:rPr>
              <w:t>公里，采用二级公路兼城市道路功能的技术标准，双向四车道，设计速度为40千米每小时，路基宽度20米，路面宽度16.25米。本项目起点与省道250线平交，起点桩号为K0+000，终点接顺新建桂头大桥，终点桩号为K2+</w:t>
            </w:r>
            <w:r>
              <w:rPr>
                <w:rFonts w:hint="eastAsia" w:ascii="宋体" w:hAnsi="宋体" w:cs="宋体"/>
                <w:color w:val="000000" w:themeColor="text1"/>
                <w:sz w:val="20"/>
                <w:szCs w:val="20"/>
                <w:highlight w:val="none"/>
                <w:lang w:val="en-US" w:eastAsia="zh-CN"/>
                <w14:textFill>
                  <w14:solidFill>
                    <w14:schemeClr w14:val="tx1"/>
                  </w14:solidFill>
                </w14:textFill>
              </w:rPr>
              <w:t>141.594</w:t>
            </w:r>
            <w:r>
              <w:rPr>
                <w:rFonts w:hint="eastAsia" w:ascii="宋体" w:hAnsi="宋体" w:cs="宋体"/>
                <w:color w:val="000000" w:themeColor="text1"/>
                <w:sz w:val="20"/>
                <w:szCs w:val="20"/>
                <w:highlight w:val="none"/>
                <w14:textFill>
                  <w14:solidFill>
                    <w14:schemeClr w14:val="tx1"/>
                  </w14:solidFill>
                </w14:textFill>
              </w:rPr>
              <w:t>。建设内容包括新建混凝土路面，新建左侧人行道和照明设施，完善道路沿线的管道排水设施和路基防护，完善沿线公路的标志、标线、标牌及相关交通安全设施等。</w:t>
            </w:r>
          </w:p>
        </w:tc>
        <w:tc>
          <w:tcPr>
            <w:tcW w:w="1420" w:type="dxa"/>
            <w:vAlign w:val="center"/>
          </w:tcPr>
          <w:p w14:paraId="4A0B6FEE">
            <w:pPr>
              <w:pStyle w:val="124"/>
              <w:spacing w:before="78" w:line="219" w:lineRule="auto"/>
              <w:jc w:val="center"/>
              <w:rPr>
                <w:rFonts w:hint="eastAsia"/>
                <w:color w:val="000000" w:themeColor="text1"/>
                <w:sz w:val="20"/>
                <w:szCs w:val="20"/>
                <w:highlight w:val="none"/>
                <w14:textFill>
                  <w14:solidFill>
                    <w14:schemeClr w14:val="tx1"/>
                  </w14:solidFill>
                </w14:textFill>
              </w:rPr>
            </w:pPr>
            <w:r>
              <w:rPr>
                <w:color w:val="000000" w:themeColor="text1"/>
                <w:spacing w:val="-3"/>
                <w:sz w:val="20"/>
                <w:szCs w:val="20"/>
                <w:highlight w:val="none"/>
                <w14:textFill>
                  <w14:solidFill>
                    <w14:schemeClr w14:val="tx1"/>
                  </w14:solidFill>
                </w14:textFill>
              </w:rPr>
              <w:t>参照附录</w:t>
            </w:r>
            <w:r>
              <w:rPr>
                <w:color w:val="000000" w:themeColor="text1"/>
                <w:spacing w:val="-31"/>
                <w:sz w:val="20"/>
                <w:szCs w:val="20"/>
                <w:highlight w:val="none"/>
                <w14:textFill>
                  <w14:solidFill>
                    <w14:schemeClr w14:val="tx1"/>
                  </w14:solidFill>
                </w14:textFill>
              </w:rPr>
              <w:t xml:space="preserve"> </w:t>
            </w:r>
            <w:r>
              <w:rPr>
                <w:color w:val="000000" w:themeColor="text1"/>
                <w:spacing w:val="-3"/>
                <w:sz w:val="20"/>
                <w:szCs w:val="20"/>
                <w:highlight w:val="none"/>
                <w14:textFill>
                  <w14:solidFill>
                    <w14:schemeClr w14:val="tx1"/>
                  </w14:solidFill>
                </w14:textFill>
              </w:rPr>
              <w:t>1</w:t>
            </w:r>
          </w:p>
        </w:tc>
        <w:tc>
          <w:tcPr>
            <w:tcW w:w="1487" w:type="dxa"/>
            <w:vAlign w:val="center"/>
          </w:tcPr>
          <w:p w14:paraId="0CD1F89D">
            <w:pPr>
              <w:pStyle w:val="124"/>
              <w:wordWrap w:val="0"/>
              <w:topLinePunct/>
              <w:jc w:val="center"/>
              <w:rPr>
                <w:rFonts w:hint="eastAsia"/>
                <w:color w:val="000000" w:themeColor="text1"/>
                <w:sz w:val="20"/>
                <w:szCs w:val="20"/>
                <w:highlight w:val="none"/>
                <w:lang w:eastAsia="zh-CN"/>
                <w14:textFill>
                  <w14:solidFill>
                    <w14:schemeClr w14:val="tx1"/>
                  </w14:solidFill>
                </w14:textFill>
              </w:rPr>
            </w:pPr>
            <w:r>
              <w:rPr>
                <w:color w:val="000000" w:themeColor="text1"/>
                <w:spacing w:val="-3"/>
                <w:sz w:val="20"/>
                <w:szCs w:val="20"/>
                <w:highlight w:val="none"/>
                <w:lang w:eastAsia="zh-CN"/>
                <w14:textFill>
                  <w14:solidFill>
                    <w14:schemeClr w14:val="tx1"/>
                  </w14:solidFill>
                </w14:textFill>
              </w:rPr>
              <w:t>资格审查条件附录</w:t>
            </w:r>
            <w:r>
              <w:rPr>
                <w:color w:val="000000" w:themeColor="text1"/>
                <w:spacing w:val="-54"/>
                <w:sz w:val="20"/>
                <w:szCs w:val="20"/>
                <w:highlight w:val="none"/>
                <w:lang w:eastAsia="zh-CN"/>
                <w14:textFill>
                  <w14:solidFill>
                    <w14:schemeClr w14:val="tx1"/>
                  </w14:solidFill>
                </w14:textFill>
              </w:rPr>
              <w:t xml:space="preserve"> </w:t>
            </w:r>
            <w:r>
              <w:rPr>
                <w:color w:val="000000" w:themeColor="text1"/>
                <w:spacing w:val="-93"/>
                <w:sz w:val="20"/>
                <w:szCs w:val="20"/>
                <w:highlight w:val="none"/>
                <w:u w:val="single"/>
                <w:lang w:eastAsia="zh-CN"/>
                <w14:textFill>
                  <w14:solidFill>
                    <w14:schemeClr w14:val="tx1"/>
                  </w14:solidFill>
                </w14:textFill>
              </w:rPr>
              <w:t xml:space="preserve"> </w:t>
            </w:r>
            <w:r>
              <w:rPr>
                <w:color w:val="000000" w:themeColor="text1"/>
                <w:spacing w:val="-3"/>
                <w:sz w:val="20"/>
                <w:szCs w:val="20"/>
                <w:highlight w:val="none"/>
                <w:u w:val="single"/>
                <w:lang w:eastAsia="zh-CN"/>
                <w14:textFill>
                  <w14:solidFill>
                    <w14:schemeClr w14:val="tx1"/>
                  </w14:solidFill>
                </w14:textFill>
              </w:rPr>
              <w:t>1</w:t>
            </w:r>
            <w:r>
              <w:rPr>
                <w:color w:val="000000" w:themeColor="text1"/>
                <w:spacing w:val="-5"/>
                <w:sz w:val="20"/>
                <w:szCs w:val="20"/>
                <w:highlight w:val="none"/>
                <w:lang w:eastAsia="zh-CN"/>
                <w14:textFill>
                  <w14:solidFill>
                    <w14:schemeClr w14:val="tx1"/>
                  </w14:solidFill>
                </w14:textFill>
              </w:rPr>
              <w:t>至附录</w:t>
            </w:r>
            <w:r>
              <w:rPr>
                <w:color w:val="000000" w:themeColor="text1"/>
                <w:spacing w:val="-40"/>
                <w:sz w:val="20"/>
                <w:szCs w:val="20"/>
                <w:highlight w:val="none"/>
                <w:lang w:eastAsia="zh-CN"/>
                <w14:textFill>
                  <w14:solidFill>
                    <w14:schemeClr w14:val="tx1"/>
                  </w14:solidFill>
                </w14:textFill>
              </w:rPr>
              <w:t xml:space="preserve"> </w:t>
            </w:r>
            <w:r>
              <w:rPr>
                <w:color w:val="000000" w:themeColor="text1"/>
                <w:spacing w:val="-5"/>
                <w:sz w:val="20"/>
                <w:szCs w:val="20"/>
                <w:highlight w:val="none"/>
                <w:u w:val="single"/>
                <w:lang w:eastAsia="zh-CN"/>
                <w14:textFill>
                  <w14:solidFill>
                    <w14:schemeClr w14:val="tx1"/>
                  </w14:solidFill>
                </w14:textFill>
              </w:rPr>
              <w:t>7</w:t>
            </w:r>
            <w:r>
              <w:rPr>
                <w:color w:val="000000" w:themeColor="text1"/>
                <w:spacing w:val="-48"/>
                <w:sz w:val="20"/>
                <w:szCs w:val="20"/>
                <w:highlight w:val="none"/>
                <w:u w:val="single"/>
                <w:lang w:eastAsia="zh-CN"/>
                <w14:textFill>
                  <w14:solidFill>
                    <w14:schemeClr w14:val="tx1"/>
                  </w14:solidFill>
                </w14:textFill>
              </w:rPr>
              <w:t xml:space="preserve"> </w:t>
            </w:r>
            <w:r>
              <w:rPr>
                <w:color w:val="000000" w:themeColor="text1"/>
                <w:spacing w:val="-5"/>
                <w:sz w:val="20"/>
                <w:szCs w:val="20"/>
                <w:highlight w:val="none"/>
                <w:lang w:eastAsia="zh-CN"/>
                <w14:textFill>
                  <w14:solidFill>
                    <w14:schemeClr w14:val="tx1"/>
                  </w14:solidFill>
                </w14:textFill>
              </w:rPr>
              <w:t>详见投标人</w:t>
            </w:r>
            <w:r>
              <w:rPr>
                <w:color w:val="000000" w:themeColor="text1"/>
                <w:spacing w:val="-4"/>
                <w:sz w:val="20"/>
                <w:szCs w:val="20"/>
                <w:highlight w:val="none"/>
                <w:lang w:eastAsia="zh-CN"/>
                <w14:textFill>
                  <w14:solidFill>
                    <w14:schemeClr w14:val="tx1"/>
                  </w14:solidFill>
                </w14:textFill>
              </w:rPr>
              <w:t>须知附录</w:t>
            </w:r>
          </w:p>
        </w:tc>
      </w:tr>
    </w:tbl>
    <w:p w14:paraId="458FE311">
      <w:pPr>
        <w:spacing w:before="52" w:line="225" w:lineRule="auto"/>
        <w:ind w:left="266"/>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9"/>
          <w:sz w:val="20"/>
          <w:szCs w:val="20"/>
          <w:highlight w:val="none"/>
          <w14:textFill>
            <w14:solidFill>
              <w14:schemeClr w14:val="tx1"/>
            </w14:solidFill>
          </w14:textFill>
        </w:rPr>
        <w:t>注：1、具体工程数量以招标文件工程量清单为</w:t>
      </w:r>
      <w:r>
        <w:rPr>
          <w:rFonts w:ascii="宋体" w:hAnsi="宋体" w:cs="宋体"/>
          <w:color w:val="000000" w:themeColor="text1"/>
          <w:spacing w:val="8"/>
          <w:sz w:val="20"/>
          <w:szCs w:val="20"/>
          <w:highlight w:val="none"/>
          <w14:textFill>
            <w14:solidFill>
              <w14:schemeClr w14:val="tx1"/>
            </w14:solidFill>
          </w14:textFill>
        </w:rPr>
        <w:t>准。</w:t>
      </w:r>
    </w:p>
    <w:p w14:paraId="2641B32E">
      <w:pPr>
        <w:spacing w:before="68" w:line="225" w:lineRule="auto"/>
        <w:ind w:left="269"/>
        <w:rPr>
          <w:rFonts w:hint="eastAsia" w:ascii="宋体" w:hAnsi="宋体" w:cs="宋体"/>
          <w:color w:val="000000" w:themeColor="text1"/>
          <w:sz w:val="20"/>
          <w:szCs w:val="20"/>
          <w:highlight w:val="none"/>
          <w14:textFill>
            <w14:solidFill>
              <w14:schemeClr w14:val="tx1"/>
            </w14:solidFill>
          </w14:textFill>
        </w:rPr>
      </w:pPr>
    </w:p>
    <w:p w14:paraId="2F4885AB">
      <w:pPr>
        <w:spacing w:line="268" w:lineRule="auto"/>
        <w:rPr>
          <w:rFonts w:hint="eastAsia" w:ascii="宋体" w:hAnsi="宋体" w:cs="宋体"/>
          <w:color w:val="000000" w:themeColor="text1"/>
          <w:sz w:val="20"/>
          <w:szCs w:val="20"/>
          <w:highlight w:val="none"/>
          <w14:textFill>
            <w14:solidFill>
              <w14:schemeClr w14:val="tx1"/>
            </w14:solidFill>
          </w14:textFill>
        </w:rPr>
        <w:sectPr>
          <w:headerReference r:id="rId12" w:type="default"/>
          <w:footerReference r:id="rId13" w:type="default"/>
          <w:pgSz w:w="11906" w:h="16839"/>
          <w:pgMar w:top="1182" w:right="1157" w:bottom="1168" w:left="1157" w:header="849" w:footer="934" w:gutter="0"/>
          <w:cols w:space="720" w:num="1"/>
        </w:sectPr>
      </w:pPr>
    </w:p>
    <w:p w14:paraId="31992930">
      <w:pPr>
        <w:pStyle w:val="5"/>
        <w:rPr>
          <w:rFonts w:hint="eastAsia" w:ascii="宋体" w:hAnsi="宋体" w:cs="宋体"/>
          <w:color w:val="000000" w:themeColor="text1"/>
          <w:highlight w:val="none"/>
          <w14:textFill>
            <w14:solidFill>
              <w14:schemeClr w14:val="tx1"/>
            </w14:solidFill>
          </w14:textFill>
        </w:rPr>
      </w:pPr>
      <w:bookmarkStart w:id="7" w:name="_Toc16595"/>
      <w:r>
        <w:rPr>
          <w:rFonts w:hint="eastAsia" w:ascii="宋体" w:hAnsi="宋体" w:cs="宋体"/>
          <w:color w:val="000000" w:themeColor="text1"/>
          <w:highlight w:val="none"/>
          <w14:textFill>
            <w14:solidFill>
              <w14:schemeClr w14:val="tx1"/>
            </w14:solidFill>
          </w14:textFill>
        </w:rPr>
        <w:t>附件 2：重要事项时间地点一览表</w:t>
      </w:r>
      <w:bookmarkEnd w:id="5"/>
      <w:bookmarkEnd w:id="7"/>
    </w:p>
    <w:tbl>
      <w:tblPr>
        <w:tblStyle w:val="45"/>
        <w:tblW w:w="945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58"/>
        <w:gridCol w:w="1667"/>
        <w:gridCol w:w="7334"/>
      </w:tblGrid>
      <w:tr w14:paraId="660A2D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A00E270">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3F836A38">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招标公告</w:t>
            </w:r>
          </w:p>
          <w:p w14:paraId="5D51DF4D">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发布时间 </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7FF73834">
            <w:pPr>
              <w:widowControl/>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18</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tc>
      </w:tr>
      <w:tr w14:paraId="5E74F8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5B6B461">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3D9AE10A">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 xml:space="preserve">获取招标文件截止时间 </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54AE16D">
            <w:pPr>
              <w:widowControl/>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435902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69674AD">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37C65734">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网上提问</w:t>
            </w:r>
          </w:p>
          <w:p w14:paraId="6BDBF74F">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4FCD0344">
            <w:pPr>
              <w:wordWrap w:val="0"/>
              <w:adjustRightInd w:val="0"/>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 </w:t>
            </w:r>
            <w:r>
              <w:rPr>
                <w:rFonts w:hint="eastAsia" w:ascii="宋体" w:hAnsi="宋体" w:cs="宋体"/>
                <w:color w:val="auto"/>
                <w:kern w:val="0"/>
                <w:sz w:val="22"/>
                <w:szCs w:val="22"/>
                <w:highlight w:val="none"/>
              </w:rPr>
              <w:t>分</w:t>
            </w:r>
          </w:p>
        </w:tc>
      </w:tr>
      <w:tr w14:paraId="357ADB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E3A4B2E">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4</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102F048A">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网上答疑</w:t>
            </w:r>
          </w:p>
          <w:p w14:paraId="35C537DE">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F55384C">
            <w:pPr>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00</w:t>
            </w:r>
            <w:r>
              <w:rPr>
                <w:rFonts w:hint="eastAsia" w:ascii="宋体" w:hAnsi="宋体" w:cs="宋体"/>
                <w:color w:val="auto"/>
                <w:kern w:val="0"/>
                <w:sz w:val="22"/>
                <w:szCs w:val="22"/>
                <w:highlight w:val="none"/>
              </w:rPr>
              <w:t>分</w:t>
            </w:r>
          </w:p>
        </w:tc>
      </w:tr>
      <w:tr w14:paraId="7E388E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3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7FD1E60">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5</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7058C29">
            <w:pPr>
              <w:wordWrap w:val="0"/>
              <w:adjustRightInd w:val="0"/>
              <w:snapToGrid w:val="0"/>
              <w:spacing w:line="360" w:lineRule="exact"/>
              <w:jc w:val="center"/>
              <w:rPr>
                <w:rFonts w:ascii="宋体"/>
                <w:snapToGrid w:val="0"/>
                <w:color w:val="auto"/>
                <w:kern w:val="0"/>
                <w:sz w:val="22"/>
                <w:szCs w:val="22"/>
                <w:highlight w:val="none"/>
              </w:rPr>
            </w:pPr>
            <w:r>
              <w:rPr>
                <w:rFonts w:hint="eastAsia" w:ascii="宋体"/>
                <w:snapToGrid w:val="0"/>
                <w:color w:val="auto"/>
                <w:kern w:val="0"/>
                <w:sz w:val="22"/>
                <w:szCs w:val="22"/>
                <w:highlight w:val="none"/>
              </w:rPr>
              <w:t>投标保证缴</w:t>
            </w:r>
          </w:p>
          <w:p w14:paraId="102A04B4">
            <w:pPr>
              <w:wordWrap w:val="0"/>
              <w:adjustRightInd w:val="0"/>
              <w:snapToGrid w:val="0"/>
              <w:spacing w:line="360" w:lineRule="exact"/>
              <w:jc w:val="center"/>
              <w:rPr>
                <w:rFonts w:hint="eastAsia" w:ascii="宋体" w:hAnsi="宋体" w:cs="Tahoma"/>
                <w:color w:val="auto"/>
                <w:sz w:val="22"/>
                <w:szCs w:val="22"/>
                <w:highlight w:val="none"/>
              </w:rPr>
            </w:pPr>
            <w:r>
              <w:rPr>
                <w:rFonts w:hint="eastAsia" w:ascii="宋体"/>
                <w:snapToGrid w:val="0"/>
                <w:color w:val="auto"/>
                <w:kern w:val="0"/>
                <w:sz w:val="22"/>
                <w:szCs w:val="22"/>
                <w:highlight w:val="none"/>
              </w:rPr>
              <w:t>纳截止时间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0795B573">
            <w:pPr>
              <w:widowControl/>
              <w:snapToGrid w:val="0"/>
              <w:spacing w:before="156" w:beforeLines="50" w:line="360" w:lineRule="auto"/>
              <w:ind w:left="105" w:leftChars="5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p w14:paraId="0B85EA85">
            <w:pPr>
              <w:widowControl/>
              <w:snapToGrid w:val="0"/>
              <w:spacing w:line="360" w:lineRule="auto"/>
              <w:ind w:left="105" w:leftChars="5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p w14:paraId="2C2F39BD">
            <w:pPr>
              <w:widowControl/>
              <w:snapToGrid w:val="0"/>
              <w:spacing w:line="360" w:lineRule="auto"/>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221661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1BF5443">
            <w:pPr>
              <w:wordWrap w:val="0"/>
              <w:adjustRightInd w:val="0"/>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6</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A60CAA0">
            <w:pPr>
              <w:keepNext w:val="0"/>
              <w:keepLines w:val="0"/>
              <w:pageBreakBefore w:val="0"/>
              <w:widowControl w:val="0"/>
              <w:kinsoku/>
              <w:wordWrap w:val="0"/>
              <w:overflowPunct/>
              <w:topLinePunct w:val="0"/>
              <w:autoSpaceDE/>
              <w:autoSpaceDN/>
              <w:bidi w:val="0"/>
              <w:adjustRightInd w:val="0"/>
              <w:snapToGrid w:val="0"/>
              <w:spacing w:line="340" w:lineRule="exact"/>
              <w:jc w:val="center"/>
              <w:textAlignment w:val="auto"/>
              <w:rPr>
                <w:rFonts w:ascii="宋体"/>
                <w:snapToGrid w:val="0"/>
                <w:color w:val="auto"/>
                <w:kern w:val="0"/>
                <w:sz w:val="22"/>
                <w:szCs w:val="22"/>
                <w:highlight w:val="none"/>
              </w:rPr>
            </w:pPr>
            <w:r>
              <w:rPr>
                <w:rFonts w:hint="eastAsia" w:ascii="宋体"/>
                <w:snapToGrid w:val="0"/>
                <w:color w:val="auto"/>
                <w:kern w:val="0"/>
                <w:sz w:val="22"/>
                <w:szCs w:val="22"/>
                <w:highlight w:val="none"/>
              </w:rPr>
              <w:t>电子投标</w:t>
            </w:r>
          </w:p>
          <w:p w14:paraId="18564B38">
            <w:pPr>
              <w:keepNext w:val="0"/>
              <w:keepLines w:val="0"/>
              <w:pageBreakBefore w:val="0"/>
              <w:widowControl w:val="0"/>
              <w:kinsoku/>
              <w:wordWrap w:val="0"/>
              <w:overflowPunct/>
              <w:topLinePunct w:val="0"/>
              <w:autoSpaceDE/>
              <w:autoSpaceDN/>
              <w:bidi w:val="0"/>
              <w:adjustRightInd w:val="0"/>
              <w:snapToGrid w:val="0"/>
              <w:spacing w:line="340" w:lineRule="exact"/>
              <w:jc w:val="center"/>
              <w:textAlignment w:val="auto"/>
              <w:rPr>
                <w:rFonts w:hint="eastAsia" w:ascii="宋体" w:hAnsi="宋体" w:cs="Tahoma"/>
                <w:color w:val="auto"/>
                <w:sz w:val="22"/>
                <w:szCs w:val="22"/>
                <w:highlight w:val="none"/>
              </w:rPr>
            </w:pPr>
            <w:r>
              <w:rPr>
                <w:rFonts w:hint="eastAsia" w:ascii="宋体"/>
                <w:snapToGrid w:val="0"/>
                <w:color w:val="auto"/>
                <w:kern w:val="0"/>
                <w:sz w:val="22"/>
                <w:szCs w:val="22"/>
                <w:highlight w:val="none"/>
              </w:rPr>
              <w:t>截止时间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20F51E75">
            <w:pPr>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6C088F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2"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7E6496B">
            <w:pPr>
              <w:wordWrap w:val="0"/>
              <w:adjustRightInd w:val="0"/>
              <w:snapToGrid w:val="0"/>
              <w:spacing w:line="360" w:lineRule="exact"/>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7</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6D7860D">
            <w:pPr>
              <w:keepNext w:val="0"/>
              <w:keepLines w:val="0"/>
              <w:pageBreakBefore w:val="0"/>
              <w:widowControl w:val="0"/>
              <w:kinsoku/>
              <w:wordWrap w:val="0"/>
              <w:overflowPunct/>
              <w:topLinePunct w:val="0"/>
              <w:autoSpaceDE/>
              <w:autoSpaceDN/>
              <w:bidi w:val="0"/>
              <w:adjustRightInd w:val="0"/>
              <w:snapToGrid w:val="0"/>
              <w:spacing w:line="340" w:lineRule="exact"/>
              <w:jc w:val="center"/>
              <w:textAlignment w:val="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相关评审资料原件（如有）</w:t>
            </w:r>
          </w:p>
          <w:p w14:paraId="5A603EFA">
            <w:pPr>
              <w:keepNext w:val="0"/>
              <w:keepLines w:val="0"/>
              <w:pageBreakBefore w:val="0"/>
              <w:widowControl w:val="0"/>
              <w:kinsoku/>
              <w:wordWrap w:val="0"/>
              <w:overflowPunct/>
              <w:topLinePunct w:val="0"/>
              <w:autoSpaceDE/>
              <w:autoSpaceDN/>
              <w:bidi w:val="0"/>
              <w:adjustRightInd w:val="0"/>
              <w:snapToGrid w:val="0"/>
              <w:spacing w:line="340" w:lineRule="exact"/>
              <w:jc w:val="center"/>
              <w:textAlignment w:val="auto"/>
              <w:rPr>
                <w:rFonts w:hint="eastAsia" w:ascii="宋体" w:hAnsi="宋体" w:cs="Tahoma"/>
                <w:color w:val="auto"/>
                <w:sz w:val="22"/>
                <w:szCs w:val="22"/>
                <w:highlight w:val="none"/>
              </w:rPr>
            </w:pPr>
            <w:r>
              <w:rPr>
                <w:rFonts w:hint="eastAsia" w:ascii="宋体" w:hAnsi="宋体" w:cs="宋体"/>
                <w:snapToGrid w:val="0"/>
                <w:color w:val="auto"/>
                <w:kern w:val="0"/>
                <w:sz w:val="22"/>
                <w:szCs w:val="22"/>
                <w:highlight w:val="none"/>
              </w:rPr>
              <w:t>递交时间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C64151B">
            <w:pPr>
              <w:snapToGrid w:val="0"/>
              <w:ind w:left="105" w:leftChars="50"/>
              <w:jc w:val="left"/>
              <w:rPr>
                <w:rFonts w:hint="eastAsia" w:ascii="宋体" w:hAnsi="宋体" w:cs="Tahoma"/>
                <w:color w:val="auto"/>
                <w:sz w:val="22"/>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3B2440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49"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9414311">
            <w:pPr>
              <w:pStyle w:val="68"/>
              <w:keepNext w:val="0"/>
              <w:keepLines w:val="0"/>
              <w:pageBreakBefore w:val="0"/>
              <w:kinsoku/>
              <w:wordWrap w:val="0"/>
              <w:overflowPunct/>
              <w:topLinePunct w:val="0"/>
              <w:autoSpaceDE/>
              <w:autoSpaceDN/>
              <w:bidi w:val="0"/>
              <w:adjustRightInd w:val="0"/>
              <w:snapToGrid w:val="0"/>
              <w:spacing w:line="340" w:lineRule="exact"/>
              <w:jc w:val="center"/>
              <w:textAlignment w:val="auto"/>
              <w:rPr>
                <w:rFonts w:hint="eastAsia" w:hAnsi="宋体" w:cs="宋体"/>
                <w:snapToGrid w:val="0"/>
                <w:color w:val="auto"/>
                <w:kern w:val="0"/>
                <w:sz w:val="22"/>
                <w:szCs w:val="22"/>
                <w:highlight w:val="none"/>
              </w:rPr>
            </w:pPr>
            <w:r>
              <w:rPr>
                <w:rFonts w:hint="eastAsia" w:hAnsi="宋体" w:cs="宋体"/>
                <w:snapToGrid w:val="0"/>
                <w:color w:val="auto"/>
                <w:kern w:val="0"/>
                <w:sz w:val="21"/>
                <w:szCs w:val="21"/>
                <w:highlight w:val="none"/>
              </w:rPr>
              <w:t>8</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BFCB974">
            <w:pPr>
              <w:pStyle w:val="68"/>
              <w:keepNext w:val="0"/>
              <w:keepLines w:val="0"/>
              <w:pageBreakBefore w:val="0"/>
              <w:kinsoku/>
              <w:wordWrap w:val="0"/>
              <w:overflowPunct/>
              <w:topLinePunct w:val="0"/>
              <w:autoSpaceDE/>
              <w:autoSpaceDN/>
              <w:bidi w:val="0"/>
              <w:adjustRightInd w:val="0"/>
              <w:snapToGrid w:val="0"/>
              <w:spacing w:line="340" w:lineRule="exact"/>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投标评审原件（如有）</w:t>
            </w:r>
          </w:p>
          <w:p w14:paraId="1469BDDE">
            <w:pPr>
              <w:pStyle w:val="68"/>
              <w:keepNext w:val="0"/>
              <w:keepLines w:val="0"/>
              <w:pageBreakBefore w:val="0"/>
              <w:kinsoku/>
              <w:wordWrap w:val="0"/>
              <w:overflowPunct/>
              <w:topLinePunct w:val="0"/>
              <w:autoSpaceDE/>
              <w:autoSpaceDN/>
              <w:bidi w:val="0"/>
              <w:adjustRightInd w:val="0"/>
              <w:snapToGrid w:val="0"/>
              <w:spacing w:line="340" w:lineRule="exact"/>
              <w:jc w:val="center"/>
              <w:textAlignment w:val="auto"/>
              <w:rPr>
                <w:rFonts w:hint="eastAsia" w:hAnsi="宋体" w:cs="宋体"/>
                <w:snapToGrid w:val="0"/>
                <w:color w:val="auto"/>
                <w:kern w:val="0"/>
                <w:sz w:val="22"/>
                <w:szCs w:val="22"/>
                <w:highlight w:val="none"/>
              </w:rPr>
            </w:pPr>
            <w:r>
              <w:rPr>
                <w:rFonts w:hint="eastAsia" w:hAnsi="宋体" w:cs="宋体"/>
                <w:snapToGrid w:val="0"/>
                <w:color w:val="auto"/>
                <w:kern w:val="0"/>
                <w:sz w:val="21"/>
                <w:szCs w:val="21"/>
                <w:highlight w:val="none"/>
              </w:rPr>
              <w:t>递交地点</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2487F670">
            <w:pPr>
              <w:keepNext w:val="0"/>
              <w:keepLines w:val="0"/>
              <w:pageBreakBefore w:val="0"/>
              <w:kinsoku/>
              <w:wordWrap w:val="0"/>
              <w:overflowPunct/>
              <w:topLinePunct w:val="0"/>
              <w:autoSpaceDE/>
              <w:autoSpaceDN/>
              <w:bidi w:val="0"/>
              <w:adjustRightInd w:val="0"/>
              <w:snapToGrid w:val="0"/>
              <w:spacing w:line="340" w:lineRule="exact"/>
              <w:ind w:firstLine="220" w:firstLineChars="100"/>
              <w:jc w:val="left"/>
              <w:textAlignment w:val="auto"/>
              <w:rPr>
                <w:rFonts w:hint="eastAsia" w:ascii="宋体" w:hAnsi="宋体" w:cs="宋体"/>
                <w:snapToGrid w:val="0"/>
                <w:color w:val="auto"/>
                <w:kern w:val="0"/>
                <w:sz w:val="22"/>
                <w:szCs w:val="22"/>
                <w:highlight w:val="none"/>
                <w:u w:val="single"/>
              </w:rPr>
            </w:pPr>
            <w:r>
              <w:rPr>
                <w:rFonts w:hint="eastAsia" w:ascii="宋体" w:hAnsi="宋体" w:cs="宋体"/>
                <w:snapToGrid w:val="0"/>
                <w:color w:val="auto"/>
                <w:kern w:val="0"/>
                <w:sz w:val="22"/>
                <w:szCs w:val="22"/>
                <w:highlight w:val="none"/>
              </w:rPr>
              <w:t>递交场所：</w:t>
            </w:r>
            <w:r>
              <w:rPr>
                <w:rFonts w:hint="eastAsia" w:ascii="宋体" w:hAnsi="宋体" w:cs="宋体"/>
                <w:snapToGrid w:val="0"/>
                <w:color w:val="auto"/>
                <w:kern w:val="0"/>
                <w:sz w:val="22"/>
                <w:szCs w:val="22"/>
                <w:highlight w:val="none"/>
                <w:u w:val="single"/>
              </w:rPr>
              <w:t>韶关市公共资源交易中心</w:t>
            </w:r>
          </w:p>
          <w:p w14:paraId="5847D5CB">
            <w:pPr>
              <w:keepNext w:val="0"/>
              <w:keepLines w:val="0"/>
              <w:pageBreakBefore w:val="0"/>
              <w:kinsoku/>
              <w:wordWrap w:val="0"/>
              <w:overflowPunct/>
              <w:topLinePunct w:val="0"/>
              <w:autoSpaceDE/>
              <w:autoSpaceDN/>
              <w:bidi w:val="0"/>
              <w:adjustRightInd w:val="0"/>
              <w:snapToGrid w:val="0"/>
              <w:spacing w:line="340" w:lineRule="exact"/>
              <w:ind w:left="105" w:leftChars="50"/>
              <w:jc w:val="left"/>
              <w:textAlignment w:val="auto"/>
              <w:rPr>
                <w:rFonts w:hint="eastAsia" w:hAnsi="宋体" w:cs="宋体"/>
                <w:color w:val="auto"/>
                <w:kern w:val="0"/>
                <w:sz w:val="22"/>
                <w:szCs w:val="22"/>
                <w:highlight w:val="none"/>
                <w:u w:val="single"/>
              </w:rPr>
            </w:pPr>
            <w:r>
              <w:rPr>
                <w:rFonts w:hint="eastAsia" w:hAnsi="宋体" w:cs="宋体"/>
                <w:snapToGrid w:val="0"/>
                <w:color w:val="auto"/>
                <w:kern w:val="0"/>
                <w:sz w:val="22"/>
                <w:szCs w:val="22"/>
                <w:highlight w:val="none"/>
                <w:lang w:val="en-US" w:eastAsia="zh-CN"/>
              </w:rPr>
              <w:t>地址：</w:t>
            </w:r>
            <w:r>
              <w:rPr>
                <w:rFonts w:hint="eastAsia" w:ascii="宋体" w:hAnsi="宋体" w:cs="宋体"/>
                <w:color w:val="auto"/>
                <w:sz w:val="22"/>
                <w:szCs w:val="22"/>
                <w:highlight w:val="none"/>
                <w:lang w:val="en-US" w:eastAsia="zh-CN"/>
              </w:rPr>
              <w:t>韶关市乳源瑶族自治县乳城镇北环中路乳源农旅特色小镇政务服务大厅4号楼3楼(京港澳高速乳源收费站路口旁)；韶关市公共资源交易中心乳源分中心，具体房间号以当日现场通知为准。</w:t>
            </w:r>
          </w:p>
        </w:tc>
      </w:tr>
      <w:tr w14:paraId="755BDF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77C89854">
            <w:pPr>
              <w:keepNext w:val="0"/>
              <w:keepLines w:val="0"/>
              <w:pageBreakBefore w:val="0"/>
              <w:kinsoku/>
              <w:wordWrap w:val="0"/>
              <w:overflowPunct/>
              <w:topLinePunct w:val="0"/>
              <w:autoSpaceDE/>
              <w:autoSpaceDN/>
              <w:bidi w:val="0"/>
              <w:adjustRightInd w:val="0"/>
              <w:snapToGrid w:val="0"/>
              <w:spacing w:line="34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9</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2A763D9">
            <w:pPr>
              <w:keepNext w:val="0"/>
              <w:keepLines w:val="0"/>
              <w:pageBreakBefore w:val="0"/>
              <w:kinsoku/>
              <w:wordWrap w:val="0"/>
              <w:overflowPunct/>
              <w:topLinePunct w:val="0"/>
              <w:autoSpaceDE/>
              <w:autoSpaceDN/>
              <w:bidi w:val="0"/>
              <w:adjustRightInd w:val="0"/>
              <w:snapToGrid w:val="0"/>
              <w:spacing w:line="340" w:lineRule="exact"/>
              <w:jc w:val="center"/>
              <w:textAlignment w:val="auto"/>
              <w:rPr>
                <w:rFonts w:hint="eastAsia" w:ascii="宋体" w:hAnsi="宋体" w:cs="Tahoma"/>
                <w:color w:val="auto"/>
                <w:sz w:val="20"/>
                <w:szCs w:val="22"/>
                <w:highlight w:val="none"/>
              </w:rPr>
            </w:pPr>
            <w:r>
              <w:rPr>
                <w:rFonts w:hint="eastAsia" w:ascii="宋体"/>
                <w:snapToGrid w:val="0"/>
                <w:color w:val="auto"/>
                <w:kern w:val="0"/>
                <w:sz w:val="22"/>
                <w:szCs w:val="22"/>
                <w:highlight w:val="none"/>
              </w:rPr>
              <w:t>开标时间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F90DB49">
            <w:pPr>
              <w:keepNext w:val="0"/>
              <w:keepLines w:val="0"/>
              <w:pageBreakBefore w:val="0"/>
              <w:kinsoku/>
              <w:wordWrap w:val="0"/>
              <w:overflowPunct/>
              <w:topLinePunct w:val="0"/>
              <w:autoSpaceDE/>
              <w:autoSpaceDN/>
              <w:bidi w:val="0"/>
              <w:adjustRightInd w:val="0"/>
              <w:snapToGrid w:val="0"/>
              <w:spacing w:line="340" w:lineRule="exact"/>
              <w:ind w:left="105" w:leftChars="50"/>
              <w:textAlignment w:val="auto"/>
              <w:rPr>
                <w:rFonts w:hint="eastAsia" w:ascii="宋体" w:hAnsi="宋体" w:cs="Tahoma"/>
                <w:color w:val="auto"/>
                <w:sz w:val="20"/>
                <w:szCs w:val="22"/>
                <w:highlight w:val="none"/>
              </w:rPr>
            </w:pPr>
            <w:r>
              <w:rPr>
                <w:rFonts w:hint="eastAsia" w:ascii="宋体" w:hAnsi="宋体" w:cs="宋体"/>
                <w:color w:val="auto"/>
                <w:kern w:val="0"/>
                <w:sz w:val="22"/>
                <w:szCs w:val="22"/>
                <w:highlight w:val="none"/>
                <w:u w:val="single"/>
              </w:rPr>
              <w:t>2026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28</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10</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597E31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F20F5E6">
            <w:pPr>
              <w:keepNext w:val="0"/>
              <w:keepLines w:val="0"/>
              <w:pageBreakBefore w:val="0"/>
              <w:kinsoku/>
              <w:wordWrap w:val="0"/>
              <w:overflowPunct/>
              <w:topLinePunct w:val="0"/>
              <w:autoSpaceDE/>
              <w:autoSpaceDN/>
              <w:bidi w:val="0"/>
              <w:adjustRightInd w:val="0"/>
              <w:snapToGrid w:val="0"/>
              <w:spacing w:line="340" w:lineRule="exact"/>
              <w:jc w:val="center"/>
              <w:textAlignment w:val="auto"/>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10</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715FD4F3">
            <w:pPr>
              <w:keepNext w:val="0"/>
              <w:keepLines w:val="0"/>
              <w:pageBreakBefore w:val="0"/>
              <w:kinsoku/>
              <w:wordWrap w:val="0"/>
              <w:overflowPunct/>
              <w:topLinePunct w:val="0"/>
              <w:autoSpaceDE/>
              <w:autoSpaceDN/>
              <w:bidi w:val="0"/>
              <w:adjustRightInd w:val="0"/>
              <w:snapToGrid w:val="0"/>
              <w:spacing w:line="340" w:lineRule="exact"/>
              <w:jc w:val="center"/>
              <w:textAlignment w:val="auto"/>
              <w:rPr>
                <w:rFonts w:hint="eastAsia" w:ascii="宋体" w:hAnsi="宋体" w:cs="Tahoma"/>
                <w:color w:val="auto"/>
                <w:sz w:val="22"/>
                <w:szCs w:val="22"/>
                <w:highlight w:val="none"/>
              </w:rPr>
            </w:pPr>
            <w:r>
              <w:rPr>
                <w:rFonts w:hint="eastAsia" w:ascii="宋体" w:hAnsi="宋体" w:cs="宋体"/>
                <w:snapToGrid w:val="0"/>
                <w:color w:val="auto"/>
                <w:kern w:val="0"/>
                <w:sz w:val="22"/>
                <w:szCs w:val="22"/>
                <w:highlight w:val="none"/>
              </w:rPr>
              <w:t xml:space="preserve">开标地点 </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445E9ACF">
            <w:pPr>
              <w:keepNext w:val="0"/>
              <w:keepLines w:val="0"/>
              <w:pageBreakBefore w:val="0"/>
              <w:widowControl w:val="0"/>
              <w:kinsoku/>
              <w:wordWrap w:val="0"/>
              <w:overflowPunct/>
              <w:topLinePunct w:val="0"/>
              <w:autoSpaceDE/>
              <w:autoSpaceDN/>
              <w:bidi w:val="0"/>
              <w:adjustRightInd w:val="0"/>
              <w:snapToGrid w:val="0"/>
              <w:spacing w:line="320" w:lineRule="exact"/>
              <w:ind w:left="105" w:leftChars="5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开标场所：韶关市公共资源交易中心，</w:t>
            </w:r>
          </w:p>
          <w:p w14:paraId="70DF6F6B">
            <w:pPr>
              <w:keepNext w:val="0"/>
              <w:keepLines w:val="0"/>
              <w:pageBreakBefore w:val="0"/>
              <w:widowControl w:val="0"/>
              <w:kinsoku/>
              <w:wordWrap w:val="0"/>
              <w:overflowPunct/>
              <w:topLinePunct w:val="0"/>
              <w:autoSpaceDE/>
              <w:autoSpaceDN/>
              <w:bidi w:val="0"/>
              <w:adjustRightInd w:val="0"/>
              <w:snapToGrid w:val="0"/>
              <w:spacing w:line="320" w:lineRule="exact"/>
              <w:ind w:left="105" w:leftChars="50"/>
              <w:jc w:val="left"/>
              <w:textAlignment w:val="auto"/>
              <w:rPr>
                <w:rFonts w:hint="eastAsia" w:ascii="宋体" w:hAnsi="宋体" w:cs="Tahoma"/>
                <w:color w:val="auto"/>
                <w:sz w:val="22"/>
                <w:szCs w:val="22"/>
                <w:highlight w:val="none"/>
              </w:rPr>
            </w:pPr>
            <w:r>
              <w:rPr>
                <w:rFonts w:hint="eastAsia" w:ascii="宋体" w:hAnsi="宋体" w:cs="宋体"/>
                <w:color w:val="auto"/>
                <w:sz w:val="22"/>
                <w:szCs w:val="22"/>
                <w:highlight w:val="none"/>
                <w:lang w:val="en-US" w:eastAsia="zh-CN"/>
              </w:rPr>
              <w:t>地址：韶关市乳源瑶族自治县乳城镇北环中路乳源农旅特色小镇政务服务大厅4号楼3楼(京港澳高速乳源收费站路口旁)；韶关市公共资源交易中心乳源分中心，具体房间号以当日现场通知为准。</w:t>
            </w:r>
          </w:p>
        </w:tc>
      </w:tr>
      <w:tr w14:paraId="13A975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030" w:hRule="exac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D6E1B3F">
            <w:pPr>
              <w:keepNext w:val="0"/>
              <w:keepLines w:val="0"/>
              <w:pageBreakBefore w:val="0"/>
              <w:widowControl/>
              <w:kinsoku/>
              <w:overflowPunct/>
              <w:topLinePunct w:val="0"/>
              <w:autoSpaceDE/>
              <w:autoSpaceDN/>
              <w:bidi w:val="0"/>
              <w:snapToGrid w:val="0"/>
              <w:spacing w:line="34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11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F679436">
            <w:pPr>
              <w:keepNext w:val="0"/>
              <w:keepLines w:val="0"/>
              <w:pageBreakBefore w:val="0"/>
              <w:widowControl/>
              <w:kinsoku/>
              <w:overflowPunct/>
              <w:topLinePunct w:val="0"/>
              <w:autoSpaceDE/>
              <w:autoSpaceDN/>
              <w:bidi w:val="0"/>
              <w:snapToGrid w:val="0"/>
              <w:spacing w:line="340" w:lineRule="exact"/>
              <w:jc w:val="center"/>
              <w:textAlignment w:val="auto"/>
              <w:rPr>
                <w:rFonts w:hint="eastAsia" w:hAnsi="宋体" w:cs="宋体"/>
                <w:color w:val="auto"/>
                <w:sz w:val="22"/>
                <w:szCs w:val="22"/>
                <w:highlight w:val="none"/>
              </w:rPr>
            </w:pPr>
            <w:r>
              <w:rPr>
                <w:rFonts w:hAnsi="宋体" w:cs="宋体"/>
                <w:color w:val="auto"/>
                <w:sz w:val="22"/>
                <w:szCs w:val="22"/>
                <w:highlight w:val="none"/>
              </w:rPr>
              <w:t>交易场所</w:t>
            </w:r>
          </w:p>
          <w:p w14:paraId="2F12971A">
            <w:pPr>
              <w:keepNext w:val="0"/>
              <w:keepLines w:val="0"/>
              <w:pageBreakBefore w:val="0"/>
              <w:widowControl/>
              <w:kinsoku/>
              <w:overflowPunct/>
              <w:topLinePunct w:val="0"/>
              <w:autoSpaceDE/>
              <w:autoSpaceDN/>
              <w:bidi w:val="0"/>
              <w:snapToGrid w:val="0"/>
              <w:spacing w:line="340" w:lineRule="exact"/>
              <w:jc w:val="center"/>
              <w:textAlignment w:val="auto"/>
              <w:rPr>
                <w:rFonts w:hint="eastAsia" w:hAnsi="宋体" w:cs="Tahoma"/>
                <w:color w:val="auto"/>
                <w:sz w:val="22"/>
                <w:szCs w:val="22"/>
                <w:highlight w:val="none"/>
              </w:rPr>
            </w:pPr>
            <w:r>
              <w:rPr>
                <w:rFonts w:hAnsi="宋体" w:cs="宋体"/>
                <w:color w:val="auto"/>
                <w:sz w:val="22"/>
                <w:szCs w:val="22"/>
                <w:highlight w:val="none"/>
              </w:rPr>
              <w:t xml:space="preserve">联系方式 </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7C516116">
            <w:pPr>
              <w:keepNext w:val="0"/>
              <w:keepLines w:val="0"/>
              <w:pageBreakBefore w:val="0"/>
              <w:widowControl w:val="0"/>
              <w:kinsoku/>
              <w:wordWrap w:val="0"/>
              <w:overflowPunct/>
              <w:topLinePunct w:val="0"/>
              <w:autoSpaceDE/>
              <w:autoSpaceDN/>
              <w:bidi w:val="0"/>
              <w:adjustRightInd w:val="0"/>
              <w:snapToGrid w:val="0"/>
              <w:spacing w:line="320" w:lineRule="exact"/>
              <w:ind w:left="105" w:leftChars="5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单位名称：韶关市公共资源交易中心</w:t>
            </w:r>
          </w:p>
          <w:p w14:paraId="4C188603">
            <w:pPr>
              <w:keepNext w:val="0"/>
              <w:keepLines w:val="0"/>
              <w:pageBreakBefore w:val="0"/>
              <w:widowControl w:val="0"/>
              <w:kinsoku/>
              <w:wordWrap w:val="0"/>
              <w:overflowPunct/>
              <w:topLinePunct w:val="0"/>
              <w:autoSpaceDE/>
              <w:autoSpaceDN/>
              <w:bidi w:val="0"/>
              <w:adjustRightInd w:val="0"/>
              <w:snapToGrid w:val="0"/>
              <w:spacing w:line="320" w:lineRule="exact"/>
              <w:ind w:left="105" w:leftChars="5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地址：韶关市乳源瑶族自治县乳城镇北环中路乳源农旅特色小镇政务服务大厅4号楼3楼(京港澳高速乳源收费站路口旁)；韶关市公共资源交易中心乳源分中心，具体房间号以当日现场通知为准。</w:t>
            </w:r>
          </w:p>
          <w:p w14:paraId="7C40E4A3">
            <w:pPr>
              <w:keepNext w:val="0"/>
              <w:keepLines w:val="0"/>
              <w:pageBreakBefore w:val="0"/>
              <w:widowControl w:val="0"/>
              <w:kinsoku/>
              <w:wordWrap w:val="0"/>
              <w:overflowPunct/>
              <w:topLinePunct w:val="0"/>
              <w:autoSpaceDE/>
              <w:autoSpaceDN/>
              <w:bidi w:val="0"/>
              <w:adjustRightInd w:val="0"/>
              <w:snapToGrid w:val="0"/>
              <w:spacing w:line="320" w:lineRule="exact"/>
              <w:ind w:left="105" w:leftChars="5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联系人（部门）：工程交易部</w:t>
            </w:r>
          </w:p>
          <w:p w14:paraId="1826E26D">
            <w:pPr>
              <w:keepNext w:val="0"/>
              <w:keepLines w:val="0"/>
              <w:pageBreakBefore w:val="0"/>
              <w:widowControl w:val="0"/>
              <w:kinsoku/>
              <w:wordWrap w:val="0"/>
              <w:overflowPunct/>
              <w:topLinePunct w:val="0"/>
              <w:autoSpaceDE/>
              <w:autoSpaceDN/>
              <w:bidi w:val="0"/>
              <w:adjustRightInd w:val="0"/>
              <w:snapToGrid w:val="0"/>
              <w:spacing w:line="320" w:lineRule="exact"/>
              <w:ind w:left="105" w:leftChars="50"/>
              <w:jc w:val="left"/>
              <w:textAlignment w:val="auto"/>
              <w:rPr>
                <w:rFonts w:hint="eastAsia" w:ascii="宋体" w:hAnsi="宋体" w:cs="Tahoma"/>
                <w:color w:val="auto"/>
                <w:sz w:val="20"/>
                <w:szCs w:val="22"/>
                <w:highlight w:val="none"/>
              </w:rPr>
            </w:pPr>
            <w:r>
              <w:rPr>
                <w:rFonts w:hint="eastAsia" w:ascii="宋体" w:hAnsi="宋体" w:cs="宋体"/>
                <w:color w:val="auto"/>
                <w:sz w:val="22"/>
                <w:szCs w:val="22"/>
                <w:highlight w:val="none"/>
              </w:rPr>
              <w:t>联系电话：0751-5378231</w:t>
            </w:r>
          </w:p>
        </w:tc>
      </w:tr>
      <w:tr w14:paraId="6DC91F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2" w:hRule="exact"/>
          <w:jc w:val="center"/>
        </w:trPr>
        <w:tc>
          <w:tcPr>
            <w:tcW w:w="9459" w:type="dxa"/>
            <w:gridSpan w:val="3"/>
            <w:tcBorders>
              <w:top w:val="single" w:color="080000" w:sz="4" w:space="0"/>
              <w:left w:val="single" w:color="080000" w:sz="4" w:space="0"/>
              <w:bottom w:val="single" w:color="080000" w:sz="4" w:space="0"/>
              <w:right w:val="single" w:color="080000" w:sz="4" w:space="0"/>
            </w:tcBorders>
            <w:noWrap/>
            <w:vAlign w:val="center"/>
          </w:tcPr>
          <w:p w14:paraId="59547B80">
            <w:pPr>
              <w:keepNext w:val="0"/>
              <w:keepLines w:val="0"/>
              <w:pageBreakBefore w:val="0"/>
              <w:widowControl w:val="0"/>
              <w:kinsoku/>
              <w:wordWrap w:val="0"/>
              <w:overflowPunct/>
              <w:topLinePunct w:val="0"/>
              <w:autoSpaceDE/>
              <w:autoSpaceDN/>
              <w:bidi w:val="0"/>
              <w:adjustRightInd w:val="0"/>
              <w:snapToGrid w:val="0"/>
              <w:spacing w:line="320" w:lineRule="exact"/>
              <w:ind w:left="105" w:leftChars="50"/>
              <w:jc w:val="left"/>
              <w:textAlignment w:val="auto"/>
              <w:rPr>
                <w:rFonts w:hint="eastAsia" w:ascii="宋体" w:hAnsi="宋体" w:cs="Tahoma"/>
                <w:color w:val="auto"/>
                <w:sz w:val="20"/>
                <w:szCs w:val="22"/>
                <w:highlight w:val="none"/>
              </w:rPr>
            </w:pPr>
            <w:r>
              <w:rPr>
                <w:rFonts w:hint="eastAsia" w:ascii="宋体" w:hAnsi="宋体" w:cs="宋体"/>
                <w:color w:val="auto"/>
                <w:sz w:val="22"/>
                <w:szCs w:val="22"/>
                <w:highlight w:val="none"/>
              </w:rPr>
              <w:t>备注：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735CB16">
      <w:pPr>
        <w:pStyle w:val="55"/>
        <w:ind w:firstLine="0"/>
        <w:rPr>
          <w:b/>
          <w:color w:val="000000" w:themeColor="text1"/>
          <w:highlight w:val="none"/>
          <w14:textFill>
            <w14:solidFill>
              <w14:schemeClr w14:val="tx1"/>
            </w14:solidFill>
          </w14:textFill>
        </w:rPr>
      </w:pPr>
      <w:r>
        <w:rPr>
          <w:rFonts w:ascii="宋体" w:cs="黑体"/>
          <w:b/>
          <w:bCs/>
          <w:color w:val="000000" w:themeColor="text1"/>
          <w:sz w:val="32"/>
          <w:szCs w:val="32"/>
          <w:highlight w:val="none"/>
          <w14:textFill>
            <w14:solidFill>
              <w14:schemeClr w14:val="tx1"/>
            </w14:solidFill>
          </w14:textFill>
        </w:rPr>
        <w:br w:type="page"/>
      </w:r>
      <w:bookmarkStart w:id="8" w:name="_Toc9236"/>
      <w:bookmarkStart w:id="9" w:name="_Toc234382586"/>
    </w:p>
    <w:p w14:paraId="31C798EF">
      <w:pPr>
        <w:adjustRightInd w:val="0"/>
        <w:snapToGrid w:val="0"/>
        <w:spacing w:before="120" w:after="90"/>
        <w:jc w:val="center"/>
        <w:rPr>
          <w:rFonts w:ascii="宋体"/>
          <w:b/>
          <w:bCs/>
          <w:color w:val="000000" w:themeColor="text1"/>
          <w:sz w:val="44"/>
          <w:szCs w:val="44"/>
          <w:highlight w:val="none"/>
          <w14:textFill>
            <w14:solidFill>
              <w14:schemeClr w14:val="tx1"/>
            </w14:solidFill>
          </w14:textFill>
        </w:rPr>
      </w:pPr>
    </w:p>
    <w:p w14:paraId="0C08AB0B">
      <w:pPr>
        <w:pStyle w:val="55"/>
        <w:rPr>
          <w:color w:val="000000" w:themeColor="text1"/>
          <w:highlight w:val="none"/>
          <w14:textFill>
            <w14:solidFill>
              <w14:schemeClr w14:val="tx1"/>
            </w14:solidFill>
          </w14:textFill>
        </w:rPr>
      </w:pPr>
    </w:p>
    <w:p w14:paraId="10304B68">
      <w:pPr>
        <w:pStyle w:val="55"/>
        <w:rPr>
          <w:color w:val="000000" w:themeColor="text1"/>
          <w:highlight w:val="none"/>
          <w14:textFill>
            <w14:solidFill>
              <w14:schemeClr w14:val="tx1"/>
            </w14:solidFill>
          </w14:textFill>
        </w:rPr>
      </w:pPr>
    </w:p>
    <w:p w14:paraId="46514250">
      <w:pPr>
        <w:pStyle w:val="55"/>
        <w:rPr>
          <w:color w:val="000000" w:themeColor="text1"/>
          <w:highlight w:val="none"/>
          <w14:textFill>
            <w14:solidFill>
              <w14:schemeClr w14:val="tx1"/>
            </w14:solidFill>
          </w14:textFill>
        </w:rPr>
      </w:pPr>
    </w:p>
    <w:p w14:paraId="7D4CCC39">
      <w:pPr>
        <w:adjustRightInd w:val="0"/>
        <w:snapToGrid w:val="0"/>
        <w:spacing w:before="120" w:after="90"/>
        <w:jc w:val="center"/>
        <w:rPr>
          <w:rFonts w:ascii="宋体"/>
          <w:b/>
          <w:bCs/>
          <w:color w:val="000000" w:themeColor="text1"/>
          <w:sz w:val="44"/>
          <w:szCs w:val="44"/>
          <w:highlight w:val="none"/>
          <w14:textFill>
            <w14:solidFill>
              <w14:schemeClr w14:val="tx1"/>
            </w14:solidFill>
          </w14:textFill>
        </w:rPr>
      </w:pPr>
    </w:p>
    <w:p w14:paraId="19C565AE">
      <w:pPr>
        <w:pStyle w:val="55"/>
        <w:rPr>
          <w:color w:val="000000" w:themeColor="text1"/>
          <w:highlight w:val="none"/>
          <w14:textFill>
            <w14:solidFill>
              <w14:schemeClr w14:val="tx1"/>
            </w14:solidFill>
          </w14:textFill>
        </w:rPr>
      </w:pPr>
    </w:p>
    <w:p w14:paraId="3E6ABC8A">
      <w:pPr>
        <w:pStyle w:val="55"/>
        <w:rPr>
          <w:color w:val="000000" w:themeColor="text1"/>
          <w:highlight w:val="none"/>
          <w14:textFill>
            <w14:solidFill>
              <w14:schemeClr w14:val="tx1"/>
            </w14:solidFill>
          </w14:textFill>
        </w:rPr>
      </w:pPr>
    </w:p>
    <w:p w14:paraId="5F7CCD3F">
      <w:pPr>
        <w:adjustRightInd w:val="0"/>
        <w:snapToGrid w:val="0"/>
        <w:spacing w:before="120" w:after="90"/>
        <w:jc w:val="center"/>
        <w:rPr>
          <w:rFonts w:ascii="宋体"/>
          <w:b/>
          <w:bCs/>
          <w:color w:val="000000" w:themeColor="text1"/>
          <w:sz w:val="44"/>
          <w:szCs w:val="44"/>
          <w:highlight w:val="none"/>
          <w14:textFill>
            <w14:solidFill>
              <w14:schemeClr w14:val="tx1"/>
            </w14:solidFill>
          </w14:textFill>
        </w:rPr>
      </w:pPr>
      <w:r>
        <w:rPr>
          <w:rFonts w:hint="eastAsia" w:ascii="宋体" w:hAnsi="宋体"/>
          <w:b/>
          <w:bCs/>
          <w:color w:val="000000" w:themeColor="text1"/>
          <w:sz w:val="44"/>
          <w:szCs w:val="44"/>
          <w:highlight w:val="none"/>
          <w14:textFill>
            <w14:solidFill>
              <w14:schemeClr w14:val="tx1"/>
            </w14:solidFill>
          </w14:textFill>
        </w:rPr>
        <w:t>第二章</w:t>
      </w:r>
      <w:r>
        <w:rPr>
          <w:rFonts w:ascii="宋体" w:hAnsi="宋体"/>
          <w:b/>
          <w:bCs/>
          <w:color w:val="000000" w:themeColor="text1"/>
          <w:sz w:val="44"/>
          <w:szCs w:val="44"/>
          <w:highlight w:val="none"/>
          <w14:textFill>
            <w14:solidFill>
              <w14:schemeClr w14:val="tx1"/>
            </w14:solidFill>
          </w14:textFill>
        </w:rPr>
        <w:t xml:space="preserve">  </w:t>
      </w:r>
      <w:r>
        <w:rPr>
          <w:rFonts w:hint="eastAsia" w:ascii="宋体" w:hAnsi="宋体"/>
          <w:b/>
          <w:bCs/>
          <w:color w:val="000000" w:themeColor="text1"/>
          <w:sz w:val="44"/>
          <w:szCs w:val="44"/>
          <w:highlight w:val="none"/>
          <w14:textFill>
            <w14:solidFill>
              <w14:schemeClr w14:val="tx1"/>
            </w14:solidFill>
          </w14:textFill>
        </w:rPr>
        <w:t>投标人须知</w:t>
      </w:r>
    </w:p>
    <w:p w14:paraId="494A2922">
      <w:pPr>
        <w:pStyle w:val="4"/>
        <w:adjustRightInd w:val="0"/>
        <w:snapToGrid w:val="0"/>
        <w:spacing w:before="120" w:after="90" w:line="240" w:lineRule="auto"/>
        <w:jc w:val="center"/>
        <w:rPr>
          <w:rFonts w:ascii="宋体"/>
          <w:b w:val="0"/>
          <w:bCs w:val="0"/>
          <w:color w:val="000000" w:themeColor="text1"/>
          <w:sz w:val="36"/>
          <w:highlight w:val="none"/>
          <w14:textFill>
            <w14:solidFill>
              <w14:schemeClr w14:val="tx1"/>
            </w14:solidFill>
          </w14:textFill>
        </w:rPr>
        <w:sectPr>
          <w:footerReference r:id="rId14" w:type="default"/>
          <w:pgSz w:w="11906" w:h="16838"/>
          <w:pgMar w:top="1134" w:right="1134" w:bottom="1134" w:left="1134" w:header="851" w:footer="992" w:gutter="0"/>
          <w:cols w:space="720" w:num="1"/>
          <w:docGrid w:type="lines" w:linePitch="312" w:charSpace="0"/>
        </w:sectPr>
      </w:pPr>
    </w:p>
    <w:p w14:paraId="779A77D0">
      <w:pPr>
        <w:pStyle w:val="4"/>
        <w:adjustRightInd w:val="0"/>
        <w:snapToGrid w:val="0"/>
        <w:spacing w:before="120" w:after="90" w:line="240" w:lineRule="auto"/>
        <w:jc w:val="center"/>
        <w:rPr>
          <w:rFonts w:ascii="宋体"/>
          <w:color w:val="000000" w:themeColor="text1"/>
          <w:sz w:val="36"/>
          <w:highlight w:val="none"/>
          <w14:textFill>
            <w14:solidFill>
              <w14:schemeClr w14:val="tx1"/>
            </w14:solidFill>
          </w14:textFill>
        </w:rPr>
      </w:pPr>
      <w:bookmarkStart w:id="10" w:name="_Toc2106"/>
      <w:r>
        <w:rPr>
          <w:rFonts w:hint="eastAsia" w:ascii="宋体" w:hAnsi="宋体"/>
          <w:color w:val="000000" w:themeColor="text1"/>
          <w:sz w:val="36"/>
          <w:highlight w:val="none"/>
          <w14:textFill>
            <w14:solidFill>
              <w14:schemeClr w14:val="tx1"/>
            </w14:solidFill>
          </w14:textFill>
        </w:rPr>
        <w:t>第二章</w:t>
      </w:r>
      <w:r>
        <w:rPr>
          <w:rFonts w:ascii="宋体" w:hAnsi="宋体"/>
          <w:color w:val="000000" w:themeColor="text1"/>
          <w:sz w:val="36"/>
          <w:highlight w:val="none"/>
          <w14:textFill>
            <w14:solidFill>
              <w14:schemeClr w14:val="tx1"/>
            </w14:solidFill>
          </w14:textFill>
        </w:rPr>
        <w:t xml:space="preserve">  </w:t>
      </w:r>
      <w:r>
        <w:rPr>
          <w:rFonts w:hint="eastAsia" w:ascii="宋体" w:hAnsi="宋体"/>
          <w:color w:val="000000" w:themeColor="text1"/>
          <w:sz w:val="36"/>
          <w:highlight w:val="none"/>
          <w14:textFill>
            <w14:solidFill>
              <w14:schemeClr w14:val="tx1"/>
            </w14:solidFill>
          </w14:textFill>
        </w:rPr>
        <w:t>投标人须知</w:t>
      </w:r>
      <w:bookmarkEnd w:id="8"/>
      <w:bookmarkEnd w:id="9"/>
      <w:bookmarkEnd w:id="10"/>
    </w:p>
    <w:p w14:paraId="2559A6C4">
      <w:pPr>
        <w:jc w:val="left"/>
        <w:rPr>
          <w:rFonts w:ascii="宋体"/>
          <w:b/>
          <w:color w:val="000000" w:themeColor="text1"/>
          <w:sz w:val="24"/>
          <w:highlight w:val="none"/>
          <w14:textFill>
            <w14:solidFill>
              <w14:schemeClr w14:val="tx1"/>
            </w14:solidFill>
          </w14:textFill>
        </w:rPr>
      </w:pPr>
      <w:bookmarkStart w:id="11" w:name="_Toc234382587"/>
    </w:p>
    <w:p w14:paraId="3AEC30F6">
      <w:pPr>
        <w:pStyle w:val="5"/>
        <w:rPr>
          <w:b w:val="0"/>
          <w:bCs w:val="0"/>
          <w:color w:val="000000" w:themeColor="text1"/>
          <w:szCs w:val="24"/>
          <w:highlight w:val="none"/>
          <w14:textFill>
            <w14:solidFill>
              <w14:schemeClr w14:val="tx1"/>
            </w14:solidFill>
          </w14:textFill>
        </w:rPr>
      </w:pPr>
      <w:bookmarkStart w:id="12" w:name="_Toc12110"/>
      <w:r>
        <w:rPr>
          <w:rFonts w:hint="eastAsia"/>
          <w:color w:val="000000" w:themeColor="text1"/>
          <w:szCs w:val="24"/>
          <w:highlight w:val="none"/>
          <w14:textFill>
            <w14:solidFill>
              <w14:schemeClr w14:val="tx1"/>
            </w14:solidFill>
          </w14:textFill>
        </w:rPr>
        <w:t>投标人须知前附表</w:t>
      </w:r>
      <w:bookmarkEnd w:id="11"/>
      <w:bookmarkEnd w:id="12"/>
    </w:p>
    <w:tbl>
      <w:tblPr>
        <w:tblStyle w:val="45"/>
        <w:tblW w:w="10167" w:type="dxa"/>
        <w:jc w:val="center"/>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0" w:type="dxa"/>
          <w:bottom w:w="0" w:type="dxa"/>
          <w:right w:w="0" w:type="dxa"/>
        </w:tblCellMar>
      </w:tblPr>
      <w:tblGrid>
        <w:gridCol w:w="986"/>
        <w:gridCol w:w="2443"/>
        <w:gridCol w:w="6738"/>
      </w:tblGrid>
      <w:tr w14:paraId="06F500CE">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387" w:hRule="atLeast"/>
          <w:tblHeader/>
          <w:jc w:val="center"/>
        </w:trPr>
        <w:tc>
          <w:tcPr>
            <w:tcW w:w="986" w:type="dxa"/>
            <w:vAlign w:val="center"/>
          </w:tcPr>
          <w:p w14:paraId="250D47FE">
            <w:pPr>
              <w:jc w:val="center"/>
              <w:rPr>
                <w:rFonts w:ascii="Calibri" w:hAnsi="Calibri"/>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条款号</w:t>
            </w:r>
          </w:p>
        </w:tc>
        <w:tc>
          <w:tcPr>
            <w:tcW w:w="2443" w:type="dxa"/>
            <w:vAlign w:val="center"/>
          </w:tcPr>
          <w:p w14:paraId="38CDC3A4">
            <w:pPr>
              <w:jc w:val="center"/>
              <w:rPr>
                <w:rFonts w:ascii="Calibri" w:hAnsi="Calibri"/>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条 款 名 称</w:t>
            </w:r>
          </w:p>
        </w:tc>
        <w:tc>
          <w:tcPr>
            <w:tcW w:w="6738" w:type="dxa"/>
            <w:vAlign w:val="center"/>
          </w:tcPr>
          <w:p w14:paraId="60D75393">
            <w:pPr>
              <w:jc w:val="center"/>
              <w:rPr>
                <w:rFonts w:ascii="Calibri" w:hAnsi="Calibri"/>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编 列 内 容</w:t>
            </w:r>
          </w:p>
        </w:tc>
      </w:tr>
      <w:tr w14:paraId="0A7F42F4">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353" w:hRule="atLeast"/>
          <w:jc w:val="center"/>
        </w:trPr>
        <w:tc>
          <w:tcPr>
            <w:tcW w:w="986" w:type="dxa"/>
            <w:vAlign w:val="center"/>
          </w:tcPr>
          <w:p w14:paraId="1B467F93">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1.1.2</w:t>
            </w:r>
          </w:p>
        </w:tc>
        <w:tc>
          <w:tcPr>
            <w:tcW w:w="2443" w:type="dxa"/>
            <w:vAlign w:val="center"/>
          </w:tcPr>
          <w:p w14:paraId="1035EC7E">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招标人</w:t>
            </w:r>
          </w:p>
        </w:tc>
        <w:tc>
          <w:tcPr>
            <w:tcW w:w="6738" w:type="dxa"/>
            <w:vAlign w:val="center"/>
          </w:tcPr>
          <w:p w14:paraId="3067C4CD">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名称：乳源瑶族自治县地方公路事务中心</w:t>
            </w:r>
          </w:p>
          <w:p w14:paraId="6F980C86">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地址：韶关市乳源瑶族自治县滨江中路县交通运输局3楼</w:t>
            </w:r>
          </w:p>
          <w:p w14:paraId="5933D000">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联系人：李工</w:t>
            </w:r>
          </w:p>
          <w:p w14:paraId="76AD47C4">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电话：0751-8556170</w:t>
            </w:r>
          </w:p>
        </w:tc>
      </w:tr>
      <w:tr w14:paraId="263E9A26">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398" w:hRule="atLeast"/>
          <w:jc w:val="center"/>
        </w:trPr>
        <w:tc>
          <w:tcPr>
            <w:tcW w:w="986" w:type="dxa"/>
            <w:vAlign w:val="center"/>
          </w:tcPr>
          <w:p w14:paraId="3C421935">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1.1.3</w:t>
            </w:r>
          </w:p>
        </w:tc>
        <w:tc>
          <w:tcPr>
            <w:tcW w:w="2443" w:type="dxa"/>
            <w:vAlign w:val="center"/>
          </w:tcPr>
          <w:p w14:paraId="09C50AE2">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招标代理机构</w:t>
            </w:r>
          </w:p>
        </w:tc>
        <w:tc>
          <w:tcPr>
            <w:tcW w:w="6738" w:type="dxa"/>
            <w:vAlign w:val="center"/>
          </w:tcPr>
          <w:p w14:paraId="146ABB80">
            <w:pPr>
              <w:rPr>
                <w:rFonts w:hint="eastAsia" w:ascii="宋体" w:hAnsi="宋体" w:eastAsia="宋体"/>
                <w:color w:val="000000" w:themeColor="text1"/>
                <w:sz w:val="24"/>
                <w:highlight w:val="none"/>
                <w:lang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名称：</w:t>
            </w:r>
            <w:r>
              <w:rPr>
                <w:rFonts w:hint="eastAsia" w:ascii="宋体" w:hAnsi="宋体"/>
                <w:color w:val="000000" w:themeColor="text1"/>
                <w:sz w:val="24"/>
                <w:highlight w:val="none"/>
                <w:lang w:eastAsia="zh-CN"/>
                <w14:textFill>
                  <w14:solidFill>
                    <w14:schemeClr w14:val="tx1"/>
                  </w14:solidFill>
                </w14:textFill>
              </w:rPr>
              <w:t>韶关市鸿鑫招标代理有限公司</w:t>
            </w:r>
          </w:p>
          <w:p w14:paraId="419187B1">
            <w:pPr>
              <w:rPr>
                <w:rFonts w:hint="eastAsia" w:ascii="宋体" w:hAnsi="宋体" w:eastAsia="宋体"/>
                <w:color w:val="000000" w:themeColor="text1"/>
                <w:sz w:val="24"/>
                <w:highlight w:val="none"/>
                <w:lang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lang w:eastAsia="zh-CN"/>
                <w14:textFill>
                  <w14:solidFill>
                    <w14:schemeClr w14:val="tx1"/>
                  </w14:solidFill>
                </w14:textFill>
              </w:rPr>
              <w:t>韶关市浈江区十里亭镇良村坝厂新村11号</w:t>
            </w:r>
          </w:p>
          <w:p w14:paraId="504D6798">
            <w:pP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项目负责人：胡工</w:t>
            </w:r>
          </w:p>
          <w:p w14:paraId="53EE68BE">
            <w:pP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14:textFill>
                  <w14:solidFill>
                    <w14:schemeClr w14:val="tx1"/>
                  </w14:solidFill>
                </w14:textFill>
              </w:rPr>
              <w:t>经办人：</w:t>
            </w: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杨工</w:t>
            </w:r>
          </w:p>
          <w:p w14:paraId="67766FA7">
            <w:pPr>
              <w:rPr>
                <w:rFonts w:hint="eastAsia" w:ascii="宋体" w:hAnsi="宋体"/>
                <w:color w:val="000000" w:themeColor="text1"/>
                <w:sz w:val="24"/>
                <w:highlight w:val="none"/>
                <w14:textFill>
                  <w14:solidFill>
                    <w14:schemeClr w14:val="tx1"/>
                  </w14:solidFill>
                </w14:textFill>
              </w:rPr>
            </w:pPr>
            <w:r>
              <w:rPr>
                <w:rFonts w:hint="eastAsia" w:ascii="宋体" w:hAnsi="宋体" w:eastAsia="宋体"/>
                <w:color w:val="000000" w:themeColor="text1"/>
                <w:sz w:val="24"/>
                <w:szCs w:val="24"/>
                <w:highlight w:val="none"/>
                <w:lang w:eastAsia="zh-CN"/>
                <w14:textFill>
                  <w14:solidFill>
                    <w14:schemeClr w14:val="tx1"/>
                  </w14:solidFill>
                </w14:textFill>
              </w:rPr>
              <w:t>联系电话：0751-8887660</w:t>
            </w:r>
          </w:p>
        </w:tc>
      </w:tr>
      <w:tr w14:paraId="1036F15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6" w:type="dxa"/>
            <w:vAlign w:val="center"/>
          </w:tcPr>
          <w:p w14:paraId="606CF4A9">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1.1.4</w:t>
            </w:r>
          </w:p>
        </w:tc>
        <w:tc>
          <w:tcPr>
            <w:tcW w:w="2443" w:type="dxa"/>
            <w:vAlign w:val="center"/>
          </w:tcPr>
          <w:p w14:paraId="5A4E6802">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w:t>
            </w:r>
            <w:r>
              <w:rPr>
                <w:rFonts w:ascii="宋体" w:hAnsi="宋体"/>
                <w:color w:val="000000" w:themeColor="text1"/>
                <w:sz w:val="24"/>
                <w:highlight w:val="none"/>
                <w14:textFill>
                  <w14:solidFill>
                    <w14:schemeClr w14:val="tx1"/>
                  </w14:solidFill>
                </w14:textFill>
              </w:rPr>
              <w:t>项目名称</w:t>
            </w:r>
          </w:p>
        </w:tc>
        <w:tc>
          <w:tcPr>
            <w:tcW w:w="6738" w:type="dxa"/>
            <w:vAlign w:val="center"/>
          </w:tcPr>
          <w:p w14:paraId="2A656BD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桂头镇仙湖工业园规划路新建工程</w:t>
            </w:r>
            <w:r>
              <w:rPr>
                <w:rFonts w:hint="eastAsia" w:ascii="宋体" w:hAnsi="宋体"/>
                <w:color w:val="000000" w:themeColor="text1"/>
                <w:sz w:val="24"/>
                <w:highlight w:val="none"/>
                <w14:textFill>
                  <w14:solidFill>
                    <w14:schemeClr w14:val="tx1"/>
                  </w14:solidFill>
                </w14:textFill>
              </w:rPr>
              <w:t>施工</w:t>
            </w:r>
          </w:p>
        </w:tc>
      </w:tr>
      <w:tr w14:paraId="6D362384">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872" w:hRule="exact"/>
          <w:jc w:val="center"/>
        </w:trPr>
        <w:tc>
          <w:tcPr>
            <w:tcW w:w="986" w:type="dxa"/>
            <w:vAlign w:val="center"/>
          </w:tcPr>
          <w:p w14:paraId="75FB706A">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1.1.5</w:t>
            </w:r>
          </w:p>
        </w:tc>
        <w:tc>
          <w:tcPr>
            <w:tcW w:w="2443" w:type="dxa"/>
            <w:vAlign w:val="center"/>
          </w:tcPr>
          <w:p w14:paraId="58C3B07F">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标段</w:t>
            </w:r>
            <w:r>
              <w:rPr>
                <w:rFonts w:ascii="宋体" w:hAnsi="宋体"/>
                <w:color w:val="000000" w:themeColor="text1"/>
                <w:sz w:val="24"/>
                <w:highlight w:val="none"/>
                <w14:textFill>
                  <w14:solidFill>
                    <w14:schemeClr w14:val="tx1"/>
                  </w14:solidFill>
                </w14:textFill>
              </w:rPr>
              <w:t>建设地点</w:t>
            </w:r>
          </w:p>
        </w:tc>
        <w:tc>
          <w:tcPr>
            <w:tcW w:w="6738" w:type="dxa"/>
            <w:vAlign w:val="center"/>
          </w:tcPr>
          <w:p w14:paraId="3274B23B">
            <w:pPr>
              <w:widowControl/>
              <w:adjustRightInd w:val="0"/>
              <w:snapToGrid w:val="0"/>
              <w:spacing w:line="288" w:lineRule="auto"/>
              <w:jc w:val="left"/>
              <w:textAlignment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韶关市乳源瑶族自治县桂头镇，起点与省道S250线平交，起点桩号为K0+000，路线沿乡道Y821线向东南方向布设，于松围村委会左转，沿仙湖工业园边界往东北方向延伸，途经莫家村右侧后，终点接顺新建桂头大桥，终点桩号为K2+141.594。</w:t>
            </w:r>
          </w:p>
        </w:tc>
      </w:tr>
      <w:tr w14:paraId="2AC5EDC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32" w:hRule="atLeast"/>
          <w:jc w:val="center"/>
        </w:trPr>
        <w:tc>
          <w:tcPr>
            <w:tcW w:w="986" w:type="dxa"/>
            <w:vAlign w:val="center"/>
          </w:tcPr>
          <w:p w14:paraId="17E79721">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1.2.1</w:t>
            </w:r>
          </w:p>
        </w:tc>
        <w:tc>
          <w:tcPr>
            <w:tcW w:w="2443" w:type="dxa"/>
            <w:vAlign w:val="center"/>
          </w:tcPr>
          <w:p w14:paraId="03789568">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资金来源</w:t>
            </w:r>
            <w:r>
              <w:rPr>
                <w:rFonts w:hint="eastAsia" w:ascii="宋体" w:hAnsi="宋体"/>
                <w:color w:val="000000" w:themeColor="text1"/>
                <w:sz w:val="24"/>
                <w:highlight w:val="none"/>
                <w14:textFill>
                  <w14:solidFill>
                    <w14:schemeClr w14:val="tx1"/>
                  </w14:solidFill>
                </w14:textFill>
              </w:rPr>
              <w:t>及比例</w:t>
            </w:r>
          </w:p>
        </w:tc>
        <w:tc>
          <w:tcPr>
            <w:tcW w:w="6738" w:type="dxa"/>
            <w:vAlign w:val="center"/>
          </w:tcPr>
          <w:p w14:paraId="0935FA2E">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中央、省级补助资金、地方政府专项债券及县财政资金</w:t>
            </w:r>
            <w:r>
              <w:rPr>
                <w:rFonts w:hint="eastAsia" w:ascii="宋体" w:hAnsi="宋体"/>
                <w:color w:val="000000" w:themeColor="text1"/>
                <w:sz w:val="24"/>
                <w:highlight w:val="none"/>
                <w14:textFill>
                  <w14:solidFill>
                    <w14:schemeClr w14:val="tx1"/>
                  </w14:solidFill>
                </w14:textFill>
              </w:rPr>
              <w:t>，100%</w:t>
            </w:r>
          </w:p>
        </w:tc>
      </w:tr>
      <w:tr w14:paraId="127A00EC">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66" w:hRule="exact"/>
          <w:jc w:val="center"/>
        </w:trPr>
        <w:tc>
          <w:tcPr>
            <w:tcW w:w="986" w:type="dxa"/>
            <w:vAlign w:val="center"/>
          </w:tcPr>
          <w:p w14:paraId="6D0765CF">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1.2.2</w:t>
            </w:r>
          </w:p>
        </w:tc>
        <w:tc>
          <w:tcPr>
            <w:tcW w:w="2443" w:type="dxa"/>
            <w:vAlign w:val="center"/>
          </w:tcPr>
          <w:p w14:paraId="7BDD84DD">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资金落实情况</w:t>
            </w:r>
          </w:p>
        </w:tc>
        <w:tc>
          <w:tcPr>
            <w:tcW w:w="6738" w:type="dxa"/>
            <w:vAlign w:val="center"/>
          </w:tcPr>
          <w:p w14:paraId="4D3434BC">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已落实</w:t>
            </w:r>
          </w:p>
        </w:tc>
      </w:tr>
      <w:tr w14:paraId="426AB299">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95" w:hRule="exact"/>
          <w:jc w:val="center"/>
        </w:trPr>
        <w:tc>
          <w:tcPr>
            <w:tcW w:w="986" w:type="dxa"/>
            <w:vAlign w:val="center"/>
          </w:tcPr>
          <w:p w14:paraId="62288AF7">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1.3.1</w:t>
            </w:r>
          </w:p>
        </w:tc>
        <w:tc>
          <w:tcPr>
            <w:tcW w:w="2443" w:type="dxa"/>
            <w:vAlign w:val="center"/>
          </w:tcPr>
          <w:p w14:paraId="0FE77617">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招标范围</w:t>
            </w:r>
          </w:p>
        </w:tc>
        <w:tc>
          <w:tcPr>
            <w:tcW w:w="6738" w:type="dxa"/>
            <w:vAlign w:val="center"/>
          </w:tcPr>
          <w:p w14:paraId="4F6D6743">
            <w:pPr>
              <w:rPr>
                <w:rFonts w:ascii="Calibri" w:hAnsi="Calibri"/>
                <w:color w:val="000000" w:themeColor="text1"/>
                <w:sz w:val="24"/>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本项目施工图设计和工程量清单范围内的工程施工</w:t>
            </w:r>
          </w:p>
        </w:tc>
      </w:tr>
      <w:tr w14:paraId="124E902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278" w:hRule="atLeast"/>
          <w:jc w:val="center"/>
        </w:trPr>
        <w:tc>
          <w:tcPr>
            <w:tcW w:w="986" w:type="dxa"/>
            <w:vAlign w:val="center"/>
          </w:tcPr>
          <w:p w14:paraId="7094D60A">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1.3.2</w:t>
            </w:r>
          </w:p>
        </w:tc>
        <w:tc>
          <w:tcPr>
            <w:tcW w:w="2443" w:type="dxa"/>
            <w:vAlign w:val="center"/>
          </w:tcPr>
          <w:p w14:paraId="6917D9BE">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计划工期</w:t>
            </w:r>
          </w:p>
        </w:tc>
        <w:tc>
          <w:tcPr>
            <w:tcW w:w="6738" w:type="dxa"/>
            <w:vAlign w:val="center"/>
          </w:tcPr>
          <w:p w14:paraId="073AD2C0">
            <w:pPr>
              <w:spacing w:line="320" w:lineRule="exact"/>
              <w:ind w:firstLine="120" w:firstLineChars="50"/>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计划工期</w:t>
            </w:r>
            <w:r>
              <w:rPr>
                <w:rFonts w:hint="eastAsia" w:ascii="宋体" w:hAnsi="宋体"/>
                <w:color w:val="000000" w:themeColor="text1"/>
                <w:sz w:val="24"/>
                <w:highlight w:val="none"/>
                <w14:textFill>
                  <w14:solidFill>
                    <w14:schemeClr w14:val="tx1"/>
                  </w14:solidFill>
                </w14:textFill>
              </w:rPr>
              <w:t>：</w:t>
            </w:r>
            <w:r>
              <w:rPr>
                <w:rFonts w:hint="default" w:ascii="宋体" w:hAnsi="宋体"/>
                <w:color w:val="000000" w:themeColor="text1"/>
                <w:sz w:val="24"/>
                <w:highlight w:val="none"/>
                <w:u w:val="single"/>
                <w:lang w:val="en" w:eastAsia="zh-CN"/>
                <w14:textFill>
                  <w14:solidFill>
                    <w14:schemeClr w14:val="tx1"/>
                  </w14:solidFill>
                </w14:textFill>
              </w:rPr>
              <w:t>365</w:t>
            </w:r>
            <w:r>
              <w:rPr>
                <w:rFonts w:hint="eastAsia" w:ascii="宋体" w:hAnsi="宋体"/>
                <w:color w:val="000000" w:themeColor="text1"/>
                <w:sz w:val="24"/>
                <w:highlight w:val="none"/>
                <w:u w:val="single"/>
                <w14:textFill>
                  <w14:solidFill>
                    <w14:schemeClr w14:val="tx1"/>
                  </w14:solidFill>
                </w14:textFill>
              </w:rPr>
              <w:t>日历天</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实际开工时间以业主通知或监理签发开工令为准</w:t>
            </w:r>
            <w:r>
              <w:rPr>
                <w:rFonts w:hint="eastAsia" w:ascii="宋体" w:hAnsi="宋体"/>
                <w:color w:val="000000" w:themeColor="text1"/>
                <w:sz w:val="24"/>
                <w:highlight w:val="none"/>
                <w14:textFill>
                  <w14:solidFill>
                    <w14:schemeClr w14:val="tx1"/>
                  </w14:solidFill>
                </w14:textFill>
              </w:rPr>
              <w:t>）</w:t>
            </w:r>
          </w:p>
          <w:p w14:paraId="5749EA91">
            <w:pPr>
              <w:spacing w:line="360" w:lineRule="auto"/>
              <w:ind w:left="105" w:leftChars="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计划开工日期：</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日</w:t>
            </w:r>
          </w:p>
          <w:p w14:paraId="13944CF2">
            <w:pPr>
              <w:spacing w:line="280" w:lineRule="exact"/>
              <w:ind w:firstLine="120" w:firstLineChars="50"/>
              <w:rPr>
                <w:rFonts w:hint="eastAsia" w:ascii="宋体" w:hAnsi="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计划竣工日期：</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日</w:t>
            </w:r>
          </w:p>
        </w:tc>
      </w:tr>
      <w:tr w14:paraId="04676BEA">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443" w:hRule="atLeast"/>
          <w:jc w:val="center"/>
        </w:trPr>
        <w:tc>
          <w:tcPr>
            <w:tcW w:w="986" w:type="dxa"/>
            <w:vAlign w:val="center"/>
          </w:tcPr>
          <w:p w14:paraId="10209A42">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1.3.3</w:t>
            </w:r>
          </w:p>
        </w:tc>
        <w:tc>
          <w:tcPr>
            <w:tcW w:w="2443" w:type="dxa"/>
            <w:vAlign w:val="center"/>
          </w:tcPr>
          <w:p w14:paraId="1506E44C">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质量要求</w:t>
            </w:r>
          </w:p>
        </w:tc>
        <w:tc>
          <w:tcPr>
            <w:tcW w:w="6738" w:type="dxa"/>
            <w:vAlign w:val="center"/>
          </w:tcPr>
          <w:p w14:paraId="62A25B9C">
            <w:pP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标段工程交工验收的质量评定：质量评分：</w:t>
            </w:r>
            <w:r>
              <w:rPr>
                <w:rFonts w:hint="eastAsia" w:ascii="宋体" w:hAnsi="宋体" w:cs="宋体"/>
                <w:color w:val="000000" w:themeColor="text1"/>
                <w:sz w:val="24"/>
                <w:highlight w:val="none"/>
                <w:u w:val="single"/>
                <w14:textFill>
                  <w14:solidFill>
                    <w14:schemeClr w14:val="tx1"/>
                  </w14:solidFill>
                </w14:textFill>
              </w:rPr>
              <w:t>≥75分</w:t>
            </w:r>
            <w:r>
              <w:rPr>
                <w:rFonts w:hint="eastAsia" w:ascii="宋体" w:hAnsi="宋体" w:cs="宋体"/>
                <w:color w:val="000000" w:themeColor="text1"/>
                <w:sz w:val="24"/>
                <w:highlight w:val="none"/>
                <w14:textFill>
                  <w14:solidFill>
                    <w14:schemeClr w14:val="tx1"/>
                  </w14:solidFill>
                </w14:textFill>
              </w:rPr>
              <w:t>；质量等级：</w:t>
            </w:r>
            <w:r>
              <w:rPr>
                <w:rFonts w:hint="eastAsia" w:ascii="宋体" w:hAnsi="宋体" w:cs="宋体"/>
                <w:color w:val="000000" w:themeColor="text1"/>
                <w:sz w:val="24"/>
                <w:highlight w:val="none"/>
                <w:u w:val="single"/>
                <w14:textFill>
                  <w14:solidFill>
                    <w14:schemeClr w14:val="tx1"/>
                  </w14:solidFill>
                </w14:textFill>
              </w:rPr>
              <w:t>合格</w:t>
            </w:r>
            <w:r>
              <w:rPr>
                <w:rFonts w:hint="eastAsia" w:ascii="宋体" w:hAnsi="宋体" w:cs="宋体"/>
                <w:color w:val="000000" w:themeColor="text1"/>
                <w:sz w:val="24"/>
                <w:highlight w:val="none"/>
                <w14:textFill>
                  <w14:solidFill>
                    <w14:schemeClr w14:val="tx1"/>
                  </w14:solidFill>
                </w14:textFill>
              </w:rPr>
              <w:t>；</w:t>
            </w:r>
          </w:p>
          <w:p w14:paraId="3218FDD2">
            <w:pPr>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竣工验收的质量评定：质量评分：</w:t>
            </w:r>
            <w:r>
              <w:rPr>
                <w:rFonts w:hint="eastAsia" w:ascii="宋体" w:hAnsi="宋体" w:cs="宋体"/>
                <w:color w:val="000000" w:themeColor="text1"/>
                <w:sz w:val="24"/>
                <w:highlight w:val="none"/>
                <w:u w:val="single"/>
                <w14:textFill>
                  <w14:solidFill>
                    <w14:schemeClr w14:val="tx1"/>
                  </w14:solidFill>
                </w14:textFill>
              </w:rPr>
              <w:t>≥75分</w:t>
            </w:r>
            <w:r>
              <w:rPr>
                <w:rFonts w:hint="eastAsia" w:ascii="宋体" w:hAnsi="宋体" w:cs="宋体"/>
                <w:color w:val="000000" w:themeColor="text1"/>
                <w:sz w:val="24"/>
                <w:highlight w:val="none"/>
                <w14:textFill>
                  <w14:solidFill>
                    <w14:schemeClr w14:val="tx1"/>
                  </w14:solidFill>
                </w14:textFill>
              </w:rPr>
              <w:t>；质量等级：</w:t>
            </w:r>
            <w:r>
              <w:rPr>
                <w:rFonts w:hint="eastAsia" w:ascii="宋体" w:hAnsi="宋体" w:cs="宋体"/>
                <w:color w:val="000000" w:themeColor="text1"/>
                <w:sz w:val="24"/>
                <w:highlight w:val="none"/>
                <w:u w:val="single"/>
                <w14:textFill>
                  <w14:solidFill>
                    <w14:schemeClr w14:val="tx1"/>
                  </w14:solidFill>
                </w14:textFill>
              </w:rPr>
              <w:t>合格</w:t>
            </w:r>
            <w:r>
              <w:rPr>
                <w:rFonts w:hint="eastAsia" w:ascii="宋体" w:hAnsi="宋体" w:cs="宋体"/>
                <w:color w:val="000000" w:themeColor="text1"/>
                <w:sz w:val="24"/>
                <w:highlight w:val="none"/>
                <w14:textFill>
                  <w14:solidFill>
                    <w14:schemeClr w14:val="tx1"/>
                  </w14:solidFill>
                </w14:textFill>
              </w:rPr>
              <w:t>。</w:t>
            </w:r>
          </w:p>
        </w:tc>
      </w:tr>
      <w:tr w14:paraId="48B96AD4">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044" w:hRule="atLeast"/>
          <w:jc w:val="center"/>
        </w:trPr>
        <w:tc>
          <w:tcPr>
            <w:tcW w:w="986" w:type="dxa"/>
            <w:vAlign w:val="center"/>
          </w:tcPr>
          <w:p w14:paraId="1C664317">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1.3.4</w:t>
            </w:r>
          </w:p>
        </w:tc>
        <w:tc>
          <w:tcPr>
            <w:tcW w:w="2443" w:type="dxa"/>
            <w:vAlign w:val="center"/>
          </w:tcPr>
          <w:p w14:paraId="7D7592B9">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安全目标</w:t>
            </w:r>
          </w:p>
        </w:tc>
        <w:tc>
          <w:tcPr>
            <w:tcW w:w="6738" w:type="dxa"/>
            <w:vAlign w:val="center"/>
          </w:tcPr>
          <w:p w14:paraId="23E6C615">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严格执行有关安全生产的法律法规和规章制度，确保项目建设期内</w:t>
            </w:r>
            <w:r>
              <w:rPr>
                <w:rFonts w:hint="eastAsia" w:ascii="宋体" w:hAnsi="宋体"/>
                <w:color w:val="000000" w:themeColor="text1"/>
                <w:sz w:val="24"/>
                <w:highlight w:val="none"/>
                <w:u w:val="single"/>
                <w14:textFill>
                  <w14:solidFill>
                    <w14:schemeClr w14:val="tx1"/>
                  </w14:solidFill>
                </w14:textFill>
              </w:rPr>
              <w:t>无安全生产责任事故发生。</w:t>
            </w:r>
          </w:p>
        </w:tc>
      </w:tr>
      <w:tr w14:paraId="44CB271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861" w:hRule="atLeast"/>
          <w:jc w:val="center"/>
        </w:trPr>
        <w:tc>
          <w:tcPr>
            <w:tcW w:w="986" w:type="dxa"/>
            <w:tcBorders>
              <w:bottom w:val="single" w:color="000000" w:sz="6" w:space="0"/>
            </w:tcBorders>
            <w:vAlign w:val="center"/>
          </w:tcPr>
          <w:p w14:paraId="3E505A01">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1.4.1</w:t>
            </w:r>
          </w:p>
        </w:tc>
        <w:tc>
          <w:tcPr>
            <w:tcW w:w="2443" w:type="dxa"/>
            <w:tcBorders>
              <w:bottom w:val="single" w:color="000000" w:sz="6" w:space="0"/>
            </w:tcBorders>
            <w:vAlign w:val="center"/>
          </w:tcPr>
          <w:p w14:paraId="440E65CD">
            <w:pPr>
              <w:pStyle w:val="17"/>
              <w:topLinePunct/>
              <w:rPr>
                <w:rFonts w:hAnsi="Calibri"/>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w:t>
            </w:r>
            <w:r>
              <w:rPr>
                <w:rFonts w:hAnsi="宋体"/>
                <w:color w:val="000000" w:themeColor="text1"/>
                <w:highlight w:val="none"/>
                <w14:textFill>
                  <w14:solidFill>
                    <w14:schemeClr w14:val="tx1"/>
                  </w14:solidFill>
                </w14:textFill>
              </w:rPr>
              <w:t>人资质条件、能力和信誉</w:t>
            </w:r>
          </w:p>
        </w:tc>
        <w:tc>
          <w:tcPr>
            <w:tcW w:w="6738" w:type="dxa"/>
            <w:tcBorders>
              <w:bottom w:val="single" w:color="000000" w:sz="6" w:space="0"/>
            </w:tcBorders>
            <w:vAlign w:val="center"/>
          </w:tcPr>
          <w:p w14:paraId="68BE7277">
            <w:pPr>
              <w:pStyle w:val="17"/>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资质条件：见附录1</w:t>
            </w:r>
          </w:p>
          <w:p w14:paraId="5510E9DA">
            <w:pPr>
              <w:pStyle w:val="17"/>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财务要求：见附录2</w:t>
            </w:r>
          </w:p>
          <w:p w14:paraId="7DF7773A">
            <w:pPr>
              <w:pStyle w:val="17"/>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业绩要求：见附录3</w:t>
            </w:r>
          </w:p>
          <w:p w14:paraId="3CDA2A7E">
            <w:pPr>
              <w:pStyle w:val="17"/>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信誉要求：见附录4</w:t>
            </w:r>
          </w:p>
          <w:p w14:paraId="085B744C">
            <w:pPr>
              <w:pStyle w:val="17"/>
              <w:topLinePunct/>
              <w:adjustRightInd w:val="0"/>
              <w:snapToGrid w:val="0"/>
              <w:rPr>
                <w:rFonts w:hAnsi="Calibri"/>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项目经理和项目总工</w:t>
            </w:r>
            <w:r>
              <w:rPr>
                <w:rFonts w:hint="eastAsia" w:hAnsi="宋体"/>
                <w:color w:val="000000" w:themeColor="text1"/>
                <w:highlight w:val="none"/>
                <w14:textFill>
                  <w14:solidFill>
                    <w14:schemeClr w14:val="tx1"/>
                  </w14:solidFill>
                </w14:textFill>
              </w:rPr>
              <w:t>等主要管理人员</w:t>
            </w:r>
            <w:r>
              <w:rPr>
                <w:rFonts w:hAnsi="宋体"/>
                <w:color w:val="000000" w:themeColor="text1"/>
                <w:highlight w:val="none"/>
                <w14:textFill>
                  <w14:solidFill>
                    <w14:schemeClr w14:val="tx1"/>
                  </w14:solidFill>
                </w14:textFill>
              </w:rPr>
              <w:t>资格：见附录5</w:t>
            </w:r>
          </w:p>
          <w:p w14:paraId="3A39E9FF">
            <w:pPr>
              <w:pStyle w:val="17"/>
              <w:topLinePunct/>
              <w:adjustRightInd w:val="0"/>
              <w:snapToGrid w:val="0"/>
              <w:rPr>
                <w:rFonts w:hAnsi="Calibri"/>
                <w:color w:val="000000" w:themeColor="text1"/>
                <w:sz w:val="21"/>
                <w:szCs w:val="21"/>
                <w:highlight w:val="none"/>
                <w14:textFill>
                  <w14:solidFill>
                    <w14:schemeClr w14:val="tx1"/>
                  </w14:solidFill>
                </w14:textFill>
              </w:rPr>
            </w:pPr>
            <w:r>
              <w:rPr>
                <w:rFonts w:hAnsi="宋体"/>
                <w:color w:val="000000" w:themeColor="text1"/>
                <w:highlight w:val="none"/>
                <w14:textFill>
                  <w14:solidFill>
                    <w14:schemeClr w14:val="tx1"/>
                  </w14:solidFill>
                </w14:textFill>
              </w:rPr>
              <w:t>其他要求：见附录6、7</w:t>
            </w:r>
          </w:p>
        </w:tc>
      </w:tr>
      <w:tr w14:paraId="05155D1C">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59" w:hRule="atLeast"/>
          <w:jc w:val="center"/>
        </w:trPr>
        <w:tc>
          <w:tcPr>
            <w:tcW w:w="986" w:type="dxa"/>
            <w:tcBorders>
              <w:bottom w:val="single" w:color="000000" w:sz="6" w:space="0"/>
            </w:tcBorders>
            <w:vAlign w:val="center"/>
          </w:tcPr>
          <w:p w14:paraId="6F5693DB">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1.4.2</w:t>
            </w:r>
          </w:p>
        </w:tc>
        <w:tc>
          <w:tcPr>
            <w:tcW w:w="2443" w:type="dxa"/>
            <w:tcBorders>
              <w:bottom w:val="single" w:color="000000" w:sz="6" w:space="0"/>
            </w:tcBorders>
            <w:vAlign w:val="center"/>
          </w:tcPr>
          <w:p w14:paraId="3B60AC8E">
            <w:pPr>
              <w:pStyle w:val="17"/>
              <w:topLinePunct/>
              <w:jc w:val="center"/>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是否接受联合体</w:t>
            </w:r>
            <w:r>
              <w:rPr>
                <w:rFonts w:hint="eastAsia" w:hAnsi="宋体"/>
                <w:color w:val="000000" w:themeColor="text1"/>
                <w:highlight w:val="none"/>
                <w14:textFill>
                  <w14:solidFill>
                    <w14:schemeClr w14:val="tx1"/>
                  </w14:solidFill>
                </w14:textFill>
              </w:rPr>
              <w:t>投标</w:t>
            </w:r>
          </w:p>
        </w:tc>
        <w:tc>
          <w:tcPr>
            <w:tcW w:w="6738" w:type="dxa"/>
            <w:tcBorders>
              <w:bottom w:val="single" w:color="000000" w:sz="6" w:space="0"/>
            </w:tcBorders>
            <w:vAlign w:val="center"/>
          </w:tcPr>
          <w:p w14:paraId="577E46FD">
            <w:pPr>
              <w:pStyle w:val="17"/>
              <w:topLinePunct/>
              <w:adjustRightInd w:val="0"/>
              <w:snapToGrid w:val="0"/>
              <w:rPr>
                <w:rFonts w:hAnsi="Calibri"/>
                <w:color w:val="000000" w:themeColor="text1"/>
                <w:highlight w:val="none"/>
                <w14:textFill>
                  <w14:solidFill>
                    <w14:schemeClr w14:val="tx1"/>
                  </w14:solidFill>
                </w14:textFill>
              </w:rPr>
            </w:pPr>
            <w:r>
              <w:rPr>
                <w:rFonts w:hint="eastAsia" w:hAnsi="宋体"/>
                <w:color w:val="000000" w:themeColor="text1"/>
                <w:highlight w:val="none"/>
                <w:lang w:eastAsia="zh-CN"/>
                <w14:textFill>
                  <w14:solidFill>
                    <w14:schemeClr w14:val="tx1"/>
                  </w14:solidFill>
                </w14:textFill>
              </w:rPr>
              <w:t>□</w:t>
            </w:r>
            <w:r>
              <w:rPr>
                <w:rFonts w:hAnsi="宋体"/>
                <w:color w:val="000000" w:themeColor="text1"/>
                <w:highlight w:val="none"/>
                <w14:textFill>
                  <w14:solidFill>
                    <w14:schemeClr w14:val="tx1"/>
                  </w14:solidFill>
                </w14:textFill>
              </w:rPr>
              <w:t>不接受</w:t>
            </w:r>
          </w:p>
          <w:p w14:paraId="40C08B82">
            <w:pPr>
              <w:pStyle w:val="17"/>
              <w:topLinePunct/>
              <w:adjustRightInd w:val="0"/>
              <w:snapToGrid w:val="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接受</w:t>
            </w:r>
            <w:r>
              <w:rPr>
                <w:rFonts w:hint="eastAsia" w:hAnsi="宋体"/>
                <w:color w:val="000000" w:themeColor="text1"/>
                <w:highlight w:val="none"/>
                <w14:textFill>
                  <w14:solidFill>
                    <w14:schemeClr w14:val="tx1"/>
                  </w14:solidFill>
                </w14:textFill>
              </w:rPr>
              <w:t>，应满足下列要求：</w:t>
            </w:r>
          </w:p>
          <w:p w14:paraId="0C6AD9BC">
            <w:pPr>
              <w:pStyle w:val="17"/>
              <w:topLinePunct/>
              <w:adjustRightInd w:val="0"/>
              <w:snapToGrid w:val="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（1）联合体所有成员数量不得超过</w:t>
            </w:r>
            <w:r>
              <w:rPr>
                <w:rFonts w:hint="eastAsia" w:hAnsi="宋体"/>
                <w:color w:val="000000" w:themeColor="text1"/>
                <w:highlight w:val="none"/>
                <w:u w:val="single"/>
                <w:lang w:val="en-US" w:eastAsia="zh-CN"/>
                <w14:textFill>
                  <w14:solidFill>
                    <w14:schemeClr w14:val="tx1"/>
                  </w14:solidFill>
                </w14:textFill>
              </w:rPr>
              <w:t>3</w:t>
            </w:r>
            <w:r>
              <w:rPr>
                <w:rFonts w:hint="eastAsia"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家；</w:t>
            </w:r>
          </w:p>
          <w:p w14:paraId="0141378F">
            <w:pPr>
              <w:pStyle w:val="17"/>
              <w:topLinePunct/>
              <w:adjustRightInd w:val="0"/>
              <w:snapToGrid w:val="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（2）联合体牵头人应具备</w:t>
            </w:r>
            <w:r>
              <w:rPr>
                <w:rFonts w:hint="eastAsia" w:hAnsi="宋体"/>
                <w:color w:val="000000" w:themeColor="text1"/>
                <w:highlight w:val="none"/>
                <w:u w:val="single"/>
                <w14:textFill>
                  <w14:solidFill>
                    <w14:schemeClr w14:val="tx1"/>
                  </w14:solidFill>
                </w14:textFill>
              </w:rPr>
              <w:t xml:space="preserve"> 住房城乡建设主管部门核发的公路工程施工总承包三级以上（含三级） </w:t>
            </w:r>
            <w:r>
              <w:rPr>
                <w:rFonts w:hint="eastAsia" w:hAnsi="宋体"/>
                <w:color w:val="000000" w:themeColor="text1"/>
                <w:highlight w:val="none"/>
                <w14:textFill>
                  <w14:solidFill>
                    <w14:schemeClr w14:val="tx1"/>
                  </w14:solidFill>
                </w14:textFill>
              </w:rPr>
              <w:t>资质；</w:t>
            </w:r>
          </w:p>
        </w:tc>
      </w:tr>
      <w:tr w14:paraId="5D657CC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14" w:hRule="atLeast"/>
          <w:jc w:val="center"/>
        </w:trPr>
        <w:tc>
          <w:tcPr>
            <w:tcW w:w="986" w:type="dxa"/>
            <w:tcBorders>
              <w:bottom w:val="single" w:color="000000" w:sz="6" w:space="0"/>
            </w:tcBorders>
            <w:vAlign w:val="center"/>
          </w:tcPr>
          <w:p w14:paraId="79256F49">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1.4.3</w:t>
            </w:r>
          </w:p>
        </w:tc>
        <w:tc>
          <w:tcPr>
            <w:tcW w:w="2443" w:type="dxa"/>
            <w:tcBorders>
              <w:bottom w:val="single" w:color="000000" w:sz="6" w:space="0"/>
            </w:tcBorders>
            <w:vAlign w:val="center"/>
          </w:tcPr>
          <w:p w14:paraId="149B0611">
            <w:pPr>
              <w:pStyle w:val="17"/>
              <w:topLinePunct/>
              <w:jc w:val="center"/>
              <w:rPr>
                <w:rFonts w:hAnsi="Calibri"/>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投标人不得存在的其他关联情形</w:t>
            </w:r>
          </w:p>
        </w:tc>
        <w:tc>
          <w:tcPr>
            <w:tcW w:w="6738" w:type="dxa"/>
            <w:tcBorders>
              <w:bottom w:val="single" w:color="000000" w:sz="6" w:space="0"/>
            </w:tcBorders>
            <w:vAlign w:val="center"/>
          </w:tcPr>
          <w:p w14:paraId="5EF45333">
            <w:pPr>
              <w:pStyle w:val="17"/>
              <w:topLinePunct/>
              <w:adjustRightInd w:val="0"/>
              <w:snapToGrid w:val="0"/>
              <w:spacing w:line="400" w:lineRule="exact"/>
              <w:ind w:left="105" w:leftChars="50" w:right="105" w:rightChars="50"/>
              <w:jc w:val="center"/>
              <w:rPr>
                <w:rFonts w:hAnsi="Calibri"/>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p>
        </w:tc>
      </w:tr>
      <w:tr w14:paraId="21CCF23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74" w:hRule="atLeast"/>
          <w:jc w:val="center"/>
        </w:trPr>
        <w:tc>
          <w:tcPr>
            <w:tcW w:w="986" w:type="dxa"/>
            <w:tcBorders>
              <w:top w:val="single" w:color="000000" w:sz="6" w:space="0"/>
            </w:tcBorders>
            <w:vAlign w:val="center"/>
          </w:tcPr>
          <w:p w14:paraId="6A3A1B57">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1.4.4</w:t>
            </w:r>
          </w:p>
        </w:tc>
        <w:tc>
          <w:tcPr>
            <w:tcW w:w="2443" w:type="dxa"/>
            <w:tcBorders>
              <w:top w:val="single" w:color="000000" w:sz="6" w:space="0"/>
            </w:tcBorders>
            <w:vAlign w:val="center"/>
          </w:tcPr>
          <w:p w14:paraId="4228091B">
            <w:pPr>
              <w:pStyle w:val="17"/>
              <w:topLinePunct/>
              <w:jc w:val="center"/>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投标人不得存在的其他不良状况或不良信用</w:t>
            </w:r>
          </w:p>
        </w:tc>
        <w:tc>
          <w:tcPr>
            <w:tcW w:w="6738" w:type="dxa"/>
            <w:tcBorders>
              <w:top w:val="single" w:color="000000" w:sz="6" w:space="0"/>
            </w:tcBorders>
            <w:vAlign w:val="center"/>
          </w:tcPr>
          <w:p w14:paraId="61BB3160">
            <w:pPr>
              <w:pStyle w:val="17"/>
              <w:topLinePunct/>
              <w:adjustRightInd w:val="0"/>
              <w:snapToGrid w:val="0"/>
              <w:spacing w:line="400" w:lineRule="exact"/>
              <w:ind w:left="105" w:leftChars="50" w:right="105" w:rightChars="50"/>
              <w:jc w:val="center"/>
              <w:rPr>
                <w:rFonts w:hint="eastAsia"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p>
        </w:tc>
      </w:tr>
      <w:tr w14:paraId="71C9B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2" w:hRule="atLeast"/>
          <w:jc w:val="center"/>
        </w:trPr>
        <w:tc>
          <w:tcPr>
            <w:tcW w:w="986" w:type="dxa"/>
            <w:vMerge w:val="restart"/>
            <w:vAlign w:val="center"/>
          </w:tcPr>
          <w:p w14:paraId="43E42EEF">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1.10.2</w:t>
            </w:r>
          </w:p>
        </w:tc>
        <w:tc>
          <w:tcPr>
            <w:tcW w:w="2443" w:type="dxa"/>
            <w:vMerge w:val="restart"/>
            <w:vAlign w:val="center"/>
          </w:tcPr>
          <w:p w14:paraId="4FF100F5">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投标人在投标预备会前提出问题</w:t>
            </w:r>
          </w:p>
        </w:tc>
        <w:tc>
          <w:tcPr>
            <w:tcW w:w="6738" w:type="dxa"/>
            <w:vAlign w:val="center"/>
          </w:tcPr>
          <w:p w14:paraId="4FBA5AE6">
            <w:pPr>
              <w:ind w:left="105" w:leftChars="50"/>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时间：招标人不组织投标预备会。</w:t>
            </w:r>
          </w:p>
        </w:tc>
      </w:tr>
      <w:tr w14:paraId="7F467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1" w:hRule="atLeast"/>
          <w:jc w:val="center"/>
        </w:trPr>
        <w:tc>
          <w:tcPr>
            <w:tcW w:w="986" w:type="dxa"/>
            <w:vMerge w:val="continue"/>
            <w:vAlign w:val="center"/>
          </w:tcPr>
          <w:p w14:paraId="35C4AED3">
            <w:pPr>
              <w:jc w:val="center"/>
              <w:rPr>
                <w:rFonts w:ascii="Calibri" w:hAnsi="Calibri"/>
                <w:color w:val="000000" w:themeColor="text1"/>
                <w:sz w:val="24"/>
                <w:highlight w:val="none"/>
                <w14:textFill>
                  <w14:solidFill>
                    <w14:schemeClr w14:val="tx1"/>
                  </w14:solidFill>
                </w14:textFill>
              </w:rPr>
            </w:pPr>
          </w:p>
        </w:tc>
        <w:tc>
          <w:tcPr>
            <w:tcW w:w="2443" w:type="dxa"/>
            <w:vMerge w:val="continue"/>
            <w:vAlign w:val="center"/>
          </w:tcPr>
          <w:p w14:paraId="23E45F0D">
            <w:pPr>
              <w:jc w:val="center"/>
              <w:rPr>
                <w:rFonts w:ascii="Calibri" w:hAnsi="Calibri"/>
                <w:color w:val="000000" w:themeColor="text1"/>
                <w:sz w:val="24"/>
                <w:highlight w:val="none"/>
                <w14:textFill>
                  <w14:solidFill>
                    <w14:schemeClr w14:val="tx1"/>
                  </w14:solidFill>
                </w14:textFill>
              </w:rPr>
            </w:pPr>
          </w:p>
        </w:tc>
        <w:tc>
          <w:tcPr>
            <w:tcW w:w="6738" w:type="dxa"/>
            <w:vAlign w:val="center"/>
          </w:tcPr>
          <w:p w14:paraId="5703FB4C">
            <w:pPr>
              <w:ind w:left="105" w:leftChars="50"/>
              <w:jc w:val="left"/>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形式：</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sz w:val="24"/>
                <w:szCs w:val="32"/>
                <w:highlight w:val="none"/>
                <w:u w:val="single"/>
                <w14:textFill>
                  <w14:solidFill>
                    <w14:schemeClr w14:val="tx1"/>
                  </w14:solidFill>
                </w14:textFill>
              </w:rPr>
              <w:t xml:space="preserve">/  </w:t>
            </w:r>
            <w:r>
              <w:rPr>
                <w:rFonts w:hint="eastAsia" w:ascii="宋体" w:hAnsi="宋体" w:cs="宋体"/>
                <w:color w:val="000000" w:themeColor="text1"/>
                <w:sz w:val="24"/>
                <w:szCs w:val="32"/>
                <w:highlight w:val="none"/>
                <w14:textFill>
                  <w14:solidFill>
                    <w14:schemeClr w14:val="tx1"/>
                  </w14:solidFill>
                </w14:textFill>
              </w:rPr>
              <w:t>。</w:t>
            </w:r>
          </w:p>
        </w:tc>
      </w:tr>
      <w:tr w14:paraId="2AA574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4" w:hRule="atLeast"/>
          <w:jc w:val="center"/>
        </w:trPr>
        <w:tc>
          <w:tcPr>
            <w:tcW w:w="986" w:type="dxa"/>
            <w:vAlign w:val="center"/>
          </w:tcPr>
          <w:p w14:paraId="7D5FDB4C">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1.11</w:t>
            </w:r>
            <w:r>
              <w:rPr>
                <w:rFonts w:hint="eastAsia" w:ascii="宋体" w:hAnsi="宋体"/>
                <w:color w:val="000000" w:themeColor="text1"/>
                <w:sz w:val="24"/>
                <w:highlight w:val="none"/>
                <w14:textFill>
                  <w14:solidFill>
                    <w14:schemeClr w14:val="tx1"/>
                  </w14:solidFill>
                </w14:textFill>
              </w:rPr>
              <w:t>.1</w:t>
            </w:r>
          </w:p>
        </w:tc>
        <w:tc>
          <w:tcPr>
            <w:tcW w:w="2443" w:type="dxa"/>
            <w:vAlign w:val="center"/>
          </w:tcPr>
          <w:p w14:paraId="16E3F0CF">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分  包</w:t>
            </w:r>
          </w:p>
        </w:tc>
        <w:tc>
          <w:tcPr>
            <w:tcW w:w="6738" w:type="dxa"/>
            <w:vAlign w:val="center"/>
          </w:tcPr>
          <w:p w14:paraId="6F768D6D">
            <w:pPr>
              <w:ind w:left="105" w:leftChars="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投标人拟在中标后将中标项目的部分工程进行分包的，应符合以下规定：</w:t>
            </w:r>
          </w:p>
          <w:p w14:paraId="72572F20">
            <w:pPr>
              <w:ind w:left="105" w:leftChars="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（1）分包内容满足项目专用合同条款第4.3.2 项的相关要求；</w:t>
            </w:r>
          </w:p>
          <w:p w14:paraId="1F976164">
            <w:pPr>
              <w:ind w:left="105" w:leftChars="50"/>
              <w:rPr>
                <w:color w:val="000000" w:themeColor="text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（2）分包人的资格条件满足项目专用合同条款第4.3.3项的相关要求。</w:t>
            </w:r>
          </w:p>
        </w:tc>
      </w:tr>
      <w:tr w14:paraId="55D63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2" w:hRule="atLeast"/>
          <w:jc w:val="center"/>
        </w:trPr>
        <w:tc>
          <w:tcPr>
            <w:tcW w:w="986" w:type="dxa"/>
            <w:vAlign w:val="center"/>
          </w:tcPr>
          <w:p w14:paraId="2F242D03">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2.1</w:t>
            </w:r>
          </w:p>
        </w:tc>
        <w:tc>
          <w:tcPr>
            <w:tcW w:w="2443" w:type="dxa"/>
            <w:vAlign w:val="center"/>
          </w:tcPr>
          <w:p w14:paraId="732B3D90">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构成招标文件的其他</w:t>
            </w:r>
            <w:r>
              <w:rPr>
                <w:rFonts w:hint="eastAsia" w:ascii="宋体" w:hAnsi="宋体"/>
                <w:color w:val="000000" w:themeColor="text1"/>
                <w:sz w:val="24"/>
                <w:highlight w:val="none"/>
                <w14:textFill>
                  <w14:solidFill>
                    <w14:schemeClr w14:val="tx1"/>
                  </w14:solidFill>
                </w14:textFill>
              </w:rPr>
              <w:t>资料</w:t>
            </w:r>
          </w:p>
        </w:tc>
        <w:tc>
          <w:tcPr>
            <w:tcW w:w="6738" w:type="dxa"/>
            <w:vAlign w:val="center"/>
          </w:tcPr>
          <w:p w14:paraId="1CB0044A">
            <w:pPr>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招标文件所附的其他资料</w:t>
            </w:r>
          </w:p>
        </w:tc>
      </w:tr>
      <w:tr w14:paraId="147D36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2" w:hRule="atLeast"/>
          <w:jc w:val="center"/>
        </w:trPr>
        <w:tc>
          <w:tcPr>
            <w:tcW w:w="986" w:type="dxa"/>
            <w:vMerge w:val="restart"/>
            <w:vAlign w:val="center"/>
          </w:tcPr>
          <w:p w14:paraId="5EE47D6E">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2.2.1</w:t>
            </w:r>
          </w:p>
        </w:tc>
        <w:tc>
          <w:tcPr>
            <w:tcW w:w="2443" w:type="dxa"/>
            <w:vMerge w:val="restart"/>
            <w:vAlign w:val="center"/>
          </w:tcPr>
          <w:p w14:paraId="5E03BD02">
            <w:pPr>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投标人要求澄清</w:t>
            </w:r>
          </w:p>
          <w:p w14:paraId="0A906AA0">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招标文件</w:t>
            </w:r>
          </w:p>
        </w:tc>
        <w:tc>
          <w:tcPr>
            <w:tcW w:w="6738" w:type="dxa"/>
            <w:vAlign w:val="center"/>
          </w:tcPr>
          <w:p w14:paraId="332939DD">
            <w:pPr>
              <w:ind w:left="105" w:leftChars="50"/>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时间：</w:t>
            </w:r>
            <w:r>
              <w:rPr>
                <w:rFonts w:hint="eastAsia" w:ascii="宋体" w:hAnsi="宋体" w:cs="宋体"/>
                <w:color w:val="000000" w:themeColor="text1"/>
                <w:kern w:val="0"/>
                <w:sz w:val="24"/>
                <w:highlight w:val="none"/>
                <w14:textFill>
                  <w14:solidFill>
                    <w14:schemeClr w14:val="tx1"/>
                  </w14:solidFill>
                </w14:textFill>
              </w:rPr>
              <w:t>见“重要事项时间地点一览表”</w:t>
            </w:r>
          </w:p>
        </w:tc>
      </w:tr>
      <w:tr w14:paraId="7556DD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46" w:hRule="atLeast"/>
          <w:jc w:val="center"/>
        </w:trPr>
        <w:tc>
          <w:tcPr>
            <w:tcW w:w="986" w:type="dxa"/>
            <w:vMerge w:val="continue"/>
            <w:vAlign w:val="center"/>
          </w:tcPr>
          <w:p w14:paraId="51FB0B6A">
            <w:pPr>
              <w:jc w:val="center"/>
              <w:rPr>
                <w:rFonts w:ascii="Calibri" w:hAnsi="Calibri"/>
                <w:color w:val="000000" w:themeColor="text1"/>
                <w:sz w:val="24"/>
                <w:highlight w:val="none"/>
                <w14:textFill>
                  <w14:solidFill>
                    <w14:schemeClr w14:val="tx1"/>
                  </w14:solidFill>
                </w14:textFill>
              </w:rPr>
            </w:pPr>
          </w:p>
        </w:tc>
        <w:tc>
          <w:tcPr>
            <w:tcW w:w="2443" w:type="dxa"/>
            <w:vMerge w:val="continue"/>
            <w:vAlign w:val="center"/>
          </w:tcPr>
          <w:p w14:paraId="28610431">
            <w:pPr>
              <w:jc w:val="center"/>
              <w:rPr>
                <w:rFonts w:ascii="Calibri" w:hAnsi="Calibri"/>
                <w:color w:val="000000" w:themeColor="text1"/>
                <w:sz w:val="24"/>
                <w:highlight w:val="none"/>
                <w14:textFill>
                  <w14:solidFill>
                    <w14:schemeClr w14:val="tx1"/>
                  </w14:solidFill>
                </w14:textFill>
              </w:rPr>
            </w:pPr>
          </w:p>
        </w:tc>
        <w:tc>
          <w:tcPr>
            <w:tcW w:w="6738" w:type="dxa"/>
            <w:vAlign w:val="center"/>
          </w:tcPr>
          <w:p w14:paraId="51DB9D29">
            <w:pPr>
              <w:ind w:left="105" w:leftChars="50"/>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形式：</w:t>
            </w:r>
            <w:r>
              <w:rPr>
                <w:rFonts w:hint="eastAsia" w:ascii="宋体" w:hAnsi="宋体" w:cs="宋体"/>
                <w:color w:val="000000" w:themeColor="text1"/>
                <w:kern w:val="0"/>
                <w:sz w:val="24"/>
                <w:highlight w:val="none"/>
                <w14:textFill>
                  <w14:solidFill>
                    <w14:schemeClr w14:val="tx1"/>
                  </w14:solidFill>
                </w14:textFill>
              </w:rPr>
              <w:t>投标人对招标文件的疑问或要求澄清的内容以不署名的形式在</w:t>
            </w:r>
            <w:r>
              <w:rPr>
                <w:rFonts w:hint="eastAsia" w:ascii="宋体" w:hAnsi="宋体" w:cs="宋体"/>
                <w:color w:val="000000" w:themeColor="text1"/>
                <w:sz w:val="24"/>
                <w:highlight w:val="none"/>
                <w14:textFill>
                  <w14:solidFill>
                    <w14:schemeClr w14:val="tx1"/>
                  </w14:solidFill>
                </w14:textFill>
              </w:rPr>
              <w:t>全国公共资源交易平台（广东省·韶关市）</w:t>
            </w:r>
            <w:r>
              <w:rPr>
                <w:rFonts w:hint="eastAsia" w:ascii="宋体" w:hAnsi="宋体" w:cs="宋体"/>
                <w:color w:val="000000" w:themeColor="text1"/>
                <w:kern w:val="0"/>
                <w:sz w:val="24"/>
                <w:highlight w:val="none"/>
                <w14:textFill>
                  <w14:solidFill>
                    <w14:schemeClr w14:val="tx1"/>
                  </w14:solidFill>
                </w14:textFill>
              </w:rPr>
              <w:t>建设工程交易系统提出。</w:t>
            </w:r>
          </w:p>
        </w:tc>
      </w:tr>
      <w:tr w14:paraId="4B6959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41" w:hRule="atLeast"/>
          <w:jc w:val="center"/>
        </w:trPr>
        <w:tc>
          <w:tcPr>
            <w:tcW w:w="986" w:type="dxa"/>
            <w:vAlign w:val="center"/>
          </w:tcPr>
          <w:p w14:paraId="267B73BB">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2.2.2</w:t>
            </w:r>
          </w:p>
        </w:tc>
        <w:tc>
          <w:tcPr>
            <w:tcW w:w="2443" w:type="dxa"/>
            <w:vAlign w:val="center"/>
          </w:tcPr>
          <w:p w14:paraId="0C3BF335">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招标文件澄清发出的形式</w:t>
            </w:r>
          </w:p>
        </w:tc>
        <w:tc>
          <w:tcPr>
            <w:tcW w:w="6738" w:type="dxa"/>
            <w:vAlign w:val="center"/>
          </w:tcPr>
          <w:p w14:paraId="744A8D6D">
            <w:pPr>
              <w:wordWrap w:val="0"/>
              <w:ind w:left="105" w:leftChars="5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在</w:t>
            </w:r>
            <w:r>
              <w:rPr>
                <w:rFonts w:hint="eastAsia" w:ascii="宋体" w:hAnsi="宋体" w:cs="宋体"/>
                <w:color w:val="000000" w:themeColor="text1"/>
                <w:sz w:val="24"/>
                <w:highlight w:val="none"/>
                <w14:textFill>
                  <w14:solidFill>
                    <w14:schemeClr w14:val="tx1"/>
                  </w14:solidFill>
                </w14:textFill>
              </w:rPr>
              <w:t>全国公共资源交易平台（广东省·韶关市）（https://ygp.gdzwfw.gov.cn/ggzy-portal/#/440200/index）</w:t>
            </w:r>
            <w:r>
              <w:rPr>
                <w:rFonts w:hint="eastAsia" w:ascii="宋体" w:hAnsi="宋体" w:cs="宋体"/>
                <w:color w:val="000000" w:themeColor="text1"/>
                <w:kern w:val="0"/>
                <w:sz w:val="24"/>
                <w:highlight w:val="none"/>
                <w14:textFill>
                  <w14:solidFill>
                    <w14:schemeClr w14:val="tx1"/>
                  </w14:solidFill>
                </w14:textFill>
              </w:rPr>
              <w:t>发布</w:t>
            </w:r>
          </w:p>
        </w:tc>
      </w:tr>
      <w:tr w14:paraId="0C43F5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86" w:type="dxa"/>
            <w:vAlign w:val="center"/>
          </w:tcPr>
          <w:p w14:paraId="517C8384">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2.2.3</w:t>
            </w:r>
          </w:p>
        </w:tc>
        <w:tc>
          <w:tcPr>
            <w:tcW w:w="2443" w:type="dxa"/>
            <w:vAlign w:val="center"/>
          </w:tcPr>
          <w:p w14:paraId="47D1E406">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投标人确认收到</w:t>
            </w:r>
          </w:p>
          <w:p w14:paraId="0578AEA9">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招标文件澄清</w:t>
            </w:r>
          </w:p>
        </w:tc>
        <w:tc>
          <w:tcPr>
            <w:tcW w:w="6738" w:type="dxa"/>
            <w:vAlign w:val="center"/>
          </w:tcPr>
          <w:p w14:paraId="4548F17D">
            <w:pPr>
              <w:ind w:left="105" w:leftChars="50" w:right="113"/>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投标人应注意及时浏览网上发出的澄清，因投标人自身原因未及时获知澄清内容而导致的任何后果将由投标人自行承担。</w:t>
            </w:r>
          </w:p>
        </w:tc>
      </w:tr>
      <w:tr w14:paraId="4C636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2" w:hRule="atLeast"/>
          <w:jc w:val="center"/>
        </w:trPr>
        <w:tc>
          <w:tcPr>
            <w:tcW w:w="986" w:type="dxa"/>
            <w:vAlign w:val="center"/>
          </w:tcPr>
          <w:p w14:paraId="747640DD">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2.3.1</w:t>
            </w:r>
          </w:p>
        </w:tc>
        <w:tc>
          <w:tcPr>
            <w:tcW w:w="2443" w:type="dxa"/>
            <w:vAlign w:val="center"/>
          </w:tcPr>
          <w:p w14:paraId="594DAD0F">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招标文件修改发出的形式</w:t>
            </w:r>
          </w:p>
        </w:tc>
        <w:tc>
          <w:tcPr>
            <w:tcW w:w="6738" w:type="dxa"/>
            <w:vAlign w:val="center"/>
          </w:tcPr>
          <w:p w14:paraId="6DAF8D9A">
            <w:pPr>
              <w:wordWrap w:val="0"/>
              <w:ind w:left="105" w:leftChars="50" w:right="113"/>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在</w:t>
            </w:r>
            <w:r>
              <w:rPr>
                <w:rFonts w:hint="eastAsia" w:ascii="宋体" w:hAnsi="宋体" w:cs="宋体"/>
                <w:color w:val="000000" w:themeColor="text1"/>
                <w:sz w:val="24"/>
                <w:highlight w:val="none"/>
                <w14:textFill>
                  <w14:solidFill>
                    <w14:schemeClr w14:val="tx1"/>
                  </w14:solidFill>
                </w14:textFill>
              </w:rPr>
              <w:t>全国公共资源交易平台（广东省·韶关市）（https://ygp.gdzwfw.gov.cn/ggzy-portal/#/440200/index）</w:t>
            </w:r>
            <w:r>
              <w:rPr>
                <w:rFonts w:hint="eastAsia" w:ascii="宋体" w:hAnsi="宋体" w:cs="宋体"/>
                <w:color w:val="000000" w:themeColor="text1"/>
                <w:kern w:val="0"/>
                <w:sz w:val="24"/>
                <w:highlight w:val="none"/>
                <w14:textFill>
                  <w14:solidFill>
                    <w14:schemeClr w14:val="tx1"/>
                  </w14:solidFill>
                </w14:textFill>
              </w:rPr>
              <w:t>发布</w:t>
            </w:r>
          </w:p>
        </w:tc>
      </w:tr>
      <w:tr w14:paraId="14079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11" w:hRule="atLeast"/>
          <w:jc w:val="center"/>
        </w:trPr>
        <w:tc>
          <w:tcPr>
            <w:tcW w:w="986" w:type="dxa"/>
            <w:vAlign w:val="center"/>
          </w:tcPr>
          <w:p w14:paraId="1D2C57B3">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2.3.2</w:t>
            </w:r>
          </w:p>
        </w:tc>
        <w:tc>
          <w:tcPr>
            <w:tcW w:w="2443" w:type="dxa"/>
            <w:vAlign w:val="center"/>
          </w:tcPr>
          <w:p w14:paraId="002A04E9">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投标人确认收到</w:t>
            </w:r>
          </w:p>
          <w:p w14:paraId="3AEC7B46">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招标文件修改</w:t>
            </w:r>
          </w:p>
        </w:tc>
        <w:tc>
          <w:tcPr>
            <w:tcW w:w="6738" w:type="dxa"/>
            <w:vAlign w:val="center"/>
          </w:tcPr>
          <w:p w14:paraId="15143B2D">
            <w:pPr>
              <w:ind w:left="105" w:leftChars="50" w:right="113"/>
              <w:rPr>
                <w:rFonts w:ascii="Calibri" w:hAnsi="Calibri"/>
                <w:color w:val="000000" w:themeColor="text1"/>
                <w:sz w:val="24"/>
                <w:highlight w:val="none"/>
                <w14:textFill>
                  <w14:solidFill>
                    <w14:schemeClr w14:val="tx1"/>
                  </w14:solidFill>
                </w14:textFill>
              </w:rPr>
            </w:pPr>
            <w:r>
              <w:rPr>
                <w:rFonts w:ascii="Calibri" w:hAnsi="Calibri"/>
                <w:color w:val="000000" w:themeColor="text1"/>
                <w:sz w:val="24"/>
                <w:highlight w:val="none"/>
                <w14:textFill>
                  <w14:solidFill>
                    <w14:schemeClr w14:val="tx1"/>
                  </w14:solidFill>
                </w14:textFill>
              </w:rPr>
              <w:t>投标人应注意及时浏览网上发出的修改，因投标人自身原因未及时获知修改内容而导致的任何后果将由投标人自行承担。</w:t>
            </w:r>
          </w:p>
        </w:tc>
      </w:tr>
      <w:tr w14:paraId="277AA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986" w:type="dxa"/>
            <w:vAlign w:val="center"/>
          </w:tcPr>
          <w:p w14:paraId="39EDDFA4">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3.1.1</w:t>
            </w:r>
          </w:p>
        </w:tc>
        <w:tc>
          <w:tcPr>
            <w:tcW w:w="2443" w:type="dxa"/>
            <w:vAlign w:val="center"/>
          </w:tcPr>
          <w:p w14:paraId="5A518992">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投标文件密封形式</w:t>
            </w:r>
          </w:p>
        </w:tc>
        <w:tc>
          <w:tcPr>
            <w:tcW w:w="6738" w:type="dxa"/>
            <w:vAlign w:val="center"/>
          </w:tcPr>
          <w:p w14:paraId="683D4C70">
            <w:pPr>
              <w:ind w:left="105" w:leftChars="50" w:right="113"/>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双信封</w:t>
            </w:r>
          </w:p>
        </w:tc>
      </w:tr>
      <w:tr w14:paraId="2BA6E5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7" w:hRule="atLeast"/>
          <w:jc w:val="center"/>
        </w:trPr>
        <w:tc>
          <w:tcPr>
            <w:tcW w:w="986" w:type="dxa"/>
            <w:vAlign w:val="center"/>
          </w:tcPr>
          <w:p w14:paraId="37AC1F81">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3.1.1</w:t>
            </w:r>
          </w:p>
        </w:tc>
        <w:tc>
          <w:tcPr>
            <w:tcW w:w="2443" w:type="dxa"/>
            <w:vAlign w:val="center"/>
          </w:tcPr>
          <w:p w14:paraId="78C68D85">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构成投标文件的其他资料</w:t>
            </w:r>
          </w:p>
        </w:tc>
        <w:tc>
          <w:tcPr>
            <w:tcW w:w="6738" w:type="dxa"/>
            <w:vAlign w:val="center"/>
          </w:tcPr>
          <w:p w14:paraId="41F1DFD9">
            <w:pPr>
              <w:ind w:left="105" w:leftChars="50" w:right="113"/>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r>
      <w:tr w14:paraId="23447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7" w:hRule="atLeast"/>
          <w:jc w:val="center"/>
        </w:trPr>
        <w:tc>
          <w:tcPr>
            <w:tcW w:w="986" w:type="dxa"/>
            <w:vAlign w:val="center"/>
          </w:tcPr>
          <w:p w14:paraId="695C8449">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3.2.1</w:t>
            </w:r>
          </w:p>
        </w:tc>
        <w:tc>
          <w:tcPr>
            <w:tcW w:w="2443" w:type="dxa"/>
            <w:vAlign w:val="center"/>
          </w:tcPr>
          <w:p w14:paraId="609577CE">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增值税税金计算方法</w:t>
            </w:r>
          </w:p>
        </w:tc>
        <w:tc>
          <w:tcPr>
            <w:tcW w:w="6738" w:type="dxa"/>
            <w:vAlign w:val="center"/>
          </w:tcPr>
          <w:p w14:paraId="4A042C6D">
            <w:pPr>
              <w:ind w:left="105" w:leftChars="50" w:right="113"/>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按国家、省、市现行规定执行</w:t>
            </w:r>
          </w:p>
        </w:tc>
      </w:tr>
      <w:tr w14:paraId="4B001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205" w:hRule="atLeast"/>
          <w:jc w:val="center"/>
        </w:trPr>
        <w:tc>
          <w:tcPr>
            <w:tcW w:w="986" w:type="dxa"/>
            <w:vAlign w:val="center"/>
          </w:tcPr>
          <w:p w14:paraId="29E496B5">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3.2.1</w:t>
            </w:r>
          </w:p>
        </w:tc>
        <w:tc>
          <w:tcPr>
            <w:tcW w:w="2443" w:type="dxa"/>
            <w:vAlign w:val="center"/>
          </w:tcPr>
          <w:p w14:paraId="394B47A0">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工程量清单的填写方式</w:t>
            </w:r>
          </w:p>
        </w:tc>
        <w:tc>
          <w:tcPr>
            <w:tcW w:w="6738" w:type="dxa"/>
            <w:vAlign w:val="center"/>
          </w:tcPr>
          <w:p w14:paraId="46D6B490">
            <w:pPr>
              <w:pStyle w:val="99"/>
              <w:spacing w:line="359" w:lineRule="exact"/>
              <w:ind w:left="107"/>
              <w:rPr>
                <w:rFonts w:hint="eastAsia" w:ascii="宋体" w:hAnsi="宋体" w:cs="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s="宋体"/>
                <w:color w:val="000000" w:themeColor="text1"/>
                <w:sz w:val="24"/>
                <w:highlight w:val="none"/>
                <w14:textFill>
                  <w14:solidFill>
                    <w14:schemeClr w14:val="tx1"/>
                  </w14:solidFill>
                </w14:textFill>
              </w:rPr>
              <w:t>投标人按照招标人</w:t>
            </w:r>
            <w:r>
              <w:rPr>
                <w:rFonts w:hint="eastAsia" w:ascii="宋体" w:hAnsi="宋体" w:cs="宋体"/>
                <w:color w:val="000000" w:themeColor="text1"/>
                <w:spacing w:val="2"/>
                <w:sz w:val="24"/>
                <w:highlight w:val="none"/>
                <w14:textFill>
                  <w14:solidFill>
                    <w14:schemeClr w14:val="tx1"/>
                  </w14:solidFill>
                </w14:textFill>
              </w:rPr>
              <w:t>提</w:t>
            </w:r>
            <w:r>
              <w:rPr>
                <w:rFonts w:hint="eastAsia" w:ascii="宋体" w:hAnsi="宋体" w:cs="宋体"/>
                <w:color w:val="000000" w:themeColor="text1"/>
                <w:sz w:val="24"/>
                <w:highlight w:val="none"/>
                <w14:textFill>
                  <w14:solidFill>
                    <w14:schemeClr w14:val="tx1"/>
                  </w14:solidFill>
                </w14:textFill>
              </w:rPr>
              <w:t>供的工程</w:t>
            </w:r>
            <w:r>
              <w:rPr>
                <w:rFonts w:hint="eastAsia" w:ascii="宋体" w:hAnsi="宋体" w:cs="宋体"/>
                <w:color w:val="000000" w:themeColor="text1"/>
                <w:spacing w:val="2"/>
                <w:sz w:val="24"/>
                <w:highlight w:val="none"/>
                <w14:textFill>
                  <w14:solidFill>
                    <w14:schemeClr w14:val="tx1"/>
                  </w14:solidFill>
                </w14:textFill>
              </w:rPr>
              <w:t>量</w:t>
            </w:r>
            <w:r>
              <w:rPr>
                <w:rFonts w:hint="eastAsia" w:ascii="宋体" w:hAnsi="宋体" w:cs="宋体"/>
                <w:color w:val="000000" w:themeColor="text1"/>
                <w:sz w:val="24"/>
                <w:highlight w:val="none"/>
                <w14:textFill>
                  <w14:solidFill>
                    <w14:schemeClr w14:val="tx1"/>
                  </w14:solidFill>
                </w14:textFill>
              </w:rPr>
              <w:t>固化清单</w:t>
            </w:r>
            <w:r>
              <w:rPr>
                <w:rFonts w:hint="eastAsia" w:ascii="宋体" w:hAnsi="宋体" w:cs="宋体"/>
                <w:color w:val="000000" w:themeColor="text1"/>
                <w:spacing w:val="2"/>
                <w:sz w:val="24"/>
                <w:highlight w:val="none"/>
                <w14:textFill>
                  <w14:solidFill>
                    <w14:schemeClr w14:val="tx1"/>
                  </w14:solidFill>
                </w14:textFill>
              </w:rPr>
              <w:t>电</w:t>
            </w:r>
            <w:r>
              <w:rPr>
                <w:rFonts w:hint="eastAsia" w:ascii="宋体" w:hAnsi="宋体" w:cs="宋体"/>
                <w:color w:val="000000" w:themeColor="text1"/>
                <w:sz w:val="24"/>
                <w:highlight w:val="none"/>
                <w14:textFill>
                  <w14:solidFill>
                    <w14:schemeClr w14:val="tx1"/>
                  </w14:solidFill>
                </w14:textFill>
              </w:rPr>
              <w:t>子文件填写工程量清单，招标人提供固化清单的形式：</w:t>
            </w:r>
            <w:r>
              <w:rPr>
                <w:rFonts w:hint="eastAsia" w:ascii="宋体" w:hAnsi="宋体" w:cs="宋体"/>
                <w:color w:val="000000" w:themeColor="text1"/>
                <w:sz w:val="24"/>
                <w:highlight w:val="none"/>
                <w:u w:val="single"/>
                <w14:textFill>
                  <w14:solidFill>
                    <w14:schemeClr w14:val="tx1"/>
                  </w14:solidFill>
                </w14:textFill>
              </w:rPr>
              <w:t>在全国公共资源交易平台 （广东省·韶关市）发布</w:t>
            </w:r>
          </w:p>
          <w:p w14:paraId="530DEC39">
            <w:pPr>
              <w:pStyle w:val="99"/>
              <w:spacing w:line="359" w:lineRule="exact"/>
              <w:ind w:left="107"/>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s="宋体"/>
                <w:color w:val="000000" w:themeColor="text1"/>
                <w:sz w:val="24"/>
                <w:highlight w:val="none"/>
                <w14:textFill>
                  <w14:solidFill>
                    <w14:schemeClr w14:val="tx1"/>
                  </w14:solidFill>
                </w14:textFill>
              </w:rPr>
              <w:t>投标人按照招标人提供的书面工程量清单填写工程量清单，招标人提供书面工程量清单的形式：</w:t>
            </w:r>
            <w:r>
              <w:rPr>
                <w:rFonts w:hint="eastAsia" w:ascii="宋体" w:hAnsi="宋体" w:cs="宋体"/>
                <w:color w:val="000000" w:themeColor="text1"/>
                <w:sz w:val="24"/>
                <w:highlight w:val="none"/>
                <w:u w:val="single"/>
                <w14:textFill>
                  <w14:solidFill>
                    <w14:schemeClr w14:val="tx1"/>
                  </w14:solidFill>
                </w14:textFill>
              </w:rPr>
              <w:t>在全国公共资源交易平台 （广东省·韶关市）发布</w:t>
            </w:r>
          </w:p>
        </w:tc>
      </w:tr>
      <w:tr w14:paraId="40AA8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4" w:hRule="atLeast"/>
          <w:jc w:val="center"/>
        </w:trPr>
        <w:tc>
          <w:tcPr>
            <w:tcW w:w="986" w:type="dxa"/>
            <w:vAlign w:val="center"/>
          </w:tcPr>
          <w:p w14:paraId="06DD2BFF">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3.2.3</w:t>
            </w:r>
          </w:p>
        </w:tc>
        <w:tc>
          <w:tcPr>
            <w:tcW w:w="2443" w:type="dxa"/>
            <w:vAlign w:val="center"/>
          </w:tcPr>
          <w:p w14:paraId="26B479AC">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报价方式</w:t>
            </w:r>
          </w:p>
        </w:tc>
        <w:tc>
          <w:tcPr>
            <w:tcW w:w="6738" w:type="dxa"/>
            <w:vAlign w:val="center"/>
          </w:tcPr>
          <w:p w14:paraId="282B16B3">
            <w:pPr>
              <w:ind w:left="105" w:leftChars="50" w:right="113"/>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单价</w:t>
            </w:r>
          </w:p>
          <w:p w14:paraId="048E598A">
            <w:pPr>
              <w:ind w:left="113" w:right="113"/>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olor w:val="000000" w:themeColor="text1"/>
                <w:sz w:val="24"/>
                <w:highlight w:val="none"/>
                <w14:textFill>
                  <w14:solidFill>
                    <w14:schemeClr w14:val="tx1"/>
                  </w14:solidFill>
                </w14:textFill>
              </w:rPr>
              <w:t>总价</w:t>
            </w:r>
          </w:p>
        </w:tc>
      </w:tr>
      <w:tr w14:paraId="06D8D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7" w:hRule="atLeast"/>
          <w:jc w:val="center"/>
        </w:trPr>
        <w:tc>
          <w:tcPr>
            <w:tcW w:w="986" w:type="dxa"/>
            <w:vAlign w:val="center"/>
          </w:tcPr>
          <w:p w14:paraId="18F2E467">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3.2.</w:t>
            </w:r>
            <w:r>
              <w:rPr>
                <w:rFonts w:hint="eastAsia" w:ascii="宋体" w:hAnsi="宋体"/>
                <w:color w:val="000000" w:themeColor="text1"/>
                <w:sz w:val="24"/>
                <w:highlight w:val="none"/>
                <w14:textFill>
                  <w14:solidFill>
                    <w14:schemeClr w14:val="tx1"/>
                  </w14:solidFill>
                </w14:textFill>
              </w:rPr>
              <w:t>6</w:t>
            </w:r>
          </w:p>
        </w:tc>
        <w:tc>
          <w:tcPr>
            <w:tcW w:w="2443" w:type="dxa"/>
            <w:vAlign w:val="center"/>
          </w:tcPr>
          <w:p w14:paraId="73500E93">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是否接受调价函</w:t>
            </w:r>
          </w:p>
        </w:tc>
        <w:tc>
          <w:tcPr>
            <w:tcW w:w="6738" w:type="dxa"/>
            <w:vAlign w:val="center"/>
          </w:tcPr>
          <w:p w14:paraId="745C3388">
            <w:pPr>
              <w:adjustRightInd w:val="0"/>
              <w:snapToGrid w:val="0"/>
              <w:ind w:left="105" w:leftChars="50" w:right="113"/>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□是</w:t>
            </w:r>
          </w:p>
          <w:p w14:paraId="09F4D0D7">
            <w:pPr>
              <w:adjustRightInd w:val="0"/>
              <w:snapToGrid w:val="0"/>
              <w:ind w:left="105" w:leftChars="50" w:right="113"/>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ascii="宋体" w:hAnsi="宋体"/>
                <w:color w:val="000000" w:themeColor="text1"/>
                <w:sz w:val="24"/>
                <w:highlight w:val="none"/>
                <w14:textFill>
                  <w14:solidFill>
                    <w14:schemeClr w14:val="tx1"/>
                  </w14:solidFill>
                </w14:textFill>
              </w:rPr>
              <w:t>否</w:t>
            </w:r>
          </w:p>
        </w:tc>
      </w:tr>
      <w:tr w14:paraId="63D680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9" w:hRule="atLeast"/>
          <w:jc w:val="center"/>
        </w:trPr>
        <w:tc>
          <w:tcPr>
            <w:tcW w:w="986" w:type="dxa"/>
            <w:vAlign w:val="center"/>
          </w:tcPr>
          <w:p w14:paraId="0047760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3.2.8</w:t>
            </w:r>
          </w:p>
        </w:tc>
        <w:tc>
          <w:tcPr>
            <w:tcW w:w="2443" w:type="dxa"/>
            <w:vAlign w:val="center"/>
          </w:tcPr>
          <w:p w14:paraId="4AA8F1B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最高投标限价</w:t>
            </w:r>
          </w:p>
        </w:tc>
        <w:tc>
          <w:tcPr>
            <w:tcW w:w="6738" w:type="dxa"/>
            <w:vAlign w:val="center"/>
          </w:tcPr>
          <w:p w14:paraId="49015362">
            <w:pPr>
              <w:wordWrap w:val="0"/>
              <w:topLinePunct/>
              <w:ind w:left="233" w:leftChars="52" w:right="113" w:hanging="124" w:hangingChars="52"/>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最高投标限价、工程量清单、施工图纸在在投标截止时间15天前以补遗书的形式在广东省招标投标监管网（http://zbtb.gd.gov.cn）、全国公共资源交易平台（广东省·韶关市）（https://ygp.gdzwfw.gov.cn/ggzy-portal/#/440200/index）公布，各投标人应自行下载。因投标人自身原因未能及时查阅而引起的任何问题、责任由投标人自行承担。</w:t>
            </w:r>
          </w:p>
        </w:tc>
      </w:tr>
      <w:tr w14:paraId="04A6E7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78" w:hRule="atLeast"/>
          <w:jc w:val="center"/>
        </w:trPr>
        <w:tc>
          <w:tcPr>
            <w:tcW w:w="986" w:type="dxa"/>
            <w:vAlign w:val="center"/>
          </w:tcPr>
          <w:p w14:paraId="7737A5C5">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3.2.9</w:t>
            </w:r>
          </w:p>
        </w:tc>
        <w:tc>
          <w:tcPr>
            <w:tcW w:w="2443" w:type="dxa"/>
            <w:vAlign w:val="center"/>
          </w:tcPr>
          <w:p w14:paraId="2C386BE6">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投标报价其他要求</w:t>
            </w:r>
          </w:p>
        </w:tc>
        <w:tc>
          <w:tcPr>
            <w:tcW w:w="6738" w:type="dxa"/>
            <w:vAlign w:val="center"/>
          </w:tcPr>
          <w:p w14:paraId="5940FE14">
            <w:pPr>
              <w:spacing w:line="360" w:lineRule="auto"/>
              <w:ind w:left="113" w:right="11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投标报价的所有单价取小数点后两位，所有合价和总价四舍五入取整数。</w:t>
            </w:r>
          </w:p>
          <w:p w14:paraId="1C952157">
            <w:pPr>
              <w:ind w:left="113" w:right="113"/>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投标人应按第五章“工程量清单”的要求填写相应表格。</w:t>
            </w:r>
          </w:p>
        </w:tc>
      </w:tr>
      <w:tr w14:paraId="6D7C8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97" w:hRule="atLeast"/>
          <w:jc w:val="center"/>
        </w:trPr>
        <w:tc>
          <w:tcPr>
            <w:tcW w:w="986" w:type="dxa"/>
            <w:vAlign w:val="center"/>
          </w:tcPr>
          <w:p w14:paraId="3CC83FC6">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3.3.1</w:t>
            </w:r>
          </w:p>
        </w:tc>
        <w:tc>
          <w:tcPr>
            <w:tcW w:w="2443" w:type="dxa"/>
            <w:vAlign w:val="center"/>
          </w:tcPr>
          <w:p w14:paraId="23598235">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投标有效期</w:t>
            </w:r>
          </w:p>
        </w:tc>
        <w:tc>
          <w:tcPr>
            <w:tcW w:w="6738" w:type="dxa"/>
            <w:vAlign w:val="center"/>
          </w:tcPr>
          <w:p w14:paraId="3026BC32">
            <w:pPr>
              <w:ind w:left="113" w:right="113"/>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自投标人提交投标文件截止之日起计算</w:t>
            </w:r>
            <w:r>
              <w:rPr>
                <w:rFonts w:hint="eastAsia" w:ascii="宋体" w:hAnsi="宋体"/>
                <w:color w:val="000000" w:themeColor="text1"/>
                <w:sz w:val="24"/>
                <w:highlight w:val="none"/>
                <w:u w:val="single"/>
                <w14:textFill>
                  <w14:solidFill>
                    <w14:schemeClr w14:val="tx1"/>
                  </w14:solidFill>
                </w14:textFill>
              </w:rPr>
              <w:t>90</w:t>
            </w:r>
            <w:r>
              <w:rPr>
                <w:rFonts w:hint="eastAsia" w:ascii="宋体" w:hAnsi="宋体"/>
                <w:color w:val="000000" w:themeColor="text1"/>
                <w:sz w:val="24"/>
                <w:highlight w:val="none"/>
                <w14:textFill>
                  <w14:solidFill>
                    <w14:schemeClr w14:val="tx1"/>
                  </w14:solidFill>
                </w14:textFill>
              </w:rPr>
              <w:t>日</w:t>
            </w:r>
          </w:p>
        </w:tc>
      </w:tr>
      <w:tr w14:paraId="3BA92C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05"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036E7459">
            <w:pPr>
              <w:spacing w:line="360" w:lineRule="auto"/>
              <w:jc w:val="center"/>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3.4.1</w:t>
            </w:r>
          </w:p>
        </w:tc>
        <w:tc>
          <w:tcPr>
            <w:tcW w:w="2443" w:type="dxa"/>
            <w:tcBorders>
              <w:top w:val="single" w:color="000000" w:sz="4" w:space="0"/>
              <w:left w:val="single" w:color="000000" w:sz="4" w:space="0"/>
              <w:bottom w:val="single" w:color="000000" w:sz="4" w:space="0"/>
              <w:right w:val="single" w:color="000000" w:sz="4" w:space="0"/>
            </w:tcBorders>
            <w:vAlign w:val="center"/>
          </w:tcPr>
          <w:p w14:paraId="19BB14ED">
            <w:pPr>
              <w:pStyle w:val="113"/>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投标保证金</w:t>
            </w:r>
          </w:p>
        </w:tc>
        <w:tc>
          <w:tcPr>
            <w:tcW w:w="6738" w:type="dxa"/>
            <w:tcBorders>
              <w:top w:val="single" w:color="000000" w:sz="4" w:space="0"/>
              <w:left w:val="single" w:color="000000" w:sz="4" w:space="0"/>
              <w:bottom w:val="single" w:color="000000" w:sz="4" w:space="0"/>
              <w:right w:val="single" w:color="000000" w:sz="12" w:space="0"/>
            </w:tcBorders>
            <w:vAlign w:val="center"/>
          </w:tcPr>
          <w:p w14:paraId="19F709ED">
            <w:pPr>
              <w:pStyle w:val="99"/>
              <w:wordWrap w:val="0"/>
              <w:adjustRightInd w:val="0"/>
              <w:snapToGrid w:val="0"/>
              <w:spacing w:line="288" w:lineRule="auto"/>
              <w:ind w:left="42" w:leftChars="20" w:right="6" w:firstLine="120" w:firstLineChars="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是否要求投标人递交投标保证金：</w:t>
            </w:r>
          </w:p>
          <w:p w14:paraId="19B146CF">
            <w:pPr>
              <w:pStyle w:val="113"/>
              <w:wordWrap w:val="0"/>
              <w:snapToGrid w:val="0"/>
              <w:spacing w:line="288" w:lineRule="auto"/>
              <w:ind w:left="42" w:leftChars="20" w:right="6" w:firstLine="120" w:firstLineChars="50"/>
              <w:jc w:val="left"/>
              <w:rPr>
                <w:rFonts w:hint="eastAsia" w:ascii="宋体" w:hAnsi="宋体" w:cs="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hint="eastAsia" w:ascii="宋体" w:hAnsi="宋体"/>
                <w:color w:val="000000" w:themeColor="text1"/>
                <w:highlight w:val="none"/>
                <w14:textFill>
                  <w14:solidFill>
                    <w14:schemeClr w14:val="tx1"/>
                  </w14:solidFill>
                </w14:textFill>
              </w:rPr>
              <w:instrText xml:space="preserve">eq \o\ac(□,√)</w:instrText>
            </w:r>
            <w:r>
              <w:rPr>
                <w:rFonts w:ascii="宋体" w:hAnsi="宋体"/>
                <w:color w:val="000000" w:themeColor="text1"/>
                <w:highlight w:val="none"/>
                <w14:textFill>
                  <w14:solidFill>
                    <w14:schemeClr w14:val="tx1"/>
                  </w14:solidFill>
                </w14:textFill>
              </w:rPr>
              <w:fldChar w:fldCharType="end"/>
            </w:r>
            <w:r>
              <w:rPr>
                <w:rFonts w:hint="eastAsia" w:ascii="宋体" w:hAnsi="宋体" w:cs="宋体"/>
                <w:color w:val="000000" w:themeColor="text1"/>
                <w:highlight w:val="none"/>
                <w14:textFill>
                  <w14:solidFill>
                    <w14:schemeClr w14:val="tx1"/>
                  </w14:solidFill>
                </w14:textFill>
              </w:rPr>
              <w:t>要求，投标保证金为人民币：</w:t>
            </w:r>
            <w:r>
              <w:rPr>
                <w:rFonts w:hint="eastAsia" w:ascii="宋体" w:hAnsi="宋体" w:cs="宋体"/>
                <w:color w:val="000000" w:themeColor="text1"/>
                <w:highlight w:val="none"/>
                <w:u w:val="single"/>
                <w:lang w:val="en-US" w:eastAsia="zh-CN"/>
                <w14:textFill>
                  <w14:solidFill>
                    <w14:schemeClr w14:val="tx1"/>
                  </w14:solidFill>
                </w14:textFill>
              </w:rPr>
              <w:t>4</w:t>
            </w:r>
            <w:r>
              <w:rPr>
                <w:rFonts w:hint="eastAsia" w:ascii="宋体" w:hAnsi="宋体" w:cs="宋体"/>
                <w:color w:val="000000" w:themeColor="text1"/>
                <w:highlight w:val="none"/>
                <w:u w:val="single"/>
                <w14:textFill>
                  <w14:solidFill>
                    <w14:schemeClr w14:val="tx1"/>
                  </w14:solidFill>
                </w14:textFill>
              </w:rPr>
              <w:t>0万元</w:t>
            </w:r>
            <w:r>
              <w:rPr>
                <w:rFonts w:hint="eastAsia" w:ascii="宋体" w:hAnsi="宋体" w:cs="宋体"/>
                <w:color w:val="000000" w:themeColor="text1"/>
                <w:highlight w:val="none"/>
                <w14:textFill>
                  <w14:solidFill>
                    <w14:schemeClr w14:val="tx1"/>
                  </w14:solidFill>
                </w14:textFill>
              </w:rPr>
              <w:t>。</w:t>
            </w:r>
          </w:p>
          <w:p w14:paraId="4210369E">
            <w:pPr>
              <w:pStyle w:val="124"/>
              <w:spacing w:line="288" w:lineRule="auto"/>
              <w:ind w:left="135"/>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□按投标人在广东省交通运输厅最新年度发布的广东省公</w:t>
            </w:r>
            <w:r>
              <w:rPr>
                <w:color w:val="000000" w:themeColor="text1"/>
                <w:spacing w:val="9"/>
                <w:highlight w:val="none"/>
                <w:lang w:eastAsia="zh-CN"/>
                <w14:textFill>
                  <w14:solidFill>
                    <w14:schemeClr w14:val="tx1"/>
                  </w14:solidFill>
                </w14:textFill>
              </w:rPr>
              <w:t>路工程从业单位信用等级（信用等级类别应与招标相应</w:t>
            </w:r>
            <w:r>
              <w:rPr>
                <w:color w:val="000000" w:themeColor="text1"/>
                <w:spacing w:val="8"/>
                <w:highlight w:val="none"/>
                <w:lang w:eastAsia="zh-CN"/>
                <w14:textFill>
                  <w14:solidFill>
                    <w14:schemeClr w14:val="tx1"/>
                  </w14:solidFill>
                </w14:textFill>
              </w:rPr>
              <w:t>的标</w:t>
            </w:r>
            <w:r>
              <w:rPr>
                <w:color w:val="000000" w:themeColor="text1"/>
                <w:spacing w:val="9"/>
                <w:highlight w:val="none"/>
                <w:lang w:eastAsia="zh-CN"/>
                <w14:textFill>
                  <w14:solidFill>
                    <w14:schemeClr w14:val="tx1"/>
                  </w14:solidFill>
                </w14:textFill>
              </w:rPr>
              <w:t>段类别对应）减免投标保证金，减免幅度如下</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"bookmark68" </w:instrText>
            </w:r>
            <w:r>
              <w:rPr>
                <w:color w:val="000000" w:themeColor="text1"/>
                <w:highlight w:val="none"/>
                <w14:textFill>
                  <w14:solidFill>
                    <w14:schemeClr w14:val="tx1"/>
                  </w14:solidFill>
                </w14:textFill>
              </w:rPr>
              <w:fldChar w:fldCharType="separate"/>
            </w:r>
            <w:r>
              <w:rPr>
                <w:color w:val="000000" w:themeColor="text1"/>
                <w:spacing w:val="8"/>
                <w:position w:val="10"/>
                <w:sz w:val="10"/>
                <w:szCs w:val="10"/>
                <w:highlight w:val="none"/>
                <w:lang w:eastAsia="zh-CN"/>
                <w14:textFill>
                  <w14:solidFill>
                    <w14:schemeClr w14:val="tx1"/>
                  </w14:solidFill>
                </w14:textFill>
              </w:rPr>
              <w:t>③</w:t>
            </w:r>
            <w:r>
              <w:rPr>
                <w:color w:val="000000" w:themeColor="text1"/>
                <w:spacing w:val="8"/>
                <w:position w:val="10"/>
                <w:sz w:val="10"/>
                <w:szCs w:val="10"/>
                <w:highlight w:val="none"/>
                <w:lang w:eastAsia="zh-CN"/>
                <w14:textFill>
                  <w14:solidFill>
                    <w14:schemeClr w14:val="tx1"/>
                  </w14:solidFill>
                </w14:textFill>
              </w:rPr>
              <w:fldChar w:fldCharType="end"/>
            </w:r>
            <w:r>
              <w:rPr>
                <w:color w:val="000000" w:themeColor="text1"/>
                <w:spacing w:val="8"/>
                <w:highlight w:val="none"/>
                <w:lang w:eastAsia="zh-CN"/>
                <w14:textFill>
                  <w14:solidFill>
                    <w14:schemeClr w14:val="tx1"/>
                  </w14:solidFill>
                </w14:textFill>
              </w:rPr>
              <w:t>:</w:t>
            </w:r>
          </w:p>
          <w:tbl>
            <w:tblPr>
              <w:tblStyle w:val="45"/>
              <w:tblW w:w="53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4"/>
              <w:gridCol w:w="1094"/>
              <w:gridCol w:w="1004"/>
              <w:gridCol w:w="809"/>
              <w:gridCol w:w="784"/>
            </w:tblGrid>
            <w:tr w14:paraId="4ED32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1704" w:type="dxa"/>
                  <w:vAlign w:val="center"/>
                </w:tcPr>
                <w:p w14:paraId="326758AA">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信用评价等级</w:t>
                  </w:r>
                </w:p>
              </w:tc>
              <w:tc>
                <w:tcPr>
                  <w:tcW w:w="1094" w:type="dxa"/>
                  <w:vAlign w:val="center"/>
                </w:tcPr>
                <w:p w14:paraId="6926D6F7">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AA</w:t>
                  </w:r>
                </w:p>
              </w:tc>
              <w:tc>
                <w:tcPr>
                  <w:tcW w:w="1004" w:type="dxa"/>
                  <w:vAlign w:val="center"/>
                </w:tcPr>
                <w:p w14:paraId="5E673394">
                  <w:pPr>
                    <w:pStyle w:val="124"/>
                    <w:jc w:val="center"/>
                    <w:rPr>
                      <w:rFonts w:hint="eastAsia"/>
                      <w:color w:val="000000" w:themeColor="text1"/>
                      <w:highlight w:val="none"/>
                      <w14:textFill>
                        <w14:solidFill>
                          <w14:schemeClr w14:val="tx1"/>
                        </w14:solidFill>
                      </w14:textFill>
                    </w:rPr>
                  </w:pPr>
                  <w:r>
                    <w:rPr>
                      <w:color w:val="000000" w:themeColor="text1"/>
                      <w:spacing w:val="2"/>
                      <w:highlight w:val="none"/>
                      <w14:textFill>
                        <w14:solidFill>
                          <w14:schemeClr w14:val="tx1"/>
                        </w14:solidFill>
                      </w14:textFill>
                    </w:rPr>
                    <w:t>A</w:t>
                  </w:r>
                </w:p>
              </w:tc>
              <w:tc>
                <w:tcPr>
                  <w:tcW w:w="809" w:type="dxa"/>
                  <w:vAlign w:val="center"/>
                </w:tcPr>
                <w:p w14:paraId="518744E3">
                  <w:pPr>
                    <w:pStyle w:val="124"/>
                    <w:jc w:val="center"/>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B</w:t>
                  </w:r>
                </w:p>
              </w:tc>
              <w:tc>
                <w:tcPr>
                  <w:tcW w:w="784" w:type="dxa"/>
                  <w:vAlign w:val="center"/>
                </w:tcPr>
                <w:p w14:paraId="1DD95C2B">
                  <w:pPr>
                    <w:pStyle w:val="124"/>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C</w:t>
                  </w:r>
                </w:p>
              </w:tc>
            </w:tr>
            <w:tr w14:paraId="0CDC0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jc w:val="center"/>
              </w:trPr>
              <w:tc>
                <w:tcPr>
                  <w:tcW w:w="1704" w:type="dxa"/>
                  <w:vAlign w:val="center"/>
                </w:tcPr>
                <w:p w14:paraId="568565D3">
                  <w:pPr>
                    <w:pStyle w:val="124"/>
                    <w:ind w:hanging="2"/>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投标保证金减</w:t>
                  </w:r>
                  <w:r>
                    <w:rPr>
                      <w:color w:val="000000" w:themeColor="text1"/>
                      <w:spacing w:val="5"/>
                      <w:highlight w:val="none"/>
                      <w14:textFill>
                        <w14:solidFill>
                          <w14:schemeClr w14:val="tx1"/>
                        </w14:solidFill>
                      </w14:textFill>
                    </w:rPr>
                    <w:t>免幅度</w:t>
                  </w:r>
                </w:p>
              </w:tc>
              <w:tc>
                <w:tcPr>
                  <w:tcW w:w="1094" w:type="dxa"/>
                  <w:vAlign w:val="center"/>
                </w:tcPr>
                <w:p w14:paraId="1783E0C7">
                  <w:pPr>
                    <w:pStyle w:val="124"/>
                    <w:jc w:val="center"/>
                    <w:rPr>
                      <w:rFonts w:hint="eastAsia"/>
                      <w:color w:val="000000" w:themeColor="text1"/>
                      <w:highlight w:val="none"/>
                      <w14:textFill>
                        <w14:solidFill>
                          <w14:schemeClr w14:val="tx1"/>
                        </w14:solidFill>
                      </w14:textFill>
                    </w:rPr>
                  </w:pPr>
                  <w:r>
                    <w:rPr>
                      <w:color w:val="000000" w:themeColor="text1"/>
                      <w:spacing w:val="3"/>
                      <w:position w:val="1"/>
                      <w:highlight w:val="none"/>
                      <w14:textFill>
                        <w14:solidFill>
                          <w14:schemeClr w14:val="tx1"/>
                        </w14:solidFill>
                      </w14:textFill>
                    </w:rPr>
                    <w:t>50%-100%</w:t>
                  </w:r>
                </w:p>
              </w:tc>
              <w:tc>
                <w:tcPr>
                  <w:tcW w:w="1004" w:type="dxa"/>
                  <w:vAlign w:val="center"/>
                </w:tcPr>
                <w:p w14:paraId="6724AAFC">
                  <w:pPr>
                    <w:pStyle w:val="124"/>
                    <w:jc w:val="center"/>
                    <w:rPr>
                      <w:rFonts w:hint="eastAsia"/>
                      <w:color w:val="000000" w:themeColor="text1"/>
                      <w:highlight w:val="none"/>
                      <w14:textFill>
                        <w14:solidFill>
                          <w14:schemeClr w14:val="tx1"/>
                        </w14:solidFill>
                      </w14:textFill>
                    </w:rPr>
                  </w:pPr>
                  <w:r>
                    <w:rPr>
                      <w:color w:val="000000" w:themeColor="text1"/>
                      <w:spacing w:val="1"/>
                      <w:position w:val="1"/>
                      <w:highlight w:val="none"/>
                      <w14:textFill>
                        <w14:solidFill>
                          <w14:schemeClr w14:val="tx1"/>
                        </w14:solidFill>
                      </w14:textFill>
                    </w:rPr>
                    <w:t>10%-50%</w:t>
                  </w:r>
                </w:p>
              </w:tc>
              <w:tc>
                <w:tcPr>
                  <w:tcW w:w="809" w:type="dxa"/>
                  <w:vAlign w:val="center"/>
                </w:tcPr>
                <w:p w14:paraId="491A808B">
                  <w:pPr>
                    <w:pStyle w:val="124"/>
                    <w:jc w:val="center"/>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0%</w:t>
                  </w:r>
                </w:p>
              </w:tc>
              <w:tc>
                <w:tcPr>
                  <w:tcW w:w="784" w:type="dxa"/>
                  <w:vAlign w:val="center"/>
                </w:tcPr>
                <w:p w14:paraId="2F9B16A3">
                  <w:pPr>
                    <w:pStyle w:val="124"/>
                    <w:jc w:val="center"/>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0%</w:t>
                  </w:r>
                </w:p>
              </w:tc>
            </w:tr>
            <w:tr w14:paraId="27B3E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jc w:val="center"/>
              </w:trPr>
              <w:tc>
                <w:tcPr>
                  <w:tcW w:w="1704" w:type="dxa"/>
                  <w:vAlign w:val="center"/>
                </w:tcPr>
                <w:p w14:paraId="36FE1C68">
                  <w:pPr>
                    <w:pStyle w:val="124"/>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减免后的投标</w:t>
                  </w:r>
                  <w:r>
                    <w:rPr>
                      <w:color w:val="000000" w:themeColor="text1"/>
                      <w:spacing w:val="7"/>
                      <w:highlight w:val="none"/>
                      <w:lang w:eastAsia="zh-CN"/>
                      <w14:textFill>
                        <w14:solidFill>
                          <w14:schemeClr w14:val="tx1"/>
                        </w14:solidFill>
                      </w14:textFill>
                    </w:rPr>
                    <w:t>保证金金额</w:t>
                  </w:r>
                </w:p>
              </w:tc>
              <w:tc>
                <w:tcPr>
                  <w:tcW w:w="1094" w:type="dxa"/>
                  <w:vAlign w:val="center"/>
                </w:tcPr>
                <w:p w14:paraId="0F331C18">
                  <w:pPr>
                    <w:jc w:val="center"/>
                    <w:rPr>
                      <w:rFonts w:ascii="Arial"/>
                      <w:color w:val="000000" w:themeColor="text1"/>
                      <w:highlight w:val="none"/>
                      <w14:textFill>
                        <w14:solidFill>
                          <w14:schemeClr w14:val="tx1"/>
                        </w14:solidFill>
                      </w14:textFill>
                    </w:rPr>
                  </w:pPr>
                  <w:r>
                    <w:rPr>
                      <w:rFonts w:hint="eastAsia" w:ascii="Arial"/>
                      <w:color w:val="000000" w:themeColor="text1"/>
                      <w:highlight w:val="none"/>
                      <w14:textFill>
                        <w14:solidFill>
                          <w14:schemeClr w14:val="tx1"/>
                        </w14:solidFill>
                      </w14:textFill>
                    </w:rPr>
                    <w:t>/</w:t>
                  </w:r>
                </w:p>
              </w:tc>
              <w:tc>
                <w:tcPr>
                  <w:tcW w:w="1004" w:type="dxa"/>
                  <w:vAlign w:val="center"/>
                </w:tcPr>
                <w:p w14:paraId="29B509D6">
                  <w:pPr>
                    <w:jc w:val="center"/>
                    <w:rPr>
                      <w:rFonts w:ascii="Arial"/>
                      <w:color w:val="000000" w:themeColor="text1"/>
                      <w:highlight w:val="none"/>
                      <w14:textFill>
                        <w14:solidFill>
                          <w14:schemeClr w14:val="tx1"/>
                        </w14:solidFill>
                      </w14:textFill>
                    </w:rPr>
                  </w:pPr>
                  <w:r>
                    <w:rPr>
                      <w:rFonts w:hint="eastAsia" w:ascii="Arial"/>
                      <w:color w:val="000000" w:themeColor="text1"/>
                      <w:highlight w:val="none"/>
                      <w14:textFill>
                        <w14:solidFill>
                          <w14:schemeClr w14:val="tx1"/>
                        </w14:solidFill>
                      </w14:textFill>
                    </w:rPr>
                    <w:t>/</w:t>
                  </w:r>
                </w:p>
              </w:tc>
              <w:tc>
                <w:tcPr>
                  <w:tcW w:w="809" w:type="dxa"/>
                  <w:vAlign w:val="center"/>
                </w:tcPr>
                <w:p w14:paraId="35E49468">
                  <w:pPr>
                    <w:jc w:val="center"/>
                    <w:rPr>
                      <w:rFonts w:ascii="Arial"/>
                      <w:color w:val="000000" w:themeColor="text1"/>
                      <w:highlight w:val="none"/>
                      <w14:textFill>
                        <w14:solidFill>
                          <w14:schemeClr w14:val="tx1"/>
                        </w14:solidFill>
                      </w14:textFill>
                    </w:rPr>
                  </w:pPr>
                  <w:r>
                    <w:rPr>
                      <w:rFonts w:hint="eastAsia" w:ascii="Arial"/>
                      <w:color w:val="000000" w:themeColor="text1"/>
                      <w:highlight w:val="none"/>
                      <w14:textFill>
                        <w14:solidFill>
                          <w14:schemeClr w14:val="tx1"/>
                        </w14:solidFill>
                      </w14:textFill>
                    </w:rPr>
                    <w:t>/</w:t>
                  </w:r>
                </w:p>
              </w:tc>
              <w:tc>
                <w:tcPr>
                  <w:tcW w:w="784" w:type="dxa"/>
                  <w:vAlign w:val="center"/>
                </w:tcPr>
                <w:p w14:paraId="22F43FB3">
                  <w:pPr>
                    <w:jc w:val="center"/>
                    <w:rPr>
                      <w:rFonts w:ascii="Arial"/>
                      <w:color w:val="000000" w:themeColor="text1"/>
                      <w:highlight w:val="none"/>
                      <w14:textFill>
                        <w14:solidFill>
                          <w14:schemeClr w14:val="tx1"/>
                        </w14:solidFill>
                      </w14:textFill>
                    </w:rPr>
                  </w:pPr>
                  <w:r>
                    <w:rPr>
                      <w:rFonts w:hint="eastAsia" w:ascii="Arial"/>
                      <w:color w:val="000000" w:themeColor="text1"/>
                      <w:highlight w:val="none"/>
                      <w14:textFill>
                        <w14:solidFill>
                          <w14:schemeClr w14:val="tx1"/>
                        </w14:solidFill>
                      </w14:textFill>
                    </w:rPr>
                    <w:t>/</w:t>
                  </w:r>
                </w:p>
              </w:tc>
            </w:tr>
          </w:tbl>
          <w:p w14:paraId="2963618C">
            <w:pPr>
              <w:pStyle w:val="124"/>
              <w:spacing w:line="288" w:lineRule="auto"/>
              <w:ind w:left="117" w:right="234" w:firstLine="17"/>
              <w:rPr>
                <w:rFonts w:hint="eastAsia"/>
                <w:color w:val="000000" w:themeColor="text1"/>
                <w:spacing w:val="8"/>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□无失信记录的中小微企业，给予减免投标保证金，减</w:t>
            </w:r>
            <w:r>
              <w:rPr>
                <w:color w:val="000000" w:themeColor="text1"/>
                <w:spacing w:val="7"/>
                <w:highlight w:val="none"/>
                <w:lang w:eastAsia="zh-CN"/>
                <w14:textFill>
                  <w14:solidFill>
                    <w14:schemeClr w14:val="tx1"/>
                  </w14:solidFill>
                </w14:textFill>
              </w:rPr>
              <w:t>免</w:t>
            </w:r>
            <w:r>
              <w:rPr>
                <w:color w:val="000000" w:themeColor="text1"/>
                <w:spacing w:val="7"/>
                <w:highlight w:val="none"/>
                <w:u w:val="singl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w:t>
            </w:r>
            <w:r>
              <w:rPr>
                <w:color w:val="000000" w:themeColor="text1"/>
                <w:spacing w:val="7"/>
                <w:highlight w:val="none"/>
                <w:u w:val="single"/>
                <w:lang w:eastAsia="zh-CN"/>
                <w14:textFill>
                  <w14:solidFill>
                    <w14:schemeClr w14:val="tx1"/>
                  </w14:solidFill>
                </w14:textFill>
              </w:rPr>
              <w:t xml:space="preserve"> </w:t>
            </w:r>
            <w:r>
              <w:rPr>
                <w:color w:val="000000" w:themeColor="text1"/>
                <w:spacing w:val="-97"/>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%缴纳投标保证金，减免后投标保证金金额</w:t>
            </w:r>
            <w:r>
              <w:rPr>
                <w:color w:val="000000" w:themeColor="text1"/>
                <w:spacing w:val="6"/>
                <w:highlight w:val="none"/>
                <w:lang w:eastAsia="zh-CN"/>
                <w14:textFill>
                  <w14:solidFill>
                    <w14:schemeClr w14:val="tx1"/>
                  </w14:solidFill>
                </w14:textFill>
              </w:rPr>
              <w:t>：</w:t>
            </w:r>
            <w:r>
              <w:rPr>
                <w:color w:val="000000" w:themeColor="text1"/>
                <w:spacing w:val="6"/>
                <w:highlight w:val="none"/>
                <w:u w:val="single"/>
                <w:lang w:eastAsia="zh-CN"/>
                <w14:textFill>
                  <w14:solidFill>
                    <w14:schemeClr w14:val="tx1"/>
                  </w14:solidFill>
                </w14:textFill>
              </w:rPr>
              <w:t xml:space="preserve"> </w:t>
            </w:r>
            <w:r>
              <w:rPr>
                <w:rFonts w:hint="eastAsia"/>
                <w:color w:val="000000" w:themeColor="text1"/>
                <w:spacing w:val="6"/>
                <w:highlight w:val="none"/>
                <w:u w:val="single"/>
                <w:lang w:eastAsia="zh-CN"/>
                <w14:textFill>
                  <w14:solidFill>
                    <w14:schemeClr w14:val="tx1"/>
                  </w14:solidFill>
                </w14:textFill>
              </w:rPr>
              <w:t>/</w:t>
            </w:r>
            <w:r>
              <w:rPr>
                <w:color w:val="000000" w:themeColor="text1"/>
                <w:spacing w:val="6"/>
                <w:highlight w:val="none"/>
                <w:u w:val="singl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w:t>
            </w:r>
            <w:r>
              <w:rPr>
                <w:color w:val="000000" w:themeColor="text1"/>
                <w:spacing w:val="9"/>
                <w:highlight w:val="none"/>
                <w:lang w:eastAsia="zh-CN"/>
                <w14:textFill>
                  <w14:solidFill>
                    <w14:schemeClr w14:val="tx1"/>
                  </w14:solidFill>
                </w14:textFill>
              </w:rPr>
              <w:t>如同时满足以上信用等级和中小微企业减免投标保证金的情形，则以减免后投标保证金金额较少的为准。以联合体形式参加投标的，以上减免情形以联合体牵头人</w:t>
            </w:r>
            <w:r>
              <w:rPr>
                <w:color w:val="000000" w:themeColor="text1"/>
                <w:spacing w:val="8"/>
                <w:highlight w:val="none"/>
                <w:lang w:eastAsia="zh-CN"/>
                <w14:textFill>
                  <w14:solidFill>
                    <w14:schemeClr w14:val="tx1"/>
                  </w14:solidFill>
                </w14:textFill>
              </w:rPr>
              <w:t>为准。</w:t>
            </w:r>
          </w:p>
          <w:p w14:paraId="4B2A3D16">
            <w:pPr>
              <w:pStyle w:val="124"/>
              <w:spacing w:line="288" w:lineRule="auto"/>
              <w:ind w:left="117" w:right="234" w:firstLine="17"/>
              <w:rPr>
                <w:rFonts w:hint="eastAsia"/>
                <w:color w:val="000000" w:themeColor="text1"/>
                <w:spacing w:val="8"/>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招标人指定的开户银行及账号如下：</w:t>
            </w:r>
            <w:r>
              <w:rPr>
                <w:rFonts w:hint="eastAsia"/>
                <w:color w:val="000000" w:themeColor="text1"/>
                <w:spacing w:val="8"/>
                <w:highlight w:val="none"/>
                <w:u w:val="single"/>
                <w:lang w:eastAsia="zh-CN"/>
                <w14:textFill>
                  <w14:solidFill>
                    <w14:schemeClr w14:val="tx1"/>
                  </w14:solidFill>
                </w14:textFill>
              </w:rPr>
              <w:t>在建设工程交易系统获取本次招标投标保证金缴纳账号。</w:t>
            </w:r>
          </w:p>
          <w:p w14:paraId="1D13223C">
            <w:pPr>
              <w:pStyle w:val="124"/>
              <w:spacing w:line="288" w:lineRule="auto"/>
              <w:ind w:left="117" w:right="234" w:firstLine="17"/>
              <w:rPr>
                <w:rFonts w:hint="eastAsia"/>
                <w:color w:val="000000" w:themeColor="text1"/>
                <w:spacing w:val="4"/>
                <w:highlight w:val="none"/>
                <w:lang w:eastAsia="zh-CN"/>
                <w14:textFill>
                  <w14:solidFill>
                    <w14:schemeClr w14:val="tx1"/>
                  </w14:solidFill>
                </w14:textFill>
              </w:rPr>
            </w:pPr>
            <w:r>
              <w:rPr>
                <w:rFonts w:hint="eastAsia"/>
                <w:bCs/>
                <w:color w:val="000000" w:themeColor="text1"/>
                <w:highlight w:val="none"/>
                <w:lang w:eastAsia="zh-CN"/>
                <w14:textFill>
                  <w14:solidFill>
                    <w14:schemeClr w14:val="tx1"/>
                  </w14:solidFill>
                </w14:textFill>
              </w:rPr>
              <w:t>投标保证的形式包括：</w:t>
            </w:r>
            <w:r>
              <w:rPr>
                <w:rFonts w:hint="eastAsia"/>
                <w:bCs/>
                <w:color w:val="000000" w:themeColor="text1"/>
                <w:highlight w:val="none"/>
                <w:u w:val="single"/>
                <w:lang w:eastAsia="zh-CN"/>
                <w14:textFill>
                  <w14:solidFill>
                    <w14:schemeClr w14:val="tx1"/>
                  </w14:solidFill>
                </w14:textFill>
              </w:rPr>
              <w:t>投标保证金、投标保证担保、投标保证保险担保三种</w:t>
            </w:r>
            <w:r>
              <w:rPr>
                <w:rFonts w:hint="eastAsia"/>
                <w:bCs/>
                <w:color w:val="000000" w:themeColor="text1"/>
                <w:highlight w:val="none"/>
                <w:lang w:eastAsia="zh-CN"/>
                <w14:textFill>
                  <w14:solidFill>
                    <w14:schemeClr w14:val="tx1"/>
                  </w14:solidFill>
                </w14:textFill>
              </w:rPr>
              <w:t>，由投标人自主选择</w:t>
            </w:r>
            <w:r>
              <w:rPr>
                <w:color w:val="000000" w:themeColor="text1"/>
                <w:spacing w:val="4"/>
                <w:highlight w:val="none"/>
                <w:lang w:eastAsia="zh-CN"/>
                <w14:textFill>
                  <w14:solidFill>
                    <w14:schemeClr w14:val="tx1"/>
                  </w14:solidFill>
                </w14:textFill>
              </w:rPr>
              <w:t>；</w:t>
            </w:r>
          </w:p>
          <w:p w14:paraId="0DB5F12C">
            <w:pPr>
              <w:pStyle w:val="124"/>
              <w:spacing w:line="288" w:lineRule="auto"/>
              <w:ind w:left="117" w:right="234" w:firstLine="17"/>
              <w:rPr>
                <w:rFonts w:hint="eastAsia"/>
                <w:color w:val="000000" w:themeColor="text1"/>
                <w:spacing w:val="8"/>
                <w:highlight w:val="none"/>
                <w:lang w:eastAsia="zh-CN"/>
                <w14:textFill>
                  <w14:solidFill>
                    <w14:schemeClr w14:val="tx1"/>
                  </w14:solidFill>
                </w14:textFill>
              </w:rPr>
            </w:pPr>
            <w:r>
              <w:rPr>
                <w:rFonts w:hint="eastAsia"/>
                <w:color w:val="000000" w:themeColor="text1"/>
                <w:spacing w:val="4"/>
                <w:highlight w:val="none"/>
                <w:lang w:eastAsia="zh-CN"/>
                <w14:textFill>
                  <w14:solidFill>
                    <w14:schemeClr w14:val="tx1"/>
                  </w14:solidFill>
                </w14:textFill>
              </w:rPr>
              <w:t>投标保证缴纳截止时间见“重要事项时间地点一览表”</w:t>
            </w:r>
          </w:p>
          <w:p w14:paraId="5BA62967">
            <w:pPr>
              <w:pStyle w:val="55"/>
              <w:spacing w:line="288"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□不要求</w:t>
            </w:r>
          </w:p>
        </w:tc>
      </w:tr>
      <w:tr w14:paraId="4C6069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39AFC026">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3.4.3</w:t>
            </w:r>
          </w:p>
        </w:tc>
        <w:tc>
          <w:tcPr>
            <w:tcW w:w="2443" w:type="dxa"/>
            <w:tcBorders>
              <w:top w:val="single" w:color="000000" w:sz="4" w:space="0"/>
              <w:left w:val="single" w:color="000000" w:sz="4" w:space="0"/>
              <w:bottom w:val="single" w:color="000000" w:sz="4" w:space="0"/>
              <w:right w:val="single" w:color="000000" w:sz="4" w:space="0"/>
            </w:tcBorders>
            <w:vAlign w:val="center"/>
          </w:tcPr>
          <w:p w14:paraId="620BABE7">
            <w:pPr>
              <w:pStyle w:val="99"/>
              <w:ind w:left="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投标保证金的利息计算原则</w:t>
            </w:r>
          </w:p>
        </w:tc>
        <w:tc>
          <w:tcPr>
            <w:tcW w:w="6738" w:type="dxa"/>
            <w:tcBorders>
              <w:top w:val="single" w:color="000000" w:sz="4" w:space="0"/>
              <w:left w:val="single" w:color="000000" w:sz="4" w:space="0"/>
              <w:bottom w:val="single" w:color="000000" w:sz="4" w:space="0"/>
              <w:right w:val="single" w:color="000000" w:sz="12" w:space="0"/>
            </w:tcBorders>
            <w:vAlign w:val="center"/>
          </w:tcPr>
          <w:p w14:paraId="1A459648">
            <w:pPr>
              <w:pStyle w:val="99"/>
              <w:ind w:left="1" w:firstLine="240" w:firstLineChars="1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利息退还方式按韶关市公共资源交易中心相关规定办理</w:t>
            </w:r>
          </w:p>
        </w:tc>
      </w:tr>
      <w:tr w14:paraId="24914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843"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75507509">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3.4.4</w:t>
            </w:r>
          </w:p>
        </w:tc>
        <w:tc>
          <w:tcPr>
            <w:tcW w:w="2443" w:type="dxa"/>
            <w:tcBorders>
              <w:top w:val="single" w:color="000000" w:sz="4" w:space="0"/>
              <w:left w:val="single" w:color="000000" w:sz="4" w:space="0"/>
              <w:bottom w:val="single" w:color="000000" w:sz="4" w:space="0"/>
              <w:right w:val="single" w:color="000000" w:sz="4" w:space="0"/>
            </w:tcBorders>
            <w:vAlign w:val="center"/>
          </w:tcPr>
          <w:p w14:paraId="4B5B2B38">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其他可以不予退还投标保证金的情形</w:t>
            </w:r>
          </w:p>
        </w:tc>
        <w:tc>
          <w:tcPr>
            <w:tcW w:w="6738" w:type="dxa"/>
            <w:tcBorders>
              <w:top w:val="single" w:color="000000" w:sz="4" w:space="0"/>
              <w:left w:val="single" w:color="000000" w:sz="4" w:space="0"/>
              <w:bottom w:val="single" w:color="000000" w:sz="4" w:space="0"/>
              <w:right w:val="single" w:color="000000" w:sz="12" w:space="0"/>
            </w:tcBorders>
            <w:vAlign w:val="center"/>
          </w:tcPr>
          <w:p w14:paraId="17D2EFC5">
            <w:pPr>
              <w:pStyle w:val="99"/>
              <w:ind w:left="1"/>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（4）串通投标；或</w:t>
            </w:r>
          </w:p>
          <w:p w14:paraId="3599F825">
            <w:pPr>
              <w:pStyle w:val="99"/>
              <w:ind w:left="1"/>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（5）评标、中标候选人公示、签订合同前等环节因作假而被取消中标资格；或</w:t>
            </w:r>
          </w:p>
          <w:p w14:paraId="5251B4FF">
            <w:pPr>
              <w:pStyle w:val="99"/>
              <w:ind w:left="1"/>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（6）因投诉属实取消投标资格的；或</w:t>
            </w:r>
          </w:p>
          <w:p w14:paraId="208AD3A1">
            <w:pPr>
              <w:adjustRightInd w:val="0"/>
              <w:snapToGrid w:val="0"/>
              <w:spacing w:line="300" w:lineRule="exact"/>
              <w:ind w:right="113"/>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（7）其他违反规定、妨碍公平竞争准则的舞弊行为。</w:t>
            </w:r>
          </w:p>
        </w:tc>
      </w:tr>
      <w:tr w14:paraId="6F25B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89"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7879A326">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3.5</w:t>
            </w:r>
          </w:p>
        </w:tc>
        <w:tc>
          <w:tcPr>
            <w:tcW w:w="2443" w:type="dxa"/>
            <w:tcBorders>
              <w:top w:val="single" w:color="000000" w:sz="4" w:space="0"/>
              <w:left w:val="single" w:color="000000" w:sz="4" w:space="0"/>
              <w:bottom w:val="single" w:color="000000" w:sz="4" w:space="0"/>
              <w:right w:val="single" w:color="000000" w:sz="4" w:space="0"/>
            </w:tcBorders>
            <w:vAlign w:val="center"/>
          </w:tcPr>
          <w:p w14:paraId="118BAAA8">
            <w:pPr>
              <w:adjustRightInd w:val="0"/>
              <w:snapToGrid w:val="0"/>
              <w:ind w:left="84" w:leftChars="40"/>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资格审查资料的特殊要求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08AF8CFC">
            <w:pPr>
              <w:adjustRightInd w:val="0"/>
              <w:snapToGrid w:val="0"/>
              <w:spacing w:line="360" w:lineRule="exact"/>
              <w:ind w:left="84" w:leftChars="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□无</w:t>
            </w:r>
          </w:p>
          <w:p w14:paraId="01F4E806">
            <w:pPr>
              <w:adjustRightInd w:val="0"/>
              <w:snapToGrid w:val="0"/>
              <w:ind w:left="84" w:leftChars="40" w:right="113"/>
              <w:rPr>
                <w:rFonts w:ascii="Calibri" w:hAnsi="Calibri"/>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s="宋体"/>
                <w:color w:val="000000" w:themeColor="text1"/>
                <w:sz w:val="24"/>
                <w:highlight w:val="none"/>
                <w14:textFill>
                  <w14:solidFill>
                    <w14:schemeClr w14:val="tx1"/>
                  </w14:solidFill>
                </w14:textFill>
              </w:rPr>
              <w:t>有，具体要求：</w:t>
            </w:r>
            <w:r>
              <w:rPr>
                <w:rFonts w:hint="eastAsia" w:ascii="宋体" w:hAnsi="宋体" w:cs="宋体"/>
                <w:color w:val="000000" w:themeColor="text1"/>
                <w:sz w:val="24"/>
                <w:highlight w:val="none"/>
                <w:u w:val="single"/>
                <w14:textFill>
                  <w14:solidFill>
                    <w14:schemeClr w14:val="tx1"/>
                  </w14:solidFill>
                </w14:textFill>
              </w:rPr>
              <w:t>投标人提供的各类证照复印件均指彩色扫描件，其他资料的复印件可为黑白扫描件。</w:t>
            </w:r>
          </w:p>
        </w:tc>
      </w:tr>
      <w:tr w14:paraId="59D97966">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532"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285B1FD5">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3.5.2</w:t>
            </w:r>
          </w:p>
        </w:tc>
        <w:tc>
          <w:tcPr>
            <w:tcW w:w="2443" w:type="dxa"/>
            <w:tcBorders>
              <w:top w:val="single" w:color="000000" w:sz="4" w:space="0"/>
              <w:left w:val="single" w:color="000000" w:sz="4" w:space="0"/>
              <w:bottom w:val="single" w:color="000000" w:sz="4" w:space="0"/>
              <w:right w:val="single" w:color="000000" w:sz="4" w:space="0"/>
            </w:tcBorders>
            <w:vAlign w:val="center"/>
          </w:tcPr>
          <w:p w14:paraId="0D3F58FA">
            <w:pPr>
              <w:adjustRightInd w:val="0"/>
              <w:snapToGrid w:val="0"/>
              <w:ind w:right="113"/>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近年财务状况的年份要求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194F30DA">
            <w:pPr>
              <w:adjustRightInd w:val="0"/>
              <w:snapToGrid w:val="0"/>
              <w:ind w:right="11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202</w:t>
            </w:r>
            <w:r>
              <w:rPr>
                <w:rFonts w:hint="eastAsia" w:ascii="宋体" w:hAnsi="宋体" w:cs="宋体"/>
                <w:color w:val="000000" w:themeColor="text1"/>
                <w:sz w:val="24"/>
                <w:highlight w:val="none"/>
                <w:u w:val="singl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202</w:t>
            </w:r>
            <w:r>
              <w:rPr>
                <w:rFonts w:hint="eastAsia" w:ascii="宋体" w:hAnsi="宋体" w:cs="宋体"/>
                <w:color w:val="000000" w:themeColor="text1"/>
                <w:sz w:val="24"/>
                <w:highlight w:val="none"/>
                <w:u w:val="singl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年（近三个年度）</w:t>
            </w:r>
          </w:p>
        </w:tc>
      </w:tr>
      <w:tr w14:paraId="5F75703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7AB38C15">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3.5.3</w:t>
            </w:r>
          </w:p>
        </w:tc>
        <w:tc>
          <w:tcPr>
            <w:tcW w:w="2443" w:type="dxa"/>
            <w:tcBorders>
              <w:top w:val="single" w:color="000000" w:sz="4" w:space="0"/>
              <w:left w:val="single" w:color="000000" w:sz="4" w:space="0"/>
              <w:bottom w:val="single" w:color="000000" w:sz="4" w:space="0"/>
              <w:right w:val="single" w:color="000000" w:sz="4" w:space="0"/>
            </w:tcBorders>
            <w:vAlign w:val="center"/>
          </w:tcPr>
          <w:p w14:paraId="47C391B5">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近年完成的类似项目情况的时间要求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35302916">
            <w:pPr>
              <w:spacing w:line="288"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2021年0</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cs="宋体"/>
                <w:color w:val="000000" w:themeColor="text1"/>
                <w:sz w:val="24"/>
                <w:highlight w:val="none"/>
                <w:u w:val="single"/>
                <w14:textFill>
                  <w14:solidFill>
                    <w14:schemeClr w14:val="tx1"/>
                  </w14:solidFill>
                </w14:textFill>
              </w:rPr>
              <w:t>月01日</w:t>
            </w:r>
            <w:r>
              <w:rPr>
                <w:rFonts w:hint="eastAsia" w:ascii="宋体" w:hAnsi="宋体" w:cs="宋体"/>
                <w:color w:val="000000" w:themeColor="text1"/>
                <w:kern w:val="0"/>
                <w:sz w:val="24"/>
                <w:highlight w:val="none"/>
                <w14:textFill>
                  <w14:solidFill>
                    <w14:schemeClr w14:val="tx1"/>
                  </w14:solidFill>
                </w14:textFill>
              </w:rPr>
              <w:t>至</w:t>
            </w:r>
            <w:r>
              <w:rPr>
                <w:rFonts w:hint="eastAsia" w:ascii="宋体" w:hAnsi="宋体" w:cs="宋体"/>
                <w:color w:val="000000" w:themeColor="text1"/>
                <w:sz w:val="24"/>
                <w:highlight w:val="none"/>
                <w14:textFill>
                  <w14:solidFill>
                    <w14:schemeClr w14:val="tx1"/>
                  </w14:solidFill>
                </w14:textFill>
              </w:rPr>
              <w:t>投标文件递交截止之日止（近五年），以</w:t>
            </w:r>
          </w:p>
          <w:p w14:paraId="7324413F">
            <w:pPr>
              <w:pStyle w:val="124"/>
              <w:spacing w:line="288" w:lineRule="auto"/>
              <w:ind w:left="117" w:right="108" w:firstLine="437"/>
              <w:rPr>
                <w:rFonts w:hint="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rFonts w:hint="eastAsia"/>
                <w:color w:val="000000" w:themeColor="text1"/>
                <w:highlight w:val="none"/>
                <w:lang w:eastAsia="zh-CN"/>
                <w14:textFill>
                  <w14:solidFill>
                    <w14:schemeClr w14:val="tx1"/>
                  </w14:solidFill>
                </w14:textFill>
              </w:rPr>
              <w:instrText xml:space="preserve">eq \o\ac(□)</w:instrText>
            </w:r>
            <w:r>
              <w:rPr>
                <w:color w:val="000000" w:themeColor="text1"/>
                <w:highlight w:val="none"/>
                <w14:textFill>
                  <w14:solidFill>
                    <w14:schemeClr w14:val="tx1"/>
                  </w14:solidFill>
                </w14:textFill>
              </w:rPr>
              <w:fldChar w:fldCharType="end"/>
            </w:r>
            <w:r>
              <w:rPr>
                <w:color w:val="000000" w:themeColor="text1"/>
                <w:spacing w:val="7"/>
                <w:highlight w:val="none"/>
                <w:u w:val="single"/>
                <w:lang w:eastAsia="zh-CN"/>
                <w14:textFill>
                  <w14:solidFill>
                    <w14:schemeClr w14:val="tx1"/>
                  </w14:solidFill>
                </w14:textFill>
              </w:rPr>
              <w:t>“全国公路建设市场监督管理系统</w:t>
            </w:r>
            <w:r>
              <w:rPr>
                <w:color w:val="000000" w:themeColor="text1"/>
                <w:spacing w:val="-70"/>
                <w:highlight w:val="none"/>
                <w:u w:val="single"/>
                <w:lang w:eastAsia="zh-CN"/>
                <w14:textFill>
                  <w14:solidFill>
                    <w14:schemeClr w14:val="tx1"/>
                  </w14:solidFill>
                </w14:textFill>
              </w:rPr>
              <w:t xml:space="preserve"> </w:t>
            </w:r>
            <w:r>
              <w:rPr>
                <w:color w:val="000000" w:themeColor="text1"/>
                <w:spacing w:val="7"/>
                <w:highlight w:val="none"/>
                <w:u w:val="single"/>
                <w:lang w:eastAsia="zh-CN"/>
                <w14:textFill>
                  <w14:solidFill>
                    <w14:schemeClr w14:val="tx1"/>
                  </w14:solidFill>
                </w14:textFill>
              </w:rPr>
              <w:t>”上的交工</w:t>
            </w:r>
            <w:r>
              <w:rPr>
                <w:color w:val="000000" w:themeColor="text1"/>
                <w:spacing w:val="6"/>
                <w:highlight w:val="none"/>
                <w:u w:val="single"/>
                <w:lang w:eastAsia="zh-CN"/>
                <w14:textFill>
                  <w14:solidFill>
                    <w14:schemeClr w14:val="tx1"/>
                  </w14:solidFill>
                </w14:textFill>
              </w:rPr>
              <w:t>验收或</w:t>
            </w:r>
            <w:r>
              <w:rPr>
                <w:color w:val="000000" w:themeColor="text1"/>
                <w:spacing w:val="10"/>
                <w:highlight w:val="none"/>
                <w:u w:val="single"/>
                <w:lang w:eastAsia="zh-CN"/>
                <w14:textFill>
                  <w14:solidFill>
                    <w14:schemeClr w14:val="tx1"/>
                  </w14:solidFill>
                </w14:textFill>
              </w:rPr>
              <w:t>未交工验收一次性竣工验收的时间为准。</w:t>
            </w:r>
          </w:p>
          <w:p w14:paraId="18322D55">
            <w:pPr>
              <w:pStyle w:val="124"/>
              <w:spacing w:line="288" w:lineRule="auto"/>
              <w:ind w:left="116" w:right="110" w:firstLine="439"/>
              <w:rPr>
                <w:rFonts w:hint="eastAsia"/>
                <w:color w:val="000000" w:themeColor="text1"/>
                <w:spacing w:val="8"/>
                <w:highlight w:val="none"/>
                <w:lang w:eastAsia="zh-CN"/>
                <w14:textFill>
                  <w14:solidFill>
                    <w14:schemeClr w14:val="tx1"/>
                  </w14:solidFill>
                </w14:textFill>
              </w:rPr>
            </w:pPr>
            <w:r>
              <w:rPr>
                <w:rFonts w:hint="eastAsia"/>
                <w:color w:val="000000" w:themeColor="text1"/>
                <w:spacing w:val="6"/>
                <w:highlight w:val="none"/>
                <w:lang w:eastAsia="zh-CN"/>
                <w14:textFill>
                  <w14:solidFill>
                    <w14:schemeClr w14:val="tx1"/>
                  </w14:solidFill>
                </w14:textFill>
              </w:rPr>
              <w:t>☑</w:t>
            </w:r>
            <w:r>
              <w:rPr>
                <w:color w:val="000000" w:themeColor="text1"/>
                <w:spacing w:val="6"/>
                <w:highlight w:val="none"/>
                <w:u w:val="single"/>
                <w:lang w:eastAsia="zh-CN"/>
                <w14:textFill>
                  <w14:solidFill>
                    <w14:schemeClr w14:val="tx1"/>
                  </w14:solidFill>
                </w14:textFill>
              </w:rPr>
              <w:t>“全国公路建设市场监督管理系统</w:t>
            </w:r>
            <w:r>
              <w:rPr>
                <w:color w:val="000000" w:themeColor="text1"/>
                <w:spacing w:val="-52"/>
                <w:highlight w:val="none"/>
                <w:u w:val="single"/>
                <w:lang w:eastAsia="zh-CN"/>
                <w14:textFill>
                  <w14:solidFill>
                    <w14:schemeClr w14:val="tx1"/>
                  </w14:solidFill>
                </w14:textFill>
              </w:rPr>
              <w:t xml:space="preserve"> </w:t>
            </w:r>
            <w:r>
              <w:rPr>
                <w:color w:val="000000" w:themeColor="text1"/>
                <w:spacing w:val="6"/>
                <w:highlight w:val="none"/>
                <w:u w:val="single"/>
                <w:lang w:eastAsia="zh-CN"/>
                <w14:textFill>
                  <w14:solidFill>
                    <w14:schemeClr w14:val="tx1"/>
                  </w14:solidFill>
                </w14:textFill>
              </w:rPr>
              <w:t>”或省级交通运输</w:t>
            </w:r>
            <w:r>
              <w:rPr>
                <w:color w:val="000000" w:themeColor="text1"/>
                <w:spacing w:val="8"/>
                <w:highlight w:val="none"/>
                <w:u w:val="single"/>
                <w:lang w:eastAsia="zh-CN"/>
                <w14:textFill>
                  <w14:solidFill>
                    <w14:schemeClr w14:val="tx1"/>
                  </w14:solidFill>
                </w14:textFill>
              </w:rPr>
              <w:t>主管部门“公路建设市场监督管理系统</w:t>
            </w:r>
            <w:r>
              <w:rPr>
                <w:color w:val="000000" w:themeColor="text1"/>
                <w:spacing w:val="-70"/>
                <w:highlight w:val="none"/>
                <w:u w:val="single"/>
                <w:lang w:eastAsia="zh-CN"/>
                <w14:textFill>
                  <w14:solidFill>
                    <w14:schemeClr w14:val="tx1"/>
                  </w14:solidFill>
                </w14:textFill>
              </w:rPr>
              <w:t xml:space="preserve"> </w:t>
            </w:r>
            <w:r>
              <w:rPr>
                <w:color w:val="000000" w:themeColor="text1"/>
                <w:spacing w:val="8"/>
                <w:highlight w:val="none"/>
                <w:u w:val="single"/>
                <w:lang w:eastAsia="zh-CN"/>
                <w14:textFill>
                  <w14:solidFill>
                    <w14:schemeClr w14:val="tx1"/>
                  </w14:solidFill>
                </w14:textFill>
              </w:rPr>
              <w:t>”上的</w:t>
            </w:r>
            <w:r>
              <w:rPr>
                <w:color w:val="000000" w:themeColor="text1"/>
                <w:spacing w:val="7"/>
                <w:highlight w:val="none"/>
                <w:u w:val="single"/>
                <w:lang w:eastAsia="zh-CN"/>
                <w14:textFill>
                  <w14:solidFill>
                    <w14:schemeClr w14:val="tx1"/>
                  </w14:solidFill>
                </w14:textFill>
              </w:rPr>
              <w:t>交工验收或未</w:t>
            </w:r>
            <w:r>
              <w:rPr>
                <w:color w:val="000000" w:themeColor="text1"/>
                <w:spacing w:val="8"/>
                <w:highlight w:val="none"/>
                <w:u w:val="single"/>
                <w:lang w:eastAsia="zh-CN"/>
                <w14:textFill>
                  <w14:solidFill>
                    <w14:schemeClr w14:val="tx1"/>
                  </w14:solidFill>
                </w14:textFill>
              </w:rPr>
              <w:t>交工验收一次性竣工验收的时间</w:t>
            </w:r>
            <w:r>
              <w:rPr>
                <w:color w:val="000000" w:themeColor="text1"/>
                <w:spacing w:val="8"/>
                <w:highlight w:val="none"/>
                <w:lang w:eastAsia="zh-CN"/>
                <w14:textFill>
                  <w14:solidFill>
                    <w14:schemeClr w14:val="tx1"/>
                  </w14:solidFill>
                </w14:textFill>
              </w:rPr>
              <w:t>。</w:t>
            </w:r>
          </w:p>
          <w:p w14:paraId="01EE21CD">
            <w:pPr>
              <w:pStyle w:val="124"/>
              <w:spacing w:line="288" w:lineRule="auto"/>
              <w:ind w:left="116" w:right="110" w:firstLine="439"/>
              <w:rPr>
                <w:rFonts w:ascii="Calibri" w:hAnsi="Calibri"/>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w:t>
            </w:r>
            <w:r>
              <w:rPr>
                <w:rFonts w:hint="eastAsia"/>
                <w:color w:val="000000" w:themeColor="text1"/>
                <w:highlight w:val="none"/>
                <w:u w:val="single"/>
                <w:lang w:eastAsia="zh-CN"/>
                <w14:textFill>
                  <w14:solidFill>
                    <w14:schemeClr w14:val="tx1"/>
                  </w14:solidFill>
                </w14:textFill>
              </w:rPr>
              <w:t>业绩</w:t>
            </w:r>
            <w:r>
              <w:rPr>
                <w:color w:val="000000" w:themeColor="text1"/>
                <w:spacing w:val="9"/>
                <w:highlight w:val="none"/>
                <w:u w:val="single"/>
                <w:lang w:eastAsia="zh-CN"/>
                <w14:textFill>
                  <w14:solidFill>
                    <w14:schemeClr w14:val="tx1"/>
                  </w14:solidFill>
                </w14:textFill>
              </w:rPr>
              <w:t>证明材料签发时间为准。</w:t>
            </w:r>
          </w:p>
        </w:tc>
      </w:tr>
      <w:tr w14:paraId="27B7E76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829"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5114E62B">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3.6.1</w:t>
            </w:r>
          </w:p>
        </w:tc>
        <w:tc>
          <w:tcPr>
            <w:tcW w:w="2443" w:type="dxa"/>
            <w:tcBorders>
              <w:top w:val="single" w:color="000000" w:sz="4" w:space="0"/>
              <w:left w:val="single" w:color="000000" w:sz="4" w:space="0"/>
              <w:bottom w:val="single" w:color="000000" w:sz="4" w:space="0"/>
              <w:right w:val="single" w:color="000000" w:sz="4" w:space="0"/>
            </w:tcBorders>
            <w:vAlign w:val="center"/>
          </w:tcPr>
          <w:p w14:paraId="464C7961">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是否允许递交备选投标方案</w:t>
            </w:r>
          </w:p>
        </w:tc>
        <w:tc>
          <w:tcPr>
            <w:tcW w:w="6738" w:type="dxa"/>
            <w:tcBorders>
              <w:top w:val="single" w:color="000000" w:sz="4" w:space="0"/>
              <w:left w:val="single" w:color="000000" w:sz="4" w:space="0"/>
              <w:bottom w:val="single" w:color="000000" w:sz="4" w:space="0"/>
              <w:right w:val="single" w:color="000000" w:sz="12" w:space="0"/>
            </w:tcBorders>
            <w:vAlign w:val="center"/>
          </w:tcPr>
          <w:p w14:paraId="7C8C1113">
            <w:pPr>
              <w:ind w:left="113" w:right="113"/>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ascii="宋体" w:hAnsi="宋体"/>
                <w:color w:val="000000" w:themeColor="text1"/>
                <w:sz w:val="24"/>
                <w:highlight w:val="none"/>
                <w14:textFill>
                  <w14:solidFill>
                    <w14:schemeClr w14:val="tx1"/>
                  </w14:solidFill>
                </w14:textFill>
              </w:rPr>
              <w:t>不允许</w:t>
            </w:r>
          </w:p>
          <w:p w14:paraId="236749A1">
            <w:pPr>
              <w:ind w:right="113" w:firstLine="120"/>
              <w:rPr>
                <w:rFonts w:ascii="Calibri" w:hAnsi="Calibri"/>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□允许</w:t>
            </w:r>
          </w:p>
        </w:tc>
      </w:tr>
      <w:tr w14:paraId="69E8D644">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2"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27DBC5FF">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3.7.4</w:t>
            </w:r>
          </w:p>
        </w:tc>
        <w:tc>
          <w:tcPr>
            <w:tcW w:w="2443" w:type="dxa"/>
            <w:tcBorders>
              <w:top w:val="single" w:color="000000" w:sz="4" w:space="0"/>
              <w:left w:val="single" w:color="000000" w:sz="4" w:space="0"/>
              <w:bottom w:val="single" w:color="000000" w:sz="4" w:space="0"/>
              <w:right w:val="single" w:color="000000" w:sz="4" w:space="0"/>
            </w:tcBorders>
            <w:vAlign w:val="center"/>
          </w:tcPr>
          <w:p w14:paraId="19019E06">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投标文件的其他要求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7A444387">
            <w:pPr>
              <w:pStyle w:val="113"/>
              <w:wordWrap w:val="0"/>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（1）投标文件的页码起始从封面开始。</w:t>
            </w:r>
          </w:p>
          <w:p w14:paraId="435FD5A4">
            <w:pPr>
              <w:pStyle w:val="113"/>
              <w:wordWrap w:val="0"/>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（2）电子投标解密失败及突发情况的补救</w:t>
            </w:r>
          </w:p>
          <w:p w14:paraId="20309B7D">
            <w:pPr>
              <w:pStyle w:val="113"/>
              <w:wordWrap w:val="0"/>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按照交易平台关于全流程电子化项目的相关指引进行操作。详见：全国公共资源交易平台（广东省·韶关市）（https://ygp.gdzwfw.gov.cn/ggzy-portal/#/440200/index）交易指引栏目发布的最新版操作指引。  </w:t>
            </w:r>
          </w:p>
          <w:p w14:paraId="695D03A9">
            <w:pPr>
              <w:pStyle w:val="113"/>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p>
          <w:p w14:paraId="52E9C8A9">
            <w:pPr>
              <w:pStyle w:val="113"/>
              <w:spacing w:line="360" w:lineRule="auto"/>
              <w:ind w:firstLine="48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34FAAE49">
            <w:pPr>
              <w:pStyle w:val="113"/>
              <w:spacing w:line="360" w:lineRule="auto"/>
              <w:ind w:firstLine="480" w:firstLineChars="200"/>
              <w:jc w:val="left"/>
              <w:rPr>
                <w:rFonts w:ascii="Calibri" w:hAnsi="Calibri"/>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（3）除发生上述情况外，开标评标均以投标人通过交易平台网上递交的电子投标文件为准。</w:t>
            </w:r>
          </w:p>
        </w:tc>
      </w:tr>
      <w:tr w14:paraId="2D1F39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2DA58336">
            <w:pPr>
              <w:jc w:val="center"/>
              <w:rPr>
                <w:rFonts w:ascii="Calibri" w:hAnsi="Calibri"/>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5.1</w:t>
            </w:r>
          </w:p>
        </w:tc>
        <w:tc>
          <w:tcPr>
            <w:tcW w:w="2443" w:type="dxa"/>
            <w:tcBorders>
              <w:top w:val="single" w:color="auto" w:sz="4" w:space="0"/>
              <w:left w:val="single" w:color="auto" w:sz="4" w:space="0"/>
              <w:bottom w:val="single" w:color="auto" w:sz="4" w:space="0"/>
              <w:right w:val="single" w:color="auto" w:sz="4" w:space="0"/>
            </w:tcBorders>
            <w:vAlign w:val="center"/>
          </w:tcPr>
          <w:p w14:paraId="44475C41">
            <w:pPr>
              <w:jc w:val="center"/>
              <w:rPr>
                <w:rFonts w:ascii="Calibri" w:hAnsi="Calibri"/>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开标时间和地点</w:t>
            </w:r>
          </w:p>
        </w:tc>
        <w:tc>
          <w:tcPr>
            <w:tcW w:w="6738" w:type="dxa"/>
            <w:tcBorders>
              <w:top w:val="single" w:color="auto" w:sz="4" w:space="0"/>
              <w:left w:val="single" w:color="auto" w:sz="4" w:space="0"/>
              <w:bottom w:val="single" w:color="auto" w:sz="4" w:space="0"/>
              <w:right w:val="single" w:color="auto" w:sz="12" w:space="0"/>
            </w:tcBorders>
            <w:vAlign w:val="center"/>
          </w:tcPr>
          <w:p w14:paraId="0A398019">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投标文件第一个信封（商务及技术文件）开标时间：</w:t>
            </w:r>
          </w:p>
          <w:p w14:paraId="345E0B4D">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详见“重要事项时间地点一览表”。</w:t>
            </w:r>
          </w:p>
          <w:p w14:paraId="2C08A241">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投标文件第一个信封（商务及技术文件）开标地点：</w:t>
            </w:r>
          </w:p>
          <w:p w14:paraId="4F9ABC67">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详见“重要事项时间地点一览表”。</w:t>
            </w:r>
          </w:p>
          <w:p w14:paraId="75B82BC9">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投标文件第二个信封（报价文件）开标时间：</w:t>
            </w:r>
          </w:p>
          <w:p w14:paraId="778F3366">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只有投标文件第一信封通过详细评审的投标人才能继续参加第二信封（报价文件）的评审。</w:t>
            </w:r>
          </w:p>
          <w:p w14:paraId="08589E44">
            <w:pPr>
              <w:pStyle w:val="113"/>
              <w:spacing w:line="288"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投标文件第二个信封（报价文件）开标地点：</w:t>
            </w:r>
          </w:p>
          <w:p w14:paraId="519339A4">
            <w:pPr>
              <w:pStyle w:val="113"/>
              <w:spacing w:line="288" w:lineRule="auto"/>
              <w:jc w:val="left"/>
              <w:rPr>
                <w:rFonts w:ascii="Calibri" w:hAnsi="Calibri"/>
                <w:color w:val="000000" w:themeColor="text1"/>
                <w:highlight w:val="none"/>
                <w14:textFill>
                  <w14:solidFill>
                    <w14:schemeClr w14:val="tx1"/>
                  </w14:solidFill>
                </w14:textFill>
              </w:rPr>
            </w:pPr>
            <w:r>
              <w:rPr>
                <w:rFonts w:hint="eastAsia" w:ascii="宋体" w:hAnsi="宋体" w:cs="宋体"/>
                <w:color w:val="000000" w:themeColor="text1"/>
                <w:highlight w:val="none"/>
                <w:u w:val="single"/>
                <w14:textFill>
                  <w14:solidFill>
                    <w14:schemeClr w14:val="tx1"/>
                  </w14:solidFill>
                </w14:textFill>
              </w:rPr>
              <w:t>详见“重要事项时间地点一览表”。</w:t>
            </w:r>
          </w:p>
        </w:tc>
      </w:tr>
      <w:tr w14:paraId="39802F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6DB694FE">
            <w:pPr>
              <w:jc w:val="center"/>
              <w:rPr>
                <w:rFonts w:ascii="Calibri" w:hAnsi="Calibri"/>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6.1.1</w:t>
            </w:r>
          </w:p>
        </w:tc>
        <w:tc>
          <w:tcPr>
            <w:tcW w:w="2443" w:type="dxa"/>
            <w:tcBorders>
              <w:top w:val="single" w:color="auto" w:sz="4" w:space="0"/>
              <w:left w:val="single" w:color="auto" w:sz="4" w:space="0"/>
              <w:bottom w:val="single" w:color="auto" w:sz="4" w:space="0"/>
              <w:right w:val="single" w:color="auto" w:sz="4" w:space="0"/>
            </w:tcBorders>
            <w:vAlign w:val="center"/>
          </w:tcPr>
          <w:p w14:paraId="4177A61C">
            <w:pPr>
              <w:jc w:val="center"/>
              <w:rPr>
                <w:rFonts w:ascii="Calibri" w:hAnsi="Calibri"/>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评标委员会的组建</w:t>
            </w:r>
          </w:p>
        </w:tc>
        <w:tc>
          <w:tcPr>
            <w:tcW w:w="6738" w:type="dxa"/>
            <w:tcBorders>
              <w:top w:val="single" w:color="auto" w:sz="4" w:space="0"/>
              <w:left w:val="single" w:color="auto" w:sz="4" w:space="0"/>
              <w:bottom w:val="single" w:color="auto" w:sz="4" w:space="0"/>
              <w:right w:val="single" w:color="auto" w:sz="12" w:space="0"/>
            </w:tcBorders>
            <w:vAlign w:val="center"/>
          </w:tcPr>
          <w:p w14:paraId="474482A7">
            <w:pPr>
              <w:ind w:left="113" w:right="11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评标委员会构成：</w:t>
            </w:r>
            <w:r>
              <w:rPr>
                <w:rFonts w:hint="eastAsia" w:ascii="宋体" w:hAnsi="宋体" w:cs="宋体"/>
                <w:color w:val="000000" w:themeColor="text1"/>
                <w:sz w:val="24"/>
                <w:highlight w:val="none"/>
                <w:u w:val="single"/>
                <w14:textFill>
                  <w14:solidFill>
                    <w14:schemeClr w14:val="tx1"/>
                  </w14:solidFill>
                </w14:textFill>
              </w:rPr>
              <w:t>9人</w:t>
            </w:r>
            <w:r>
              <w:rPr>
                <w:rFonts w:hint="eastAsia" w:ascii="宋体" w:hAnsi="宋体" w:cs="宋体"/>
                <w:color w:val="000000" w:themeColor="text1"/>
                <w:sz w:val="24"/>
                <w:highlight w:val="none"/>
                <w14:textFill>
                  <w14:solidFill>
                    <w14:schemeClr w14:val="tx1"/>
                  </w14:solidFill>
                </w14:textFill>
              </w:rPr>
              <w:t>，其中招标人代表</w:t>
            </w:r>
            <w:r>
              <w:rPr>
                <w:rFonts w:hint="eastAsia" w:ascii="宋体" w:hAnsi="宋体" w:cs="宋体"/>
                <w:color w:val="000000" w:themeColor="text1"/>
                <w:sz w:val="24"/>
                <w:highlight w:val="none"/>
                <w:u w:val="single"/>
                <w:lang w:val="en-US" w:eastAsia="zh-CN"/>
                <w14:textFill>
                  <w14:solidFill>
                    <w14:schemeClr w14:val="tx1"/>
                  </w14:solidFill>
                </w14:textFill>
              </w:rPr>
              <w:t>0</w:t>
            </w:r>
            <w:r>
              <w:rPr>
                <w:rFonts w:hint="eastAsia" w:ascii="宋体" w:hAnsi="宋体" w:cs="宋体"/>
                <w:color w:val="000000" w:themeColor="text1"/>
                <w:sz w:val="24"/>
                <w:highlight w:val="none"/>
                <w14:textFill>
                  <w14:solidFill>
                    <w14:schemeClr w14:val="tx1"/>
                  </w14:solidFill>
                </w14:textFill>
              </w:rPr>
              <w:t>人，评标专家</w:t>
            </w:r>
            <w:r>
              <w:rPr>
                <w:rFonts w:hint="eastAsia" w:ascii="宋体" w:hAnsi="宋体" w:cs="宋体"/>
                <w:color w:val="000000" w:themeColor="text1"/>
                <w:sz w:val="24"/>
                <w:highlight w:val="none"/>
                <w:u w:val="single"/>
                <w:lang w:val="en-US" w:eastAsia="zh-CN"/>
                <w14:textFill>
                  <w14:solidFill>
                    <w14:schemeClr w14:val="tx1"/>
                  </w14:solidFill>
                </w14:textFill>
              </w:rPr>
              <w:t>9</w:t>
            </w:r>
            <w:r>
              <w:rPr>
                <w:rFonts w:hint="eastAsia" w:ascii="宋体" w:hAnsi="宋体" w:cs="宋体"/>
                <w:color w:val="000000" w:themeColor="text1"/>
                <w:sz w:val="24"/>
                <w:highlight w:val="none"/>
                <w14:textFill>
                  <w14:solidFill>
                    <w14:schemeClr w14:val="tx1"/>
                  </w14:solidFill>
                </w14:textFill>
              </w:rPr>
              <w:t>人</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其中技术</w:t>
            </w:r>
            <w:r>
              <w:rPr>
                <w:rFonts w:hint="eastAsia" w:ascii="宋体" w:hAnsi="宋体" w:cs="宋体"/>
                <w:color w:val="000000" w:themeColor="text1"/>
                <w:sz w:val="24"/>
                <w:highlight w:val="none"/>
                <w:lang w:val="en-US" w:eastAsia="zh-CN"/>
                <w14:textFill>
                  <w14:solidFill>
                    <w14:schemeClr w14:val="tx1"/>
                  </w14:solidFill>
                </w14:textFill>
              </w:rPr>
              <w:t>类专家6人</w:t>
            </w:r>
            <w:r>
              <w:rPr>
                <w:rFonts w:hint="eastAsia" w:ascii="宋体" w:hAnsi="宋体" w:cs="宋体"/>
                <w:color w:val="000000" w:themeColor="text1"/>
                <w:sz w:val="24"/>
                <w:highlight w:val="none"/>
                <w14:textFill>
                  <w14:solidFill>
                    <w14:schemeClr w14:val="tx1"/>
                  </w14:solidFill>
                </w14:textFill>
              </w:rPr>
              <w:t>、经济</w:t>
            </w:r>
            <w:r>
              <w:rPr>
                <w:rFonts w:hint="eastAsia" w:ascii="宋体" w:hAnsi="宋体" w:cs="宋体"/>
                <w:color w:val="000000" w:themeColor="text1"/>
                <w:sz w:val="24"/>
                <w:highlight w:val="none"/>
                <w:lang w:val="en-US" w:eastAsia="zh-CN"/>
                <w14:textFill>
                  <w14:solidFill>
                    <w14:schemeClr w14:val="tx1"/>
                  </w14:solidFill>
                </w14:textFill>
              </w:rPr>
              <w:t>类专家3人）</w:t>
            </w:r>
            <w:r>
              <w:rPr>
                <w:rFonts w:hint="eastAsia" w:ascii="宋体" w:hAnsi="宋体" w:cs="宋体"/>
                <w:color w:val="000000" w:themeColor="text1"/>
                <w:sz w:val="24"/>
                <w:highlight w:val="none"/>
                <w14:textFill>
                  <w14:solidFill>
                    <w14:schemeClr w14:val="tx1"/>
                  </w14:solidFill>
                </w14:textFill>
              </w:rPr>
              <w:t>。</w:t>
            </w:r>
          </w:p>
          <w:p w14:paraId="04E21FE5">
            <w:pPr>
              <w:ind w:left="113" w:right="113"/>
              <w:rPr>
                <w:rFonts w:ascii="Calibri" w:hAnsi="Calibri"/>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评标专家确定方式：依法从广东省综合评标评审专家库（韶关区域）随机抽取。</w:t>
            </w:r>
          </w:p>
        </w:tc>
      </w:tr>
      <w:tr w14:paraId="7945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03C31B85">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6.3.2</w:t>
            </w:r>
          </w:p>
        </w:tc>
        <w:tc>
          <w:tcPr>
            <w:tcW w:w="2443" w:type="dxa"/>
            <w:tcBorders>
              <w:top w:val="single" w:color="auto" w:sz="4" w:space="0"/>
              <w:left w:val="single" w:color="auto" w:sz="4" w:space="0"/>
              <w:bottom w:val="single" w:color="auto" w:sz="4" w:space="0"/>
              <w:right w:val="single" w:color="auto" w:sz="4" w:space="0"/>
            </w:tcBorders>
            <w:vAlign w:val="center"/>
          </w:tcPr>
          <w:p w14:paraId="3605B93F">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评标委员会推荐</w:t>
            </w:r>
            <w:r>
              <w:rPr>
                <w:rFonts w:hint="eastAsia" w:ascii="宋体" w:hAnsi="宋体"/>
                <w:color w:val="000000" w:themeColor="text1"/>
                <w:sz w:val="24"/>
                <w:highlight w:val="none"/>
                <w:lang w:val="en-US" w:eastAsia="zh-CN"/>
                <w14:textFill>
                  <w14:solidFill>
                    <w14:schemeClr w14:val="tx1"/>
                  </w14:solidFill>
                </w14:textFill>
              </w:rPr>
              <w:t>定</w:t>
            </w:r>
            <w:r>
              <w:rPr>
                <w:rFonts w:hint="eastAsia" w:ascii="宋体" w:hAnsi="宋体"/>
                <w:color w:val="000000" w:themeColor="text1"/>
                <w:sz w:val="24"/>
                <w:highlight w:val="none"/>
                <w14:textFill>
                  <w14:solidFill>
                    <w14:schemeClr w14:val="tx1"/>
                  </w14:solidFill>
                </w14:textFill>
              </w:rPr>
              <w:t>标候选人的人数</w:t>
            </w:r>
          </w:p>
        </w:tc>
        <w:tc>
          <w:tcPr>
            <w:tcW w:w="6738" w:type="dxa"/>
            <w:tcBorders>
              <w:top w:val="single" w:color="auto" w:sz="4" w:space="0"/>
              <w:left w:val="single" w:color="auto" w:sz="4" w:space="0"/>
              <w:bottom w:val="single" w:color="auto" w:sz="4" w:space="0"/>
              <w:right w:val="single" w:color="auto" w:sz="12" w:space="0"/>
            </w:tcBorders>
            <w:vAlign w:val="center"/>
          </w:tcPr>
          <w:p w14:paraId="599802AF">
            <w:pPr>
              <w:ind w:left="147" w:leftChars="70"/>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5</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名（评标办法规定的特殊情况按实际数量推荐）</w:t>
            </w:r>
          </w:p>
        </w:tc>
      </w:tr>
      <w:tr w14:paraId="78BCBE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4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0DB152CD">
            <w:pPr>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1</w:t>
            </w:r>
          </w:p>
        </w:tc>
        <w:tc>
          <w:tcPr>
            <w:tcW w:w="2443" w:type="dxa"/>
            <w:tcBorders>
              <w:top w:val="single" w:color="auto" w:sz="4" w:space="0"/>
              <w:left w:val="single" w:color="auto" w:sz="4" w:space="0"/>
              <w:bottom w:val="single" w:color="auto" w:sz="4" w:space="0"/>
              <w:right w:val="single" w:color="auto" w:sz="4" w:space="0"/>
            </w:tcBorders>
            <w:vAlign w:val="center"/>
          </w:tcPr>
          <w:p w14:paraId="20FC839A">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定</w:t>
            </w:r>
            <w:r>
              <w:rPr>
                <w:rFonts w:hint="eastAsia" w:ascii="宋体" w:hAnsi="宋体"/>
                <w:color w:val="000000" w:themeColor="text1"/>
                <w:sz w:val="24"/>
                <w:highlight w:val="none"/>
                <w14:textFill>
                  <w14:solidFill>
                    <w14:schemeClr w14:val="tx1"/>
                  </w14:solidFill>
                </w14:textFill>
              </w:rPr>
              <w:t>标候选人公示媒介</w:t>
            </w:r>
          </w:p>
          <w:p w14:paraId="38451D53">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及期限</w:t>
            </w:r>
          </w:p>
        </w:tc>
        <w:tc>
          <w:tcPr>
            <w:tcW w:w="6738" w:type="dxa"/>
            <w:tcBorders>
              <w:top w:val="single" w:color="auto" w:sz="4" w:space="0"/>
              <w:left w:val="single" w:color="auto" w:sz="4" w:space="0"/>
              <w:bottom w:val="single" w:color="auto" w:sz="4" w:space="0"/>
              <w:right w:val="single" w:color="auto" w:sz="12" w:space="0"/>
            </w:tcBorders>
            <w:vAlign w:val="center"/>
          </w:tcPr>
          <w:p w14:paraId="101B6CC1">
            <w:pPr>
              <w:wordWrap w:val="0"/>
              <w:spacing w:line="276" w:lineRule="auto"/>
              <w:ind w:left="147" w:leftChars="70"/>
              <w:jc w:val="left"/>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公示媒介：广东省招标投标监管网（http://zbtb.gd.gov.cn）、全国公共资源交易平台 （广东省·韶关市）（https://ygp.gdzwfw.gov.cn/ggzy-portal/#/440200/index）</w:t>
            </w:r>
          </w:p>
          <w:p w14:paraId="312957B8">
            <w:pPr>
              <w:spacing w:line="276" w:lineRule="auto"/>
              <w:ind w:left="147" w:leftChars="70"/>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公示期限：</w:t>
            </w:r>
            <w:r>
              <w:rPr>
                <w:rFonts w:hint="eastAsia" w:ascii="宋体" w:hAnsi="宋体"/>
                <w:color w:val="000000" w:themeColor="text1"/>
                <w:sz w:val="24"/>
                <w:highlight w:val="none"/>
                <w:u w:val="single"/>
                <w14:textFill>
                  <w14:solidFill>
                    <w14:schemeClr w14:val="tx1"/>
                  </w14:solidFill>
                </w14:textFill>
              </w:rPr>
              <w:t xml:space="preserve"> 3 </w:t>
            </w:r>
            <w:r>
              <w:rPr>
                <w:rFonts w:hint="eastAsia" w:ascii="宋体" w:hAnsi="宋体"/>
                <w:color w:val="000000" w:themeColor="text1"/>
                <w:sz w:val="24"/>
                <w:highlight w:val="none"/>
                <w14:textFill>
                  <w14:solidFill>
                    <w14:schemeClr w14:val="tx1"/>
                  </w14:solidFill>
                </w14:textFill>
              </w:rPr>
              <w:t>日</w:t>
            </w:r>
          </w:p>
          <w:p w14:paraId="7E73210A">
            <w:pPr>
              <w:ind w:left="145" w:leftChars="6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公示的其他内容：</w:t>
            </w:r>
            <w:r>
              <w:rPr>
                <w:rFonts w:hint="eastAsia" w:ascii="宋体" w:hAnsi="宋体"/>
                <w:color w:val="000000" w:themeColor="text1"/>
                <w:sz w:val="24"/>
                <w:highlight w:val="none"/>
                <w:u w:val="single"/>
                <w14:textFill>
                  <w14:solidFill>
                    <w14:schemeClr w14:val="tx1"/>
                  </w14:solidFill>
                </w14:textFill>
              </w:rPr>
              <w:t>中标候选人的投标文件、评标报告（含资审结果）、最新年度 AA、A 级投标人的信用等级使用情况及所有承诺使用最新年度AA、A级投标人的年度信用等级使用情况。</w:t>
            </w:r>
          </w:p>
        </w:tc>
      </w:tr>
      <w:tr w14:paraId="12C2F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79"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5D495079">
            <w:pPr>
              <w:jc w:val="center"/>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7.3</w:t>
            </w:r>
          </w:p>
        </w:tc>
        <w:tc>
          <w:tcPr>
            <w:tcW w:w="2443" w:type="dxa"/>
            <w:tcBorders>
              <w:top w:val="single" w:color="auto" w:sz="4" w:space="0"/>
              <w:left w:val="single" w:color="auto" w:sz="4" w:space="0"/>
              <w:bottom w:val="single" w:color="auto" w:sz="4" w:space="0"/>
              <w:right w:val="single" w:color="auto" w:sz="4" w:space="0"/>
            </w:tcBorders>
            <w:vAlign w:val="center"/>
          </w:tcPr>
          <w:p w14:paraId="5D6E957E">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是否授权</w:t>
            </w:r>
            <w:r>
              <w:rPr>
                <w:rFonts w:hint="eastAsia" w:ascii="宋体" w:hAnsi="宋体" w:cs="宋体"/>
                <w:color w:val="000000" w:themeColor="text1"/>
                <w:sz w:val="24"/>
                <w:highlight w:val="none"/>
                <w:lang w:val="en-US" w:eastAsia="zh-CN"/>
                <w14:textFill>
                  <w14:solidFill>
                    <w14:schemeClr w14:val="tx1"/>
                  </w14:solidFill>
                </w14:textFill>
              </w:rPr>
              <w:t>评</w:t>
            </w:r>
            <w:r>
              <w:rPr>
                <w:rFonts w:hint="eastAsia" w:ascii="宋体" w:hAnsi="宋体" w:cs="宋体"/>
                <w:color w:val="000000" w:themeColor="text1"/>
                <w:sz w:val="24"/>
                <w:highlight w:val="none"/>
                <w14:textFill>
                  <w14:solidFill>
                    <w14:schemeClr w14:val="tx1"/>
                  </w14:solidFill>
                </w14:textFill>
              </w:rPr>
              <w:t>标委员会确定中标人</w:t>
            </w:r>
          </w:p>
        </w:tc>
        <w:tc>
          <w:tcPr>
            <w:tcW w:w="6738" w:type="dxa"/>
            <w:tcBorders>
              <w:top w:val="single" w:color="auto" w:sz="4" w:space="0"/>
              <w:left w:val="single" w:color="auto" w:sz="4" w:space="0"/>
              <w:bottom w:val="single" w:color="auto" w:sz="4" w:space="0"/>
              <w:right w:val="single" w:color="auto" w:sz="12" w:space="0"/>
            </w:tcBorders>
            <w:vAlign w:val="center"/>
          </w:tcPr>
          <w:p w14:paraId="5811E8DF">
            <w:pPr>
              <w:ind w:left="113" w:right="11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是</w:t>
            </w:r>
          </w:p>
          <w:p w14:paraId="5255BD9F">
            <w:pPr>
              <w:ind w:left="113" w:leftChars="0" w:right="113" w:rightChars="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否</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由定标委员会确定中标人</w:t>
            </w:r>
            <w:r>
              <w:rPr>
                <w:rFonts w:hint="eastAsia" w:ascii="宋体" w:hAnsi="宋体" w:cs="宋体"/>
                <w:color w:val="000000" w:themeColor="text1"/>
                <w:sz w:val="24"/>
                <w:highlight w:val="none"/>
                <w:lang w:eastAsia="zh-CN"/>
                <w14:textFill>
                  <w14:solidFill>
                    <w14:schemeClr w14:val="tx1"/>
                  </w14:solidFill>
                </w14:textFill>
              </w:rPr>
              <w:t>。</w:t>
            </w:r>
          </w:p>
        </w:tc>
      </w:tr>
      <w:tr w14:paraId="6827A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55757E5B">
            <w:pPr>
              <w:jc w:val="center"/>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7.3.1</w:t>
            </w:r>
          </w:p>
        </w:tc>
        <w:tc>
          <w:tcPr>
            <w:tcW w:w="2443" w:type="dxa"/>
            <w:tcBorders>
              <w:top w:val="single" w:color="auto" w:sz="4" w:space="0"/>
              <w:left w:val="single" w:color="auto" w:sz="4" w:space="0"/>
              <w:bottom w:val="single" w:color="auto" w:sz="4" w:space="0"/>
              <w:right w:val="single" w:color="auto" w:sz="4" w:space="0"/>
            </w:tcBorders>
            <w:vAlign w:val="center"/>
          </w:tcPr>
          <w:p w14:paraId="2B91C229">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定标时间和地点</w:t>
            </w:r>
          </w:p>
        </w:tc>
        <w:tc>
          <w:tcPr>
            <w:tcW w:w="6738" w:type="dxa"/>
            <w:tcBorders>
              <w:top w:val="single" w:color="auto" w:sz="4" w:space="0"/>
              <w:left w:val="single" w:color="auto" w:sz="4" w:space="0"/>
              <w:bottom w:val="single" w:color="auto" w:sz="4" w:space="0"/>
              <w:right w:val="single" w:color="auto" w:sz="12" w:space="0"/>
            </w:tcBorders>
            <w:vAlign w:val="center"/>
          </w:tcPr>
          <w:p w14:paraId="489A4405">
            <w:pPr>
              <w:tabs>
                <w:tab w:val="left" w:pos="6040"/>
              </w:tabs>
              <w:wordWrap w:val="0"/>
              <w:spacing w:line="276" w:lineRule="auto"/>
              <w:ind w:left="147" w:leftChars="70" w:right="111" w:rightChars="53"/>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定标时间：定标候选人公示结束后5个工作日内。</w:t>
            </w:r>
          </w:p>
          <w:p w14:paraId="02508A58">
            <w:pPr>
              <w:tabs>
                <w:tab w:val="left" w:pos="6040"/>
              </w:tabs>
              <w:wordWrap w:val="0"/>
              <w:spacing w:line="276" w:lineRule="auto"/>
              <w:ind w:left="147" w:leftChars="70" w:right="111" w:rightChars="53"/>
              <w:jc w:val="left"/>
              <w:rPr>
                <w:rFonts w:hint="eastAsia" w:ascii="宋体" w:hAnsi="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定标地点：同开标地点。</w:t>
            </w:r>
          </w:p>
        </w:tc>
      </w:tr>
      <w:tr w14:paraId="5D986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6C616768">
            <w:pPr>
              <w:jc w:val="center"/>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7.3.2</w:t>
            </w:r>
          </w:p>
        </w:tc>
        <w:tc>
          <w:tcPr>
            <w:tcW w:w="2443" w:type="dxa"/>
            <w:tcBorders>
              <w:top w:val="single" w:color="auto" w:sz="4" w:space="0"/>
              <w:left w:val="single" w:color="auto" w:sz="4" w:space="0"/>
              <w:bottom w:val="single" w:color="auto" w:sz="4" w:space="0"/>
              <w:right w:val="single" w:color="auto" w:sz="4" w:space="0"/>
            </w:tcBorders>
            <w:vAlign w:val="center"/>
          </w:tcPr>
          <w:p w14:paraId="516F4A7E">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招标监督小组的组建</w:t>
            </w:r>
          </w:p>
        </w:tc>
        <w:tc>
          <w:tcPr>
            <w:tcW w:w="6738" w:type="dxa"/>
            <w:tcBorders>
              <w:top w:val="single" w:color="auto" w:sz="4" w:space="0"/>
              <w:left w:val="single" w:color="auto" w:sz="4" w:space="0"/>
              <w:bottom w:val="single" w:color="auto" w:sz="4" w:space="0"/>
              <w:right w:val="single" w:color="auto" w:sz="12" w:space="0"/>
            </w:tcBorders>
            <w:vAlign w:val="center"/>
          </w:tcPr>
          <w:p w14:paraId="6E033931">
            <w:pPr>
              <w:tabs>
                <w:tab w:val="left" w:pos="6060"/>
              </w:tabs>
              <w:ind w:left="145" w:leftChars="69" w:right="71" w:rightChars="34"/>
              <w:rPr>
                <w:rFonts w:hint="eastAsia" w:ascii="宋体" w:hAnsi="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监督小组构成：</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3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人，监督小组成员</w:t>
            </w:r>
            <w:r>
              <w:rPr>
                <w:rFonts w:hint="eastAsia" w:ascii="宋体" w:hAnsi="宋体" w:cs="宋体"/>
                <w:color w:val="000000" w:themeColor="text1"/>
                <w:kern w:val="0"/>
                <w:sz w:val="24"/>
                <w:highlight w:val="none"/>
                <w:lang w:val="en-US" w:eastAsia="zh-CN"/>
                <w14:textFill>
                  <w14:solidFill>
                    <w14:schemeClr w14:val="tx1"/>
                  </w14:solidFill>
                </w14:textFill>
              </w:rPr>
              <w:t>由招标人直接委派，并确定一名组长负责统筹监督工作。</w:t>
            </w:r>
          </w:p>
        </w:tc>
      </w:tr>
      <w:tr w14:paraId="5F538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6"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264B7473">
            <w:pPr>
              <w:jc w:val="center"/>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7.3.3</w:t>
            </w:r>
          </w:p>
        </w:tc>
        <w:tc>
          <w:tcPr>
            <w:tcW w:w="2443" w:type="dxa"/>
            <w:tcBorders>
              <w:top w:val="single" w:color="auto" w:sz="4" w:space="0"/>
              <w:left w:val="single" w:color="auto" w:sz="4" w:space="0"/>
              <w:bottom w:val="single" w:color="auto" w:sz="4" w:space="0"/>
              <w:right w:val="single" w:color="auto" w:sz="4" w:space="0"/>
            </w:tcBorders>
            <w:vAlign w:val="center"/>
          </w:tcPr>
          <w:p w14:paraId="2851F134">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定标委员会</w:t>
            </w:r>
            <w:r>
              <w:rPr>
                <w:rFonts w:hint="eastAsia" w:ascii="宋体" w:hAnsi="宋体" w:cs="宋体"/>
                <w:color w:val="000000" w:themeColor="text1"/>
                <w:sz w:val="24"/>
                <w:highlight w:val="none"/>
                <w:lang w:eastAsia="zh-CN"/>
                <w14:textFill>
                  <w14:solidFill>
                    <w14:schemeClr w14:val="tx1"/>
                  </w14:solidFill>
                </w14:textFill>
              </w:rPr>
              <w:t>的</w:t>
            </w:r>
            <w:r>
              <w:rPr>
                <w:rFonts w:hint="eastAsia" w:ascii="宋体" w:hAnsi="宋体" w:cs="宋体"/>
                <w:color w:val="000000" w:themeColor="text1"/>
                <w:sz w:val="24"/>
                <w:highlight w:val="none"/>
                <w14:textFill>
                  <w14:solidFill>
                    <w14:schemeClr w14:val="tx1"/>
                  </w14:solidFill>
                </w14:textFill>
              </w:rPr>
              <w:t>组建</w:t>
            </w:r>
          </w:p>
        </w:tc>
        <w:tc>
          <w:tcPr>
            <w:tcW w:w="6738" w:type="dxa"/>
            <w:tcBorders>
              <w:top w:val="single" w:color="auto" w:sz="4" w:space="0"/>
              <w:left w:val="single" w:color="auto" w:sz="4" w:space="0"/>
              <w:bottom w:val="single" w:color="auto" w:sz="4" w:space="0"/>
              <w:right w:val="single" w:color="auto" w:sz="12" w:space="0"/>
            </w:tcBorders>
            <w:vAlign w:val="center"/>
          </w:tcPr>
          <w:p w14:paraId="7D59A0C0">
            <w:pPr>
              <w:tabs>
                <w:tab w:val="left" w:pos="6100"/>
              </w:tabs>
              <w:ind w:left="145" w:leftChars="69"/>
              <w:rPr>
                <w:rFonts w:hint="eastAsia" w:ascii="宋体" w:hAnsi="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定标委员会构成：</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人。定标委员会由招标人组建，从招标人的领导班子成员、经营管理人员，或具备中级及以上职称、具有注册执业资格证的工程技术（经济）人员中产生，以上人员难以满足时从广东省综合评标评审专家库（</w:t>
            </w:r>
            <w:r>
              <w:rPr>
                <w:rFonts w:hint="eastAsia" w:ascii="宋体" w:hAnsi="宋体" w:cs="宋体"/>
                <w:color w:val="000000" w:themeColor="text1"/>
                <w:sz w:val="24"/>
                <w:szCs w:val="24"/>
                <w:highlight w:val="none"/>
                <w:u w:val="none"/>
                <w:lang w:val="en-US" w:eastAsia="zh-CN"/>
                <w14:textFill>
                  <w14:solidFill>
                    <w14:schemeClr w14:val="tx1"/>
                  </w14:solidFill>
                </w14:textFill>
              </w:rPr>
              <w:t>韶关</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区域）抽取专家补足。</w:t>
            </w:r>
          </w:p>
        </w:tc>
      </w:tr>
      <w:tr w14:paraId="3E9D9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6"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1376A8AF">
            <w:pPr>
              <w:jc w:val="center"/>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7.3.4</w:t>
            </w:r>
          </w:p>
        </w:tc>
        <w:tc>
          <w:tcPr>
            <w:tcW w:w="2443" w:type="dxa"/>
            <w:tcBorders>
              <w:top w:val="single" w:color="auto" w:sz="4" w:space="0"/>
              <w:left w:val="single" w:color="auto" w:sz="4" w:space="0"/>
              <w:bottom w:val="single" w:color="auto" w:sz="4" w:space="0"/>
              <w:right w:val="single" w:color="auto" w:sz="4" w:space="0"/>
            </w:tcBorders>
            <w:vAlign w:val="center"/>
          </w:tcPr>
          <w:p w14:paraId="04E2D8B1">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定标委员会推荐的中标候选人的人数</w:t>
            </w:r>
          </w:p>
        </w:tc>
        <w:tc>
          <w:tcPr>
            <w:tcW w:w="6738" w:type="dxa"/>
            <w:tcBorders>
              <w:top w:val="single" w:color="auto" w:sz="4" w:space="0"/>
              <w:left w:val="single" w:color="auto" w:sz="4" w:space="0"/>
              <w:bottom w:val="single" w:color="auto" w:sz="4" w:space="0"/>
              <w:right w:val="single" w:color="auto" w:sz="12" w:space="0"/>
            </w:tcBorders>
            <w:vAlign w:val="center"/>
          </w:tcPr>
          <w:p w14:paraId="223A51C4">
            <w:pPr>
              <w:tabs>
                <w:tab w:val="left" w:pos="6060"/>
              </w:tabs>
              <w:ind w:right="71" w:rightChars="34"/>
              <w:rPr>
                <w:rFonts w:hint="eastAsia" w:ascii="宋体" w:hAnsi="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3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名</w:t>
            </w:r>
          </w:p>
        </w:tc>
      </w:tr>
      <w:tr w14:paraId="413F15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3E2F073F">
            <w:pPr>
              <w:jc w:val="center"/>
              <w:rPr>
                <w:rFonts w:ascii="Calibri" w:hAnsi="Calibri"/>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7.4</w:t>
            </w:r>
          </w:p>
        </w:tc>
        <w:tc>
          <w:tcPr>
            <w:tcW w:w="2443" w:type="dxa"/>
            <w:tcBorders>
              <w:top w:val="single" w:color="auto" w:sz="4" w:space="0"/>
              <w:left w:val="single" w:color="auto" w:sz="4" w:space="0"/>
              <w:bottom w:val="single" w:color="auto" w:sz="4" w:space="0"/>
              <w:right w:val="single" w:color="auto" w:sz="4" w:space="0"/>
            </w:tcBorders>
            <w:vAlign w:val="center"/>
          </w:tcPr>
          <w:p w14:paraId="3CEFEA29">
            <w:pPr>
              <w:jc w:val="center"/>
              <w:rPr>
                <w:rFonts w:ascii="Calibri" w:hAnsi="Calibri"/>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定</w:t>
            </w:r>
            <w:r>
              <w:rPr>
                <w:rFonts w:hint="eastAsia" w:ascii="宋体" w:hAnsi="宋体" w:cs="宋体"/>
                <w:color w:val="000000" w:themeColor="text1"/>
                <w:sz w:val="24"/>
                <w:highlight w:val="none"/>
                <w14:textFill>
                  <w14:solidFill>
                    <w14:schemeClr w14:val="tx1"/>
                  </w14:solidFill>
                </w14:textFill>
              </w:rPr>
              <w:t>标</w:t>
            </w:r>
            <w:r>
              <w:rPr>
                <w:rFonts w:hint="eastAsia" w:ascii="宋体" w:hAnsi="宋体" w:cs="宋体"/>
                <w:color w:val="000000" w:themeColor="text1"/>
                <w:sz w:val="24"/>
                <w:highlight w:val="none"/>
                <w:lang w:eastAsia="zh-CN"/>
                <w14:textFill>
                  <w14:solidFill>
                    <w14:schemeClr w14:val="tx1"/>
                  </w14:solidFill>
                </w14:textFill>
              </w:rPr>
              <w:t>结果</w:t>
            </w:r>
            <w:r>
              <w:rPr>
                <w:rFonts w:hint="eastAsia" w:ascii="宋体" w:hAnsi="宋体" w:cs="宋体"/>
                <w:color w:val="000000" w:themeColor="text1"/>
                <w:sz w:val="24"/>
                <w:highlight w:val="none"/>
                <w14:textFill>
                  <w14:solidFill>
                    <w14:schemeClr w14:val="tx1"/>
                  </w14:solidFill>
                </w14:textFill>
              </w:rPr>
              <w:t>公示媒介及期限</w:t>
            </w:r>
          </w:p>
        </w:tc>
        <w:tc>
          <w:tcPr>
            <w:tcW w:w="6738" w:type="dxa"/>
            <w:tcBorders>
              <w:top w:val="single" w:color="auto" w:sz="4" w:space="0"/>
              <w:left w:val="single" w:color="auto" w:sz="4" w:space="0"/>
              <w:bottom w:val="single" w:color="auto" w:sz="4" w:space="0"/>
              <w:right w:val="single" w:color="auto" w:sz="12" w:space="0"/>
            </w:tcBorders>
            <w:vAlign w:val="center"/>
          </w:tcPr>
          <w:p w14:paraId="09441189">
            <w:pPr>
              <w:tabs>
                <w:tab w:val="left" w:pos="6100"/>
              </w:tabs>
              <w:wordWrap w:val="0"/>
              <w:spacing w:line="276" w:lineRule="auto"/>
              <w:ind w:left="147" w:leftChars="7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公示媒介：广东省招标投标监管网、全国公共资源交易平台（广东省·韶关市）</w:t>
            </w:r>
          </w:p>
          <w:p w14:paraId="3596489F">
            <w:pPr>
              <w:tabs>
                <w:tab w:val="left" w:pos="6100"/>
              </w:tabs>
              <w:spacing w:line="276" w:lineRule="auto"/>
              <w:ind w:left="147" w:leftChars="70"/>
              <w:rPr>
                <w:rFonts w:ascii="Calibri" w:hAnsi="Calibri"/>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公示期限：</w:t>
            </w:r>
            <w:r>
              <w:rPr>
                <w:rFonts w:hint="eastAsia" w:ascii="宋体" w:hAnsi="宋体" w:cs="宋体"/>
                <w:color w:val="000000" w:themeColor="text1"/>
                <w:sz w:val="24"/>
                <w:highlight w:val="none"/>
                <w:u w:val="single"/>
                <w14:textFill>
                  <w14:solidFill>
                    <w14:schemeClr w14:val="tx1"/>
                  </w14:solidFill>
                </w14:textFill>
              </w:rPr>
              <w:t xml:space="preserve"> 3 </w:t>
            </w:r>
            <w:r>
              <w:rPr>
                <w:rFonts w:hint="eastAsia" w:ascii="宋体" w:hAnsi="宋体" w:cs="宋体"/>
                <w:color w:val="000000" w:themeColor="text1"/>
                <w:sz w:val="24"/>
                <w:highlight w:val="none"/>
                <w14:textFill>
                  <w14:solidFill>
                    <w14:schemeClr w14:val="tx1"/>
                  </w14:solidFill>
                </w14:textFill>
              </w:rPr>
              <w:t>日</w:t>
            </w:r>
          </w:p>
        </w:tc>
      </w:tr>
      <w:tr w14:paraId="0C7AD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2"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081F3363">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7.5</w:t>
            </w:r>
          </w:p>
        </w:tc>
        <w:tc>
          <w:tcPr>
            <w:tcW w:w="2443" w:type="dxa"/>
            <w:tcBorders>
              <w:top w:val="single" w:color="auto" w:sz="4" w:space="0"/>
              <w:left w:val="single" w:color="auto" w:sz="4" w:space="0"/>
              <w:bottom w:val="single" w:color="auto" w:sz="4" w:space="0"/>
              <w:right w:val="single" w:color="auto" w:sz="4" w:space="0"/>
            </w:tcBorders>
            <w:vAlign w:val="center"/>
          </w:tcPr>
          <w:p w14:paraId="45F822B2">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中标通知书和中标结果通知发出的形式</w:t>
            </w:r>
          </w:p>
        </w:tc>
        <w:tc>
          <w:tcPr>
            <w:tcW w:w="6738" w:type="dxa"/>
            <w:tcBorders>
              <w:top w:val="single" w:color="auto" w:sz="4" w:space="0"/>
              <w:left w:val="single" w:color="auto" w:sz="4" w:space="0"/>
              <w:bottom w:val="single" w:color="auto" w:sz="4" w:space="0"/>
              <w:right w:val="single" w:color="auto" w:sz="12" w:space="0"/>
            </w:tcBorders>
            <w:vAlign w:val="center"/>
          </w:tcPr>
          <w:p w14:paraId="59504B82">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中标通知书以书面或电子形式发出；中标结果在广东省招标投标监管网及</w:t>
            </w:r>
            <w:r>
              <w:rPr>
                <w:rFonts w:hint="eastAsia" w:ascii="宋体" w:hAnsi="宋体" w:cs="宋体"/>
                <w:color w:val="000000" w:themeColor="text1"/>
                <w:sz w:val="24"/>
                <w:highlight w:val="none"/>
                <w14:textFill>
                  <w14:solidFill>
                    <w14:schemeClr w14:val="tx1"/>
                  </w14:solidFill>
                </w14:textFill>
              </w:rPr>
              <w:t>全国公共资源交易平台（广东省·韶关市）</w:t>
            </w:r>
            <w:r>
              <w:rPr>
                <w:rFonts w:hint="eastAsia" w:ascii="宋体" w:hAnsi="宋体"/>
                <w:color w:val="000000" w:themeColor="text1"/>
                <w:sz w:val="24"/>
                <w:highlight w:val="none"/>
                <w14:textFill>
                  <w14:solidFill>
                    <w14:schemeClr w14:val="tx1"/>
                  </w14:solidFill>
                </w14:textFill>
              </w:rPr>
              <w:t>发布。</w:t>
            </w:r>
          </w:p>
        </w:tc>
      </w:tr>
      <w:tr w14:paraId="4F45F2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3E2AA517">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7.6</w:t>
            </w:r>
          </w:p>
        </w:tc>
        <w:tc>
          <w:tcPr>
            <w:tcW w:w="2443" w:type="dxa"/>
            <w:tcBorders>
              <w:top w:val="single" w:color="auto" w:sz="4" w:space="0"/>
              <w:left w:val="single" w:color="auto" w:sz="4" w:space="0"/>
              <w:bottom w:val="single" w:color="auto" w:sz="4" w:space="0"/>
              <w:right w:val="single" w:color="auto" w:sz="4" w:space="0"/>
            </w:tcBorders>
            <w:vAlign w:val="center"/>
          </w:tcPr>
          <w:p w14:paraId="1E89CEA7">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中标结果公告媒介</w:t>
            </w:r>
          </w:p>
        </w:tc>
        <w:tc>
          <w:tcPr>
            <w:tcW w:w="6738" w:type="dxa"/>
            <w:tcBorders>
              <w:top w:val="single" w:color="auto" w:sz="4" w:space="0"/>
              <w:left w:val="single" w:color="auto" w:sz="4" w:space="0"/>
              <w:bottom w:val="single" w:color="auto" w:sz="4" w:space="0"/>
              <w:right w:val="single" w:color="auto" w:sz="12" w:space="0"/>
            </w:tcBorders>
            <w:vAlign w:val="center"/>
          </w:tcPr>
          <w:p w14:paraId="0503F597">
            <w:pPr>
              <w:pStyle w:val="99"/>
              <w:spacing w:before="78"/>
              <w:ind w:left="107"/>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广东省招标投标监管网、</w:t>
            </w:r>
            <w:r>
              <w:rPr>
                <w:rFonts w:hint="eastAsia" w:ascii="宋体" w:hAnsi="宋体" w:cs="宋体"/>
                <w:color w:val="000000" w:themeColor="text1"/>
                <w:sz w:val="24"/>
                <w:highlight w:val="none"/>
                <w14:textFill>
                  <w14:solidFill>
                    <w14:schemeClr w14:val="tx1"/>
                  </w14:solidFill>
                </w14:textFill>
              </w:rPr>
              <w:t>全国公共资源交易平台 （广东省·韶关市）</w:t>
            </w:r>
            <w:r>
              <w:rPr>
                <w:rFonts w:hint="eastAsia" w:ascii="Calibri" w:hAnsi="Calibri"/>
                <w:color w:val="000000" w:themeColor="text1"/>
                <w:sz w:val="24"/>
                <w:highlight w:val="none"/>
                <w14:textFill>
                  <w14:solidFill>
                    <w14:schemeClr w14:val="tx1"/>
                  </w14:solidFill>
                </w14:textFill>
              </w:rPr>
              <w:t>。</w:t>
            </w:r>
          </w:p>
          <w:p w14:paraId="67C3F84E">
            <w:pPr>
              <w:pStyle w:val="99"/>
              <w:spacing w:before="78"/>
              <w:ind w:left="107"/>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lang w:val="en-US" w:eastAsia="zh-CN"/>
                <w14:textFill>
                  <w14:solidFill>
                    <w14:schemeClr w14:val="tx1"/>
                  </w14:solidFill>
                </w14:textFill>
              </w:rPr>
              <w:t>公告期限：1日</w:t>
            </w:r>
          </w:p>
        </w:tc>
      </w:tr>
      <w:tr w14:paraId="3857F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7D0961AA">
            <w:pPr>
              <w:jc w:val="center"/>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7.7.1</w:t>
            </w:r>
          </w:p>
        </w:tc>
        <w:tc>
          <w:tcPr>
            <w:tcW w:w="2443" w:type="dxa"/>
            <w:tcBorders>
              <w:top w:val="single" w:color="auto" w:sz="4" w:space="0"/>
              <w:left w:val="single" w:color="auto" w:sz="4" w:space="0"/>
              <w:bottom w:val="single" w:color="auto" w:sz="4" w:space="0"/>
              <w:right w:val="single" w:color="auto" w:sz="4" w:space="0"/>
            </w:tcBorders>
            <w:vAlign w:val="center"/>
          </w:tcPr>
          <w:p w14:paraId="12184B86">
            <w:pPr>
              <w:jc w:val="center"/>
              <w:rPr>
                <w:rFonts w:ascii="Calibri" w:hAnsi="Calibri"/>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履约保证金</w:t>
            </w:r>
          </w:p>
        </w:tc>
        <w:tc>
          <w:tcPr>
            <w:tcW w:w="6738" w:type="dxa"/>
            <w:tcBorders>
              <w:top w:val="single" w:color="auto" w:sz="4" w:space="0"/>
              <w:left w:val="single" w:color="auto" w:sz="4" w:space="0"/>
              <w:bottom w:val="single" w:color="auto" w:sz="4" w:space="0"/>
              <w:right w:val="single" w:color="auto" w:sz="12" w:space="0"/>
            </w:tcBorders>
            <w:vAlign w:val="center"/>
          </w:tcPr>
          <w:p w14:paraId="146AC461">
            <w:pPr>
              <w:pStyle w:val="99"/>
              <w:adjustRightInd w:val="0"/>
              <w:snapToGrid w:val="0"/>
              <w:spacing w:line="288" w:lineRule="auto"/>
              <w:ind w:left="107"/>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是否要求中标人提交履约保证：</w:t>
            </w:r>
          </w:p>
          <w:p w14:paraId="0AAA81CB">
            <w:pPr>
              <w:pStyle w:val="99"/>
              <w:adjustRightInd w:val="0"/>
              <w:snapToGrid w:val="0"/>
              <w:spacing w:line="288" w:lineRule="auto"/>
              <w:ind w:left="107"/>
              <w:rPr>
                <w:rFonts w:hint="eastAsia" w:ascii="宋体" w:hAnsi="宋体" w:cs="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s="宋体"/>
                <w:color w:val="000000" w:themeColor="text1"/>
                <w:sz w:val="24"/>
                <w:highlight w:val="none"/>
                <w14:textFill>
                  <w14:solidFill>
                    <w14:schemeClr w14:val="tx1"/>
                  </w14:solidFill>
                </w14:textFill>
              </w:rPr>
              <w:t>要求，履约担保形式：</w:t>
            </w:r>
            <w:r>
              <w:rPr>
                <w:rFonts w:hint="eastAsia" w:ascii="宋体" w:hAnsi="宋体" w:cs="宋体"/>
                <w:color w:val="000000" w:themeColor="text1"/>
                <w:sz w:val="24"/>
                <w:highlight w:val="none"/>
                <w:u w:val="single"/>
                <w14:textFill>
                  <w14:solidFill>
                    <w14:schemeClr w14:val="tx1"/>
                  </w14:solidFill>
                </w14:textFill>
              </w:rPr>
              <w:t>由投标人自主选择采用现金（或支票）、或银行保函、或其他合法形式</w:t>
            </w:r>
            <w:r>
              <w:rPr>
                <w:rFonts w:hint="eastAsia" w:ascii="宋体" w:hAnsi="宋体" w:cs="宋体"/>
                <w:color w:val="000000" w:themeColor="text1"/>
                <w:sz w:val="24"/>
                <w:highlight w:val="none"/>
                <w14:textFill>
                  <w14:solidFill>
                    <w14:schemeClr w14:val="tx1"/>
                  </w14:solidFill>
                </w14:textFill>
              </w:rPr>
              <w:t>。</w:t>
            </w:r>
          </w:p>
          <w:p w14:paraId="0E5B9C32">
            <w:pPr>
              <w:adjustRightInd w:val="0"/>
              <w:snapToGrid w:val="0"/>
              <w:spacing w:line="288" w:lineRule="auto"/>
              <w:ind w:right="113"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履约担保金额：</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10</w:t>
            </w:r>
            <w:r>
              <w:rPr>
                <w:rFonts w:hint="eastAsia" w:ascii="宋体" w:hAnsi="宋体" w:cs="宋体"/>
                <w:color w:val="000000" w:themeColor="text1"/>
                <w:sz w:val="24"/>
                <w:highlight w:val="none"/>
                <w14:textFill>
                  <w14:solidFill>
                    <w14:schemeClr w14:val="tx1"/>
                  </w14:solidFill>
                </w14:textFill>
              </w:rPr>
              <w:t>%签约合同价。</w:t>
            </w:r>
          </w:p>
          <w:p w14:paraId="421F297E">
            <w:pPr>
              <w:pStyle w:val="124"/>
              <w:spacing w:line="288" w:lineRule="auto"/>
              <w:ind w:left="115" w:right="53" w:firstLine="20"/>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广东省交通运输厅最新年度的信用评价为 AA 级的投标人，给予减少履约保证金，减少后的履约保证金金额</w:t>
            </w:r>
            <w:r>
              <w:rPr>
                <w:color w:val="000000" w:themeColor="text1"/>
                <w:spacing w:val="7"/>
                <w:highlight w:val="none"/>
                <w:lang w:eastAsia="zh-CN"/>
                <w14:textFill>
                  <w14:solidFill>
                    <w14:schemeClr w14:val="tx1"/>
                  </w14:solidFill>
                </w14:textFill>
              </w:rPr>
              <w:t>:</w:t>
            </w:r>
            <w:r>
              <w:rPr>
                <w:color w:val="000000" w:themeColor="text1"/>
                <w:spacing w:val="5"/>
                <w:highlight w:val="none"/>
                <w:u w:val="single"/>
                <w:lang w:eastAsia="zh-CN"/>
                <w14:textFill>
                  <w14:solidFill>
                    <w14:schemeClr w14:val="tx1"/>
                  </w14:solidFill>
                </w14:textFill>
              </w:rPr>
              <w:t xml:space="preserve"> </w:t>
            </w:r>
            <w:r>
              <w:rPr>
                <w:rFonts w:hint="eastAsia"/>
                <w:color w:val="000000" w:themeColor="text1"/>
                <w:spacing w:val="5"/>
                <w:highlight w:val="none"/>
                <w:u w:val="single"/>
                <w:lang w:eastAsia="zh-CN"/>
                <w14:textFill>
                  <w14:solidFill>
                    <w14:schemeClr w14:val="tx1"/>
                  </w14:solidFill>
                </w14:textFill>
              </w:rPr>
              <w:t xml:space="preserve">/ </w:t>
            </w:r>
          </w:p>
          <w:p w14:paraId="72FC6A9E">
            <w:pPr>
              <w:pStyle w:val="124"/>
              <w:spacing w:line="288" w:lineRule="auto"/>
              <w:ind w:left="113" w:right="110" w:firstLine="22"/>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广东省交通运输厅最新年度的信用评价为 A 级的投标人，给予减少履约保证金，减少后的履约保证金金额:</w:t>
            </w:r>
            <w:r>
              <w:rPr>
                <w:rFonts w:hint="eastAsia"/>
                <w:color w:val="000000" w:themeColor="text1"/>
                <w:highlight w:val="none"/>
                <w:u w:val="single"/>
                <w:lang w:eastAsia="zh-CN"/>
                <w14:textFill>
                  <w14:solidFill>
                    <w14:schemeClr w14:val="tx1"/>
                  </w14:solidFill>
                </w14:textFill>
              </w:rPr>
              <w:t xml:space="preserve">  /  </w:t>
            </w:r>
          </w:p>
          <w:p w14:paraId="019997F3">
            <w:pPr>
              <w:pStyle w:val="124"/>
              <w:spacing w:line="288" w:lineRule="auto"/>
              <w:ind w:right="11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采用银行保函时，出具履约担保的银行级别：投标人公司注册所在地的股份制商业银行或城市商业银行或农村商业银行或全国性国有商业银行的分支机构。</w:t>
            </w:r>
          </w:p>
          <w:p w14:paraId="24BFF5E8">
            <w:pPr>
              <w:adjustRightInd w:val="0"/>
              <w:snapToGrid w:val="0"/>
              <w:spacing w:line="288" w:lineRule="auto"/>
              <w:ind w:left="105" w:leftChars="50" w:right="113"/>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□不要求</w:t>
            </w:r>
          </w:p>
        </w:tc>
      </w:tr>
      <w:tr w14:paraId="5717A3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6BDD6EA9">
            <w:pPr>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8.5.1</w:t>
            </w:r>
          </w:p>
        </w:tc>
        <w:tc>
          <w:tcPr>
            <w:tcW w:w="2443" w:type="dxa"/>
            <w:tcBorders>
              <w:top w:val="single" w:color="auto" w:sz="4" w:space="0"/>
              <w:left w:val="single" w:color="auto" w:sz="4" w:space="0"/>
              <w:bottom w:val="single" w:color="auto" w:sz="4" w:space="0"/>
              <w:right w:val="single" w:color="auto" w:sz="4" w:space="0"/>
            </w:tcBorders>
            <w:vAlign w:val="center"/>
          </w:tcPr>
          <w:p w14:paraId="279CF601">
            <w:pPr>
              <w:jc w:val="center"/>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监督部门</w:t>
            </w:r>
          </w:p>
        </w:tc>
        <w:tc>
          <w:tcPr>
            <w:tcW w:w="6738" w:type="dxa"/>
            <w:tcBorders>
              <w:top w:val="single" w:color="auto" w:sz="4" w:space="0"/>
              <w:left w:val="single" w:color="auto" w:sz="4" w:space="0"/>
              <w:bottom w:val="single" w:color="auto" w:sz="4" w:space="0"/>
              <w:right w:val="single" w:color="auto" w:sz="4" w:space="0"/>
            </w:tcBorders>
            <w:vAlign w:val="center"/>
          </w:tcPr>
          <w:p w14:paraId="19B70619">
            <w:pPr>
              <w:wordWrap w:val="0"/>
              <w:spacing w:line="312" w:lineRule="auto"/>
              <w:ind w:left="105" w:leftChars="5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监督部门</w:t>
            </w:r>
            <w:r>
              <w:rPr>
                <w:rFonts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乳源瑶族自治县交通运输局</w:t>
            </w:r>
            <w:r>
              <w:rPr>
                <w:rFonts w:ascii="宋体" w:hAnsi="宋体" w:cs="宋体"/>
                <w:color w:val="000000" w:themeColor="text1"/>
                <w:sz w:val="24"/>
                <w:highlight w:val="none"/>
                <w14:textFill>
                  <w14:solidFill>
                    <w14:schemeClr w14:val="tx1"/>
                  </w14:solidFill>
                </w14:textFill>
              </w:rPr>
              <w:t xml:space="preserve"> </w:t>
            </w:r>
          </w:p>
          <w:p w14:paraId="566F3107">
            <w:pPr>
              <w:wordWrap w:val="0"/>
              <w:spacing w:line="312" w:lineRule="auto"/>
              <w:ind w:left="105" w:leftChars="50"/>
              <w:jc w:val="lef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电    话：</w:t>
            </w:r>
            <w:r>
              <w:rPr>
                <w:rFonts w:ascii="宋体" w:hAnsi="宋体" w:cs="宋体"/>
                <w:color w:val="000000" w:themeColor="text1"/>
                <w:sz w:val="24"/>
                <w:highlight w:val="none"/>
                <w:u w:val="single"/>
                <w14:textFill>
                  <w14:solidFill>
                    <w14:schemeClr w14:val="tx1"/>
                  </w14:solidFill>
                </w14:textFill>
              </w:rPr>
              <w:t>0751-8556180</w:t>
            </w:r>
          </w:p>
          <w:p w14:paraId="2A5C67AE">
            <w:pPr>
              <w:wordWrap w:val="0"/>
              <w:spacing w:line="312" w:lineRule="auto"/>
              <w:ind w:left="105" w:leftChars="5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通信地址</w:t>
            </w:r>
            <w:r>
              <w:rPr>
                <w:rFonts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韶关市乳源瑶族自治县滨江中路县交通运输局</w:t>
            </w:r>
          </w:p>
          <w:p w14:paraId="51515AE2">
            <w:pPr>
              <w:wordWrap w:val="0"/>
              <w:spacing w:line="312" w:lineRule="auto"/>
              <w:ind w:left="105" w:leftChars="50"/>
              <w:jc w:val="left"/>
              <w:rPr>
                <w:rFonts w:hint="eastAsia" w:ascii="宋体" w:hAnsi="宋体" w:cs="宋体"/>
                <w:color w:val="000000" w:themeColor="text1"/>
                <w:sz w:val="24"/>
                <w:highlight w:val="none"/>
                <w:u w:val="singl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邮政编码：</w:t>
            </w:r>
            <w:r>
              <w:rPr>
                <w:rFonts w:ascii="宋体" w:hAnsi="宋体" w:cs="宋体"/>
                <w:color w:val="000000" w:themeColor="text1"/>
                <w:sz w:val="24"/>
                <w:highlight w:val="none"/>
                <w:u w:val="single"/>
                <w14:textFill>
                  <w14:solidFill>
                    <w14:schemeClr w14:val="tx1"/>
                  </w14:solidFill>
                </w14:textFill>
              </w:rPr>
              <w:t>512700</w:t>
            </w:r>
          </w:p>
          <w:p w14:paraId="13334AE1">
            <w:pPr>
              <w:rPr>
                <w:color w:val="000000" w:themeColor="text1"/>
                <w:highlight w:val="none"/>
                <w14:textFill>
                  <w14:solidFill>
                    <w14:schemeClr w14:val="tx1"/>
                  </w14:solidFill>
                </w14:textFill>
              </w:rPr>
            </w:pPr>
          </w:p>
          <w:p w14:paraId="078B5BC0">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交通运输主管单位：</w:t>
            </w:r>
            <w:r>
              <w:rPr>
                <w:rFonts w:hint="eastAsia" w:ascii="宋体" w:hAnsi="宋体"/>
                <w:color w:val="000000" w:themeColor="text1"/>
                <w:sz w:val="24"/>
                <w:highlight w:val="none"/>
                <w:u w:val="single"/>
                <w14:textFill>
                  <w14:solidFill>
                    <w14:schemeClr w14:val="tx1"/>
                  </w14:solidFill>
                </w14:textFill>
              </w:rPr>
              <w:t>乳源瑶族自治县交通运输局</w:t>
            </w:r>
            <w:r>
              <w:rPr>
                <w:rFonts w:hint="eastAsia" w:ascii="宋体" w:hAnsi="宋体"/>
                <w:color w:val="000000" w:themeColor="text1"/>
                <w:sz w:val="24"/>
                <w:highlight w:val="none"/>
                <w14:textFill>
                  <w14:solidFill>
                    <w14:schemeClr w14:val="tx1"/>
                  </w14:solidFill>
                </w14:textFill>
              </w:rPr>
              <w:t xml:space="preserve"> </w:t>
            </w:r>
          </w:p>
          <w:p w14:paraId="4BE7A723">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r>
              <w:rPr>
                <w:rFonts w:hint="eastAsia" w:ascii="宋体" w:hAnsi="宋体"/>
                <w:color w:val="000000" w:themeColor="text1"/>
                <w:sz w:val="24"/>
                <w:highlight w:val="none"/>
                <w:u w:val="single"/>
                <w14:textFill>
                  <w14:solidFill>
                    <w14:schemeClr w14:val="tx1"/>
                  </w14:solidFill>
                </w14:textFill>
              </w:rPr>
              <w:t>0751-8556180</w:t>
            </w:r>
          </w:p>
          <w:p w14:paraId="408648EB">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通信地址：</w:t>
            </w:r>
            <w:r>
              <w:rPr>
                <w:rFonts w:hint="eastAsia" w:ascii="宋体" w:hAnsi="宋体"/>
                <w:color w:val="000000" w:themeColor="text1"/>
                <w:sz w:val="24"/>
                <w:highlight w:val="none"/>
                <w:u w:val="single"/>
                <w14:textFill>
                  <w14:solidFill>
                    <w14:schemeClr w14:val="tx1"/>
                  </w14:solidFill>
                </w14:textFill>
              </w:rPr>
              <w:t>韶关市乳源瑶族自治县滨江中路县交通运输局</w:t>
            </w:r>
          </w:p>
          <w:p w14:paraId="4A3CE825">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r>
              <w:rPr>
                <w:rFonts w:hint="eastAsia" w:ascii="宋体" w:hAnsi="宋体"/>
                <w:color w:val="000000" w:themeColor="text1"/>
                <w:sz w:val="24"/>
                <w:highlight w:val="none"/>
                <w:u w:val="single"/>
                <w14:textFill>
                  <w14:solidFill>
                    <w14:schemeClr w14:val="tx1"/>
                  </w14:solidFill>
                </w14:textFill>
              </w:rPr>
              <w:t>512700</w:t>
            </w:r>
          </w:p>
          <w:p w14:paraId="1A0809D7">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p>
          <w:p w14:paraId="7C4C5B12">
            <w:pPr>
              <w:wordWrap w:val="0"/>
              <w:spacing w:line="312" w:lineRule="auto"/>
              <w:ind w:left="105" w:leftChars="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项目管理单位：</w:t>
            </w:r>
            <w:r>
              <w:rPr>
                <w:rFonts w:hint="eastAsia" w:ascii="宋体" w:hAnsi="宋体"/>
                <w:color w:val="000000" w:themeColor="text1"/>
                <w:sz w:val="24"/>
                <w:highlight w:val="none"/>
                <w:u w:val="single"/>
                <w14:textFill>
                  <w14:solidFill>
                    <w14:schemeClr w14:val="tx1"/>
                  </w14:solidFill>
                </w14:textFill>
              </w:rPr>
              <w:t>乳源瑶族自治县地方公路事务中心</w:t>
            </w:r>
          </w:p>
          <w:p w14:paraId="30EC6579">
            <w:pPr>
              <w:wordWrap w:val="0"/>
              <w:spacing w:line="312" w:lineRule="auto"/>
              <w:ind w:left="105" w:leftChars="5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r>
              <w:rPr>
                <w:rFonts w:hint="eastAsia" w:ascii="宋体" w:hAnsi="宋体"/>
                <w:color w:val="000000" w:themeColor="text1"/>
                <w:sz w:val="24"/>
                <w:highlight w:val="none"/>
                <w:u w:val="single"/>
                <w14:textFill>
                  <w14:solidFill>
                    <w14:schemeClr w14:val="tx1"/>
                  </w14:solidFill>
                </w14:textFill>
              </w:rPr>
              <w:t>0751-8556170</w:t>
            </w:r>
          </w:p>
          <w:p w14:paraId="3C887F8A">
            <w:pPr>
              <w:wordWrap w:val="0"/>
              <w:spacing w:line="312" w:lineRule="auto"/>
              <w:ind w:left="105" w:leftChars="5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通信地址</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韶关市乳源瑶族自治县滨江中路县交通运输局3楼</w:t>
            </w:r>
          </w:p>
          <w:p w14:paraId="2DE635FD">
            <w:pPr>
              <w:wordWrap w:val="0"/>
              <w:spacing w:line="276" w:lineRule="auto"/>
              <w:ind w:left="147" w:leftChars="70"/>
              <w:jc w:val="left"/>
              <w:rPr>
                <w:rFonts w:hint="eastAsia" w:ascii="宋体" w:hAnsi="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邮政编码：</w:t>
            </w:r>
            <w:r>
              <w:rPr>
                <w:rFonts w:ascii="宋体" w:hAnsi="宋体" w:cs="宋体"/>
                <w:color w:val="000000" w:themeColor="text1"/>
                <w:sz w:val="24"/>
                <w:highlight w:val="none"/>
                <w:u w:val="single"/>
                <w14:textFill>
                  <w14:solidFill>
                    <w14:schemeClr w14:val="tx1"/>
                  </w14:solidFill>
                </w14:textFill>
              </w:rPr>
              <w:t>512700</w:t>
            </w:r>
          </w:p>
        </w:tc>
      </w:tr>
      <w:tr w14:paraId="322AA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19B7F8F4">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w:t>
            </w:r>
          </w:p>
        </w:tc>
        <w:tc>
          <w:tcPr>
            <w:tcW w:w="2443" w:type="dxa"/>
            <w:tcBorders>
              <w:top w:val="single" w:color="auto" w:sz="4" w:space="0"/>
              <w:left w:val="single" w:color="auto" w:sz="4" w:space="0"/>
              <w:bottom w:val="single" w:color="auto" w:sz="4" w:space="0"/>
              <w:right w:val="single" w:color="auto" w:sz="4" w:space="0"/>
            </w:tcBorders>
            <w:vAlign w:val="center"/>
          </w:tcPr>
          <w:p w14:paraId="0F1C25C1">
            <w:pPr>
              <w:ind w:left="113" w:right="113"/>
              <w:jc w:val="center"/>
              <w:rPr>
                <w:rFonts w:ascii="Calibri" w:hAnsi="Calibri"/>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是否采用电子招标投标</w:t>
            </w:r>
          </w:p>
        </w:tc>
        <w:tc>
          <w:tcPr>
            <w:tcW w:w="6738" w:type="dxa"/>
            <w:tcBorders>
              <w:top w:val="single" w:color="auto" w:sz="4" w:space="0"/>
              <w:left w:val="single" w:color="auto" w:sz="4" w:space="0"/>
              <w:bottom w:val="single" w:color="auto" w:sz="4" w:space="0"/>
              <w:right w:val="single" w:color="auto" w:sz="12" w:space="0"/>
            </w:tcBorders>
            <w:vAlign w:val="center"/>
          </w:tcPr>
          <w:p w14:paraId="0D57B4B7">
            <w:pPr>
              <w:spacing w:line="276" w:lineRule="auto"/>
              <w:ind w:left="105" w:leftChars="50" w:right="113"/>
              <w:rPr>
                <w:rFonts w:ascii="Calibri" w:hAnsi="Calibri"/>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否</w:t>
            </w:r>
          </w:p>
          <w:p w14:paraId="7CFF0B79">
            <w:pPr>
              <w:ind w:left="113" w:right="113"/>
              <w:rPr>
                <w:color w:val="000000" w:themeColor="text1"/>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eq \o\ac(□,√)</w:instrText>
            </w:r>
            <w:r>
              <w:rPr>
                <w:rFonts w:ascii="宋体" w:hAnsi="宋体"/>
                <w:color w:val="000000" w:themeColor="text1"/>
                <w:sz w:val="24"/>
                <w:highlight w:val="none"/>
                <w14:textFill>
                  <w14:solidFill>
                    <w14:schemeClr w14:val="tx1"/>
                  </w14:solidFill>
                </w14:textFill>
              </w:rPr>
              <w:fldChar w:fldCharType="end"/>
            </w:r>
            <w:r>
              <w:rPr>
                <w:rFonts w:hint="eastAsia" w:ascii="宋体" w:hAnsi="宋体"/>
                <w:color w:val="000000" w:themeColor="text1"/>
                <w:sz w:val="24"/>
                <w:highlight w:val="none"/>
                <w14:textFill>
                  <w14:solidFill>
                    <w14:schemeClr w14:val="tx1"/>
                  </w14:solidFill>
                </w14:textFill>
              </w:rPr>
              <w:t>是，具体要求：</w:t>
            </w:r>
            <w:r>
              <w:rPr>
                <w:rFonts w:hint="eastAsia" w:ascii="宋体" w:hAnsi="宋体" w:cs="宋体"/>
                <w:b/>
                <w:color w:val="000000" w:themeColor="text1"/>
                <w:sz w:val="24"/>
                <w:highlight w:val="none"/>
                <w:u w:val="double"/>
                <w14:textFill>
                  <w14:solidFill>
                    <w14:schemeClr w14:val="tx1"/>
                  </w14:solidFill>
                </w14:textFill>
              </w:rPr>
              <w:t>投标人必须在规定的截止时间前使用建设工程交易系统</w:t>
            </w:r>
            <w:r>
              <w:rPr>
                <w:rFonts w:hint="eastAsia" w:ascii="宋体" w:hAnsi="宋体" w:cs="宋体"/>
                <w:b/>
                <w:bCs/>
                <w:color w:val="000000" w:themeColor="text1"/>
                <w:sz w:val="24"/>
                <w:highlight w:val="none"/>
                <w:u w:val="single"/>
                <w14:textFill>
                  <w14:solidFill>
                    <w14:schemeClr w14:val="tx1"/>
                  </w14:solidFill>
                </w14:textFill>
              </w:rPr>
              <w:t>完成网上获取招标文件、缴纳投标保证和全流程电子投标。</w:t>
            </w:r>
          </w:p>
        </w:tc>
      </w:tr>
      <w:tr w14:paraId="3EB05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7" w:hRule="atLeast"/>
          <w:jc w:val="center"/>
        </w:trPr>
        <w:tc>
          <w:tcPr>
            <w:tcW w:w="10167" w:type="dxa"/>
            <w:gridSpan w:val="3"/>
            <w:tcBorders>
              <w:top w:val="single" w:color="auto" w:sz="4" w:space="0"/>
              <w:left w:val="single" w:color="auto" w:sz="12" w:space="0"/>
              <w:bottom w:val="single" w:color="auto" w:sz="4" w:space="0"/>
              <w:right w:val="single" w:color="auto" w:sz="12" w:space="0"/>
            </w:tcBorders>
            <w:vAlign w:val="center"/>
          </w:tcPr>
          <w:p w14:paraId="66067780">
            <w:pPr>
              <w:spacing w:line="38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需补充的其他内容</w:t>
            </w:r>
          </w:p>
        </w:tc>
      </w:tr>
      <w:tr w14:paraId="52F4E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21D7E706">
            <w:pPr>
              <w:pStyle w:val="113"/>
              <w:spacing w:line="38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highlight w:val="none"/>
                <w14:textFill>
                  <w14:solidFill>
                    <w14:schemeClr w14:val="tx1"/>
                  </w14:solidFill>
                </w14:textFill>
              </w:rPr>
              <w:t>1.4.4</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D9C34AC">
            <w:pPr>
              <w:adjustRightInd w:val="0"/>
              <w:snapToGrid w:val="0"/>
              <w:spacing w:line="288"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投标人须知正文</w:t>
            </w:r>
          </w:p>
          <w:p w14:paraId="08627E1E">
            <w:pPr>
              <w:adjustRightInd w:val="0"/>
              <w:snapToGrid w:val="0"/>
              <w:spacing w:line="288"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 1.4.4 项中 (1) 目中的“招标项目所在地”指“广东省”。</w:t>
            </w:r>
          </w:p>
          <w:p w14:paraId="1A2D45E5">
            <w:pPr>
              <w:adjustRightInd w:val="0"/>
              <w:snapToGrid w:val="0"/>
              <w:spacing w:line="288"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 1.4.4 (6) 目内容细化如下：</w:t>
            </w:r>
          </w:p>
          <w:p w14:paraId="155C5D07">
            <w:pPr>
              <w:pStyle w:val="113"/>
              <w:snapToGrid w:val="0"/>
              <w:spacing w:line="288" w:lineRule="auto"/>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投标人及其法定代表人、拟委任的项目经理</w:t>
            </w:r>
            <w:r>
              <w:rPr>
                <w:rFonts w:hint="eastAsia" w:ascii="宋体" w:hAnsi="宋体" w:cs="宋体"/>
                <w:color w:val="000000" w:themeColor="text1"/>
                <w:highlight w:val="none"/>
                <w:u w:val="single"/>
                <w14:textFill>
                  <w14:solidFill>
                    <w14:schemeClr w14:val="tx1"/>
                  </w14:solidFill>
                </w14:textFill>
              </w:rPr>
              <w:t>（含备选，如有）</w:t>
            </w:r>
            <w:r>
              <w:rPr>
                <w:rFonts w:hint="eastAsia" w:ascii="宋体" w:hAnsi="宋体" w:cs="宋体"/>
                <w:color w:val="000000" w:themeColor="text1"/>
                <w:highlight w:val="none"/>
                <w14:textFill>
                  <w14:solidFill>
                    <w14:schemeClr w14:val="tx1"/>
                  </w14:solidFill>
                </w14:textFill>
              </w:rPr>
              <w:t>、项目总工</w:t>
            </w:r>
            <w:r>
              <w:rPr>
                <w:rFonts w:hint="eastAsia" w:ascii="宋体" w:hAnsi="宋体" w:cs="宋体"/>
                <w:color w:val="000000" w:themeColor="text1"/>
                <w:highlight w:val="none"/>
                <w:u w:val="single"/>
                <w14:textFill>
                  <w14:solidFill>
                    <w14:schemeClr w14:val="tx1"/>
                  </w14:solidFill>
                </w14:textFill>
              </w:rPr>
              <w:t>（含备选，如有）</w:t>
            </w:r>
            <w:r>
              <w:rPr>
                <w:rFonts w:hint="eastAsia" w:ascii="宋体" w:hAnsi="宋体" w:cs="宋体"/>
                <w:color w:val="000000" w:themeColor="text1"/>
                <w:highlight w:val="none"/>
                <w14:textFill>
                  <w14:solidFill>
                    <w14:schemeClr w14:val="tx1"/>
                  </w14:solidFill>
                </w14:textFill>
              </w:rPr>
              <w:t>在近三年内有行贿犯罪行为的（以投标人投标函中的承诺为准）。</w:t>
            </w:r>
          </w:p>
        </w:tc>
      </w:tr>
      <w:tr w14:paraId="266E8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D322F2F">
            <w:pPr>
              <w:spacing w:line="380" w:lineRule="exact"/>
              <w:jc w:val="center"/>
              <w:rPr>
                <w:rFonts w:hint="eastAsia" w:ascii="宋体" w:hAnsi="宋体" w:cs="宋体"/>
                <w:color w:val="000000" w:themeColor="text1"/>
                <w:kern w:val="2"/>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3709047D">
            <w:pPr>
              <w:pStyle w:val="113"/>
              <w:spacing w:line="360" w:lineRule="auto"/>
              <w:jc w:val="both"/>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color w:val="000000" w:themeColor="text1"/>
                <w:kern w:val="2"/>
                <w:sz w:val="24"/>
                <w:szCs w:val="24"/>
                <w:highlight w:val="none"/>
                <w14:textFill>
                  <w14:solidFill>
                    <w14:schemeClr w14:val="tx1"/>
                  </w14:solidFill>
                </w14:textFill>
              </w:rPr>
              <w:t>投标人须知</w:t>
            </w:r>
            <w:r>
              <w:rPr>
                <w:rFonts w:hint="eastAsia" w:ascii="宋体" w:hAnsi="宋体" w:cs="宋体"/>
                <w:color w:val="000000" w:themeColor="text1"/>
                <w:sz w:val="24"/>
                <w:szCs w:val="24"/>
                <w:highlight w:val="none"/>
                <w14:textFill>
                  <w14:solidFill>
                    <w14:schemeClr w14:val="tx1"/>
                  </w14:solidFill>
                </w14:textFill>
              </w:rPr>
              <w:t>正文</w:t>
            </w:r>
            <w:r>
              <w:rPr>
                <w:rFonts w:hint="eastAsia" w:ascii="宋体" w:hAnsi="宋体" w:cs="宋体"/>
                <w:color w:val="000000" w:themeColor="text1"/>
                <w:kern w:val="2"/>
                <w:sz w:val="24"/>
                <w:szCs w:val="24"/>
                <w:highlight w:val="none"/>
                <w14:textFill>
                  <w14:solidFill>
                    <w14:schemeClr w14:val="tx1"/>
                  </w14:solidFill>
                </w14:textFill>
              </w:rPr>
              <w:t>2.2款增加内容如下：</w:t>
            </w:r>
          </w:p>
          <w:p w14:paraId="1CFA5B2F">
            <w:pPr>
              <w:spacing w:line="380" w:lineRule="exact"/>
              <w:ind w:firstLine="48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澄清和修改内容将以编号的补遗书</w:t>
            </w:r>
            <w:r>
              <w:rPr>
                <w:rFonts w:hint="eastAsia" w:ascii="宋体" w:hAnsi="宋体" w:cs="宋体"/>
                <w:color w:val="000000" w:themeColor="text1"/>
                <w:sz w:val="24"/>
                <w:szCs w:val="24"/>
                <w:highlight w:val="none"/>
                <w:shd w:val="clear" w:color="auto" w:fill="auto"/>
                <w14:textFill>
                  <w14:solidFill>
                    <w14:schemeClr w14:val="tx1"/>
                  </w14:solidFill>
                </w14:textFill>
              </w:rPr>
              <w:t>或补充公告</w:t>
            </w:r>
            <w:r>
              <w:rPr>
                <w:rFonts w:hint="eastAsia" w:ascii="宋体" w:hAnsi="宋体" w:cs="宋体"/>
                <w:color w:val="000000" w:themeColor="text1"/>
                <w:sz w:val="24"/>
                <w:szCs w:val="24"/>
                <w:highlight w:val="none"/>
                <w14:textFill>
                  <w14:solidFill>
                    <w14:schemeClr w14:val="tx1"/>
                  </w14:solidFill>
                </w14:textFill>
              </w:rPr>
              <w:t>形式在全国公共资源交易平台 （广东省· 韶关市）（https://ygp.gdzwfw.gov.cn/ggzy-portal/#/440200/index）建设工程栏目的公告公示上发布。补遗书</w:t>
            </w:r>
            <w:r>
              <w:rPr>
                <w:rFonts w:hint="eastAsia" w:ascii="宋体" w:hAnsi="宋体" w:cs="宋体"/>
                <w:color w:val="000000" w:themeColor="text1"/>
                <w:sz w:val="24"/>
                <w:szCs w:val="24"/>
                <w:highlight w:val="none"/>
                <w:shd w:val="clear" w:color="auto" w:fill="auto"/>
                <w14:textFill>
                  <w14:solidFill>
                    <w14:schemeClr w14:val="tx1"/>
                  </w14:solidFill>
                </w14:textFill>
              </w:rPr>
              <w:t>或补充公告</w:t>
            </w:r>
            <w:r>
              <w:rPr>
                <w:rFonts w:hint="eastAsia" w:ascii="宋体" w:hAnsi="宋体" w:cs="宋体"/>
                <w:color w:val="000000" w:themeColor="text1"/>
                <w:sz w:val="24"/>
                <w:szCs w:val="24"/>
                <w:highlight w:val="none"/>
                <w14:textFill>
                  <w14:solidFill>
                    <w14:schemeClr w14:val="tx1"/>
                  </w14:solidFill>
                </w14:textFill>
              </w:rPr>
              <w:t>作为招标文件的组成部分，对所有投标人均具有约束力。</w:t>
            </w:r>
          </w:p>
        </w:tc>
      </w:tr>
      <w:tr w14:paraId="6D01CD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1FC517A9">
            <w:pPr>
              <w:autoSpaceDE w:val="0"/>
              <w:autoSpaceDN w:val="0"/>
              <w:spacing w:line="480" w:lineRule="auto"/>
              <w:jc w:val="center"/>
              <w:rPr>
                <w:rFonts w:hint="eastAsia" w:ascii="宋体" w:hAnsi="宋体" w:cs="宋体"/>
                <w:color w:val="000000" w:themeColor="text1"/>
                <w:kern w:val="2"/>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2.3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694C50B">
            <w:pPr>
              <w:autoSpaceDE w:val="0"/>
              <w:autoSpaceDN w:val="0"/>
              <w:adjustRightInd w:val="0"/>
              <w:spacing w:before="51" w:line="269" w:lineRule="auto"/>
              <w:ind w:right="176"/>
              <w:jc w:val="left"/>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投标人须知正文第2.3款内容修改如下：</w:t>
            </w:r>
          </w:p>
          <w:p w14:paraId="621F6DE5">
            <w:pPr>
              <w:spacing w:line="4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2.3.1在投标人须知前附表规定的截止投标时间15天前，招标人可以书面修改招标文件，并在全国公共资源交易平台 （广东省·韶关市）网站上发布。如果修改招标文件的时间超出规定的截止时间，相应延长投标截止时间。</w:t>
            </w:r>
          </w:p>
          <w:p w14:paraId="101DAACB">
            <w:pPr>
              <w:spacing w:line="400" w:lineRule="exact"/>
              <w:ind w:firstLine="480" w:firstLineChars="200"/>
              <w:rPr>
                <w:rFonts w:hint="eastAsia" w:ascii="宋体" w:hAnsi="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2.3.2招标文件的修改及有关补充通知一经在全国公共资源交易平台 （广东省·韶关市）网站上发布，视作已发放给所有投标人。</w:t>
            </w:r>
            <w:r>
              <w:rPr>
                <w:rFonts w:hint="eastAsia" w:ascii="宋体" w:hAnsi="宋体" w:eastAsia="宋体" w:cs="宋体"/>
                <w:strike w:val="0"/>
                <w:dstrike w:val="0"/>
                <w:color w:val="000000" w:themeColor="text1"/>
                <w:kern w:val="2"/>
                <w:sz w:val="24"/>
                <w:szCs w:val="24"/>
                <w:highlight w:val="none"/>
                <w:lang w:val="en-US" w:eastAsia="zh-CN" w:bidi="ar-SA"/>
                <w14:textFill>
                  <w14:solidFill>
                    <w14:schemeClr w14:val="tx1"/>
                  </w14:solidFill>
                </w14:textFill>
              </w:rPr>
              <w:t>投标人应注意及时浏览网上发出的修改，因投标人自身原因未及时获知修改内容而导致的任何后果将由投标人自行承担。</w:t>
            </w:r>
          </w:p>
        </w:tc>
      </w:tr>
      <w:tr w14:paraId="67243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3CC9CEB3">
            <w:pPr>
              <w:spacing w:line="380" w:lineRule="exact"/>
              <w:jc w:val="center"/>
              <w:rPr>
                <w:rFonts w:hint="eastAsia" w:ascii="宋体" w:hAnsi="宋体" w:cs="宋体"/>
                <w:bCs/>
                <w:color w:val="000000" w:themeColor="text1"/>
                <w:kern w:val="0"/>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3.1.1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3515EC2">
            <w:pPr>
              <w:spacing w:line="38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将投标人须知原文</w:t>
            </w:r>
            <w:r>
              <w:rPr>
                <w:rFonts w:ascii="宋体" w:hAnsi="宋体"/>
                <w:color w:val="000000" w:themeColor="text1"/>
                <w:sz w:val="24"/>
                <w:szCs w:val="24"/>
                <w:highlight w:val="none"/>
                <w14:textFill>
                  <w14:solidFill>
                    <w14:schemeClr w14:val="tx1"/>
                  </w14:solidFill>
                </w14:textFill>
              </w:rPr>
              <w:t>3.1.1</w:t>
            </w:r>
            <w:r>
              <w:rPr>
                <w:rFonts w:hint="eastAsia" w:ascii="宋体" w:hAnsi="宋体"/>
                <w:color w:val="000000" w:themeColor="text1"/>
                <w:sz w:val="24"/>
                <w:szCs w:val="24"/>
                <w:highlight w:val="none"/>
                <w14:textFill>
                  <w14:solidFill>
                    <w14:schemeClr w14:val="tx1"/>
                  </w14:solidFill>
                </w14:textFill>
              </w:rPr>
              <w:t>款修改如下：</w:t>
            </w:r>
          </w:p>
          <w:p w14:paraId="2CB7934B">
            <w:pPr>
              <w:spacing w:line="38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3.1.1 投标文件应包括下列内容：</w:t>
            </w:r>
          </w:p>
          <w:p w14:paraId="49900162">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第一个信封（商务及技术文件）</w:t>
            </w:r>
          </w:p>
          <w:p w14:paraId="4B2F45EA">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(1)投标函及投标函附录；</w:t>
            </w:r>
          </w:p>
          <w:p w14:paraId="540147CA">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(2)授权委托书或法定代表人身份证明；</w:t>
            </w:r>
          </w:p>
          <w:p w14:paraId="45EDB4E5">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(3)投标保证金；</w:t>
            </w:r>
          </w:p>
          <w:p w14:paraId="69834506">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(4)施工组织设计</w:t>
            </w:r>
            <w:r>
              <w:rPr>
                <w:rFonts w:ascii="宋体" w:hAnsi="宋体" w:cs="宋体"/>
                <w:snapToGrid w:val="0"/>
                <w:color w:val="000000" w:themeColor="text1"/>
                <w:spacing w:val="1"/>
                <w:kern w:val="0"/>
                <w:sz w:val="24"/>
                <w:highlight w:val="none"/>
                <w:u w:val="none"/>
                <w14:textFill>
                  <w14:solidFill>
                    <w14:schemeClr w14:val="tx1"/>
                  </w14:solidFill>
                </w14:textFill>
              </w:rPr>
              <w:t>及承包人项目管理方案</w:t>
            </w:r>
            <w:r>
              <w:rPr>
                <w:rFonts w:hint="eastAsia" w:ascii="宋体" w:hAnsi="宋体"/>
                <w:color w:val="000000" w:themeColor="text1"/>
                <w:sz w:val="24"/>
                <w:szCs w:val="24"/>
                <w:highlight w:val="none"/>
                <w14:textFill>
                  <w14:solidFill>
                    <w14:schemeClr w14:val="tx1"/>
                  </w14:solidFill>
                </w14:textFill>
              </w:rPr>
              <w:t>；</w:t>
            </w:r>
          </w:p>
          <w:p w14:paraId="758BFC5B">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(5)项目管理机构；</w:t>
            </w:r>
          </w:p>
          <w:p w14:paraId="739679CF">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(6)拟分包项目情况表</w:t>
            </w:r>
          </w:p>
          <w:p w14:paraId="5BA3F63E">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(7)资格审查资料；</w:t>
            </w:r>
          </w:p>
          <w:p w14:paraId="34DE28D9">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(8)其他材料。</w:t>
            </w:r>
          </w:p>
          <w:p w14:paraId="07A9D089">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第二个信封（报价文件</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定标文件</w:t>
            </w:r>
            <w:r>
              <w:rPr>
                <w:rFonts w:hint="eastAsia" w:ascii="宋体" w:hAnsi="宋体"/>
                <w:color w:val="000000" w:themeColor="text1"/>
                <w:sz w:val="24"/>
                <w:szCs w:val="24"/>
                <w:highlight w:val="none"/>
                <w14:textFill>
                  <w14:solidFill>
                    <w14:schemeClr w14:val="tx1"/>
                  </w14:solidFill>
                </w14:textFill>
              </w:rPr>
              <w:t>）</w:t>
            </w:r>
          </w:p>
          <w:p w14:paraId="386ACED8">
            <w:pPr>
              <w:spacing w:line="380" w:lineRule="exact"/>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（1）报价文件（包含</w:t>
            </w:r>
            <w:r>
              <w:rPr>
                <w:rFonts w:hint="eastAsia" w:ascii="宋体" w:hAnsi="宋体"/>
                <w:color w:val="000000" w:themeColor="text1"/>
                <w:sz w:val="24"/>
                <w:szCs w:val="24"/>
                <w:highlight w:val="none"/>
                <w14:textFill>
                  <w14:solidFill>
                    <w14:schemeClr w14:val="tx1"/>
                  </w14:solidFill>
                </w14:textFill>
              </w:rPr>
              <w:t>投标函</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已标价工程量清单</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w:t>
            </w:r>
          </w:p>
          <w:p w14:paraId="1EDBFFF9">
            <w:pPr>
              <w:spacing w:line="38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（2）定标文件（包含定标资料）</w:t>
            </w:r>
          </w:p>
          <w:p w14:paraId="6226B1B9">
            <w:pPr>
              <w:pStyle w:val="55"/>
              <w:spacing w:line="380" w:lineRule="exact"/>
              <w:ind w:firstLine="561" w:firstLine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Times New Roman"/>
                <w:color w:val="000000" w:themeColor="text1"/>
                <w:sz w:val="24"/>
                <w:szCs w:val="24"/>
                <w:highlight w:val="none"/>
                <w14:textFill>
                  <w14:solidFill>
                    <w14:schemeClr w14:val="tx1"/>
                  </w14:solidFill>
                </w14:textFill>
              </w:rPr>
              <w:t>投标人在评标过程中作出的符合法律法规和招标文件规定的澄清确认，构成投标文件的组成部分。</w:t>
            </w:r>
          </w:p>
        </w:tc>
      </w:tr>
      <w:tr w14:paraId="1E846C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3A2C822">
            <w:pPr>
              <w:pStyle w:val="113"/>
              <w:spacing w:line="380" w:lineRule="exact"/>
              <w:rPr>
                <w:rFonts w:hint="eastAsia" w:ascii="宋体" w:hAnsi="宋体" w:cs="宋体"/>
                <w:color w:val="000000" w:themeColor="text1"/>
                <w:kern w:val="2"/>
                <w:highlight w:val="none"/>
                <w14:textFill>
                  <w14:solidFill>
                    <w14:schemeClr w14:val="tx1"/>
                  </w14:solidFill>
                </w14:textFill>
              </w:rPr>
            </w:pPr>
            <w:r>
              <w:rPr>
                <w:rFonts w:hint="eastAsia" w:ascii="宋体" w:hAnsi="宋体" w:cs="宋体"/>
                <w:color w:val="000000" w:themeColor="text1"/>
                <w:kern w:val="2"/>
                <w:highlight w:val="none"/>
                <w14:textFill>
                  <w14:solidFill>
                    <w14:schemeClr w14:val="tx1"/>
                  </w14:solidFill>
                </w14:textFill>
              </w:rPr>
              <w:t>3.2.1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59686567">
            <w:pPr>
              <w:widowControl/>
              <w:kinsoku w:val="0"/>
              <w:autoSpaceDE w:val="0"/>
              <w:autoSpaceDN w:val="0"/>
              <w:adjustRightInd w:val="0"/>
              <w:snapToGrid w:val="0"/>
              <w:spacing w:line="360" w:lineRule="auto"/>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投标人须知正文第3.2.1</w:t>
            </w:r>
            <w:r>
              <w:rPr>
                <w:rFonts w:ascii="宋体" w:hAnsi="宋体" w:cs="宋体"/>
                <w:snapToGrid w:val="0"/>
                <w:color w:val="000000" w:themeColor="text1"/>
                <w:spacing w:val="-3"/>
                <w:kern w:val="0"/>
                <w:sz w:val="24"/>
                <w:highlight w:val="none"/>
                <w14:textFill>
                  <w14:solidFill>
                    <w14:schemeClr w14:val="tx1"/>
                  </w14:solidFill>
                </w14:textFill>
              </w:rPr>
              <w:t>方式二</w:t>
            </w:r>
            <w:r>
              <w:rPr>
                <w:rFonts w:hint="eastAsia" w:ascii="宋体" w:hAnsi="宋体" w:cs="宋体"/>
                <w:snapToGrid w:val="0"/>
                <w:color w:val="000000" w:themeColor="text1"/>
                <w:spacing w:val="-3"/>
                <w:kern w:val="0"/>
                <w:sz w:val="24"/>
                <w:highlight w:val="none"/>
                <w14:textFill>
                  <w14:solidFill>
                    <w14:schemeClr w14:val="tx1"/>
                  </w14:solidFill>
                </w14:textFill>
              </w:rPr>
              <w:t>增下以下内容</w:t>
            </w:r>
            <w:r>
              <w:rPr>
                <w:rFonts w:ascii="宋体" w:hAnsi="宋体" w:cs="宋体"/>
                <w:snapToGrid w:val="0"/>
                <w:color w:val="000000" w:themeColor="text1"/>
                <w:spacing w:val="-3"/>
                <w:kern w:val="0"/>
                <w:sz w:val="24"/>
                <w:highlight w:val="none"/>
                <w14:textFill>
                  <w14:solidFill>
                    <w14:schemeClr w14:val="tx1"/>
                  </w14:solidFill>
                </w14:textFill>
              </w:rPr>
              <w:t>：</w:t>
            </w:r>
          </w:p>
          <w:p w14:paraId="1F7DAE56">
            <w:pPr>
              <w:widowControl/>
              <w:kinsoku w:val="0"/>
              <w:autoSpaceDE w:val="0"/>
              <w:autoSpaceDN w:val="0"/>
              <w:adjustRightInd w:val="0"/>
              <w:snapToGrid w:val="0"/>
              <w:spacing w:line="360" w:lineRule="auto"/>
              <w:ind w:left="8" w:right="80" w:firstLine="491"/>
              <w:textAlignment w:val="baselin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投标人的投标函文字报价、工程量清单投标报价总价和上传至</w:t>
            </w:r>
            <w:r>
              <w:rPr>
                <w:rFonts w:hint="eastAsia" w:ascii="宋体" w:hAnsi="宋体" w:cs="宋体"/>
                <w:color w:val="000000" w:themeColor="text1"/>
                <w:sz w:val="24"/>
                <w:highlight w:val="none"/>
                <w14:textFill>
                  <w14:solidFill>
                    <w14:schemeClr w14:val="tx1"/>
                  </w14:solidFill>
                </w14:textFill>
              </w:rPr>
              <w:t>全国公共资源交易平台（广东省·韶关市）</w:t>
            </w:r>
            <w:r>
              <w:rPr>
                <w:rFonts w:hint="eastAsia"/>
                <w:color w:val="000000" w:themeColor="text1"/>
                <w:sz w:val="24"/>
                <w:highlight w:val="none"/>
                <w14:textFill>
                  <w14:solidFill>
                    <w14:schemeClr w14:val="tx1"/>
                  </w14:solidFill>
                </w14:textFill>
              </w:rPr>
              <w:t>建设工程交易系统的投标报价三者应该一致。若发生不一致而且是由于投标人的原因所致，将视为重大偏差，其投标将被否决。</w:t>
            </w:r>
          </w:p>
          <w:p w14:paraId="0CC532B7">
            <w:pPr>
              <w:widowControl/>
              <w:kinsoku w:val="0"/>
              <w:autoSpaceDE w:val="0"/>
              <w:autoSpaceDN w:val="0"/>
              <w:adjustRightInd w:val="0"/>
              <w:snapToGrid w:val="0"/>
              <w:spacing w:line="360" w:lineRule="auto"/>
              <w:ind w:left="8" w:right="80" w:firstLine="491"/>
              <w:textAlignment w:val="baselin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报价的所有单价取小数点后两位，所有合价和总价应四舍五入取整数。工程量清单不需要附项目清单、分项清单及单价分析表，但投标人中标后，发包人可要求中标人提交项目清单、分项清单及单价分析表，中标人不得拒绝。</w:t>
            </w:r>
          </w:p>
        </w:tc>
      </w:tr>
      <w:tr w14:paraId="2D74B4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F8B83E6">
            <w:pPr>
              <w:spacing w:line="380" w:lineRule="exact"/>
              <w:jc w:val="center"/>
              <w:rPr>
                <w:rFonts w:hint="eastAsia" w:ascii="宋体" w:hAnsi="宋体" w:cs="宋体"/>
                <w:color w:val="000000" w:themeColor="text1"/>
                <w:sz w:val="24"/>
                <w:highlight w:val="none"/>
                <w:lang w:bidi="zh-CN"/>
                <w14:textFill>
                  <w14:solidFill>
                    <w14:schemeClr w14:val="tx1"/>
                  </w14:solidFill>
                </w14:textFill>
              </w:rPr>
            </w:pPr>
            <w:r>
              <w:rPr>
                <w:rFonts w:hint="eastAsia" w:ascii="宋体" w:hAnsi="宋体" w:cs="宋体"/>
                <w:color w:val="000000" w:themeColor="text1"/>
                <w:sz w:val="24"/>
                <w:highlight w:val="none"/>
                <w:lang w:bidi="zh-CN"/>
                <w14:textFill>
                  <w14:solidFill>
                    <w14:schemeClr w14:val="tx1"/>
                  </w14:solidFill>
                </w14:textFill>
              </w:rPr>
              <w:t>3.4.1</w:t>
            </w:r>
          </w:p>
        </w:tc>
        <w:tc>
          <w:tcPr>
            <w:tcW w:w="9181" w:type="dxa"/>
            <w:gridSpan w:val="2"/>
            <w:tcBorders>
              <w:top w:val="single" w:color="auto" w:sz="4" w:space="0"/>
              <w:left w:val="single" w:color="auto" w:sz="2" w:space="0"/>
              <w:bottom w:val="single" w:color="auto" w:sz="4" w:space="0"/>
              <w:right w:val="single" w:color="auto" w:sz="12" w:space="0"/>
            </w:tcBorders>
          </w:tcPr>
          <w:p w14:paraId="3ECAF6D4">
            <w:pPr>
              <w:pStyle w:val="113"/>
              <w:wordWrap w:val="0"/>
              <w:snapToGrid w:val="0"/>
              <w:spacing w:line="400" w:lineRule="exact"/>
              <w:ind w:left="42" w:leftChars="20" w:right="6" w:firstLine="120" w:firstLineChars="50"/>
              <w:jc w:val="left"/>
              <w:rPr>
                <w:rFonts w:hint="eastAsia" w:ascii="宋体" w:hAnsi="宋体" w:cs="宋体"/>
                <w:color w:val="000000" w:themeColor="text1"/>
                <w:spacing w:val="-2"/>
                <w:highlight w:val="none"/>
                <w14:textFill>
                  <w14:solidFill>
                    <w14:schemeClr w14:val="tx1"/>
                  </w14:solidFill>
                </w14:textFill>
              </w:rPr>
            </w:pPr>
            <w:r>
              <w:rPr>
                <w:rFonts w:hint="eastAsia" w:ascii="宋体" w:hAnsi="宋体" w:cs="宋体"/>
                <w:color w:val="000000" w:themeColor="text1"/>
                <w:highlight w:val="none"/>
                <w:lang w:val="zh-CN" w:bidi="zh-CN"/>
                <w14:textFill>
                  <w14:solidFill>
                    <w14:schemeClr w14:val="tx1"/>
                  </w14:solidFill>
                </w14:textFill>
              </w:rPr>
              <w:t>投标人须知正文第3.4.</w:t>
            </w:r>
            <w:r>
              <w:rPr>
                <w:rFonts w:hint="eastAsia" w:ascii="宋体" w:hAnsi="宋体" w:cs="宋体"/>
                <w:color w:val="000000" w:themeColor="text1"/>
                <w:highlight w:val="none"/>
                <w:lang w:bidi="zh-CN"/>
                <w14:textFill>
                  <w14:solidFill>
                    <w14:schemeClr w14:val="tx1"/>
                  </w14:solidFill>
                </w14:textFill>
              </w:rPr>
              <w:t>1</w:t>
            </w:r>
            <w:r>
              <w:rPr>
                <w:rFonts w:hint="eastAsia" w:ascii="宋体" w:hAnsi="宋体" w:cs="宋体"/>
                <w:color w:val="000000" w:themeColor="text1"/>
                <w:highlight w:val="none"/>
                <w:lang w:val="zh-CN" w:bidi="zh-CN"/>
                <w14:textFill>
                  <w14:solidFill>
                    <w14:schemeClr w14:val="tx1"/>
                  </w14:solidFill>
                </w14:textFill>
              </w:rPr>
              <w:t xml:space="preserve">款项修改如下：  </w:t>
            </w:r>
          </w:p>
          <w:p w14:paraId="36445886">
            <w:pPr>
              <w:pStyle w:val="113"/>
              <w:wordWrap w:val="0"/>
              <w:snapToGrid w:val="0"/>
              <w:spacing w:line="400" w:lineRule="exact"/>
              <w:ind w:left="42" w:leftChars="20" w:right="6" w:firstLine="118" w:firstLineChars="50"/>
              <w:jc w:val="left"/>
              <w:rPr>
                <w:rFonts w:hint="eastAsia" w:ascii="宋体" w:hAnsi="宋体" w:cs="宋体"/>
                <w:bCs/>
                <w:color w:val="000000" w:themeColor="text1"/>
                <w:highlight w:val="none"/>
                <w14:textFill>
                  <w14:solidFill>
                    <w14:schemeClr w14:val="tx1"/>
                  </w14:solidFill>
                </w14:textFill>
              </w:rPr>
            </w:pPr>
            <w:r>
              <w:rPr>
                <w:rFonts w:ascii="宋体" w:hAnsi="宋体" w:cs="宋体"/>
                <w:color w:val="000000" w:themeColor="text1"/>
                <w:spacing w:val="-2"/>
                <w:highlight w:val="none"/>
                <w14:textFill>
                  <w14:solidFill>
                    <w14:schemeClr w14:val="tx1"/>
                  </w14:solidFill>
                </w14:textFill>
              </w:rPr>
              <w:t>3.4.1 投标人在递交投标文件的同时，应按投标人须知前附表规定的金额递交投标保证金，并作为其投标文件的</w:t>
            </w:r>
            <w:r>
              <w:rPr>
                <w:rFonts w:ascii="宋体" w:hAnsi="宋体" w:cs="宋体"/>
                <w:color w:val="000000" w:themeColor="text1"/>
                <w:spacing w:val="-3"/>
                <w:highlight w:val="none"/>
                <w14:textFill>
                  <w14:solidFill>
                    <w14:schemeClr w14:val="tx1"/>
                  </w14:solidFill>
                </w14:textFill>
              </w:rPr>
              <w:t>组成部</w:t>
            </w:r>
            <w:r>
              <w:rPr>
                <w:rFonts w:ascii="宋体" w:hAnsi="宋体" w:cs="宋体"/>
                <w:color w:val="000000" w:themeColor="text1"/>
                <w:spacing w:val="-1"/>
                <w:highlight w:val="none"/>
                <w14:textFill>
                  <w14:solidFill>
                    <w14:schemeClr w14:val="tx1"/>
                  </w14:solidFill>
                </w14:textFill>
              </w:rPr>
              <w:t>分。</w:t>
            </w:r>
            <w:r>
              <w:rPr>
                <w:rFonts w:hint="eastAsia" w:ascii="宋体" w:hAnsi="宋体" w:cs="宋体"/>
                <w:color w:val="000000" w:themeColor="text1"/>
                <w:spacing w:val="-1"/>
                <w:highlight w:val="none"/>
                <w:lang w:eastAsia="zh-CN"/>
                <w14:textFill>
                  <w14:solidFill>
                    <w14:schemeClr w14:val="tx1"/>
                  </w14:solidFill>
                </w14:textFill>
              </w:rPr>
              <w:t>（</w:t>
            </w:r>
            <w:r>
              <w:rPr>
                <w:rFonts w:hint="eastAsia" w:ascii="宋体" w:hAnsi="宋体" w:cs="宋体"/>
                <w:color w:val="000000" w:themeColor="text1"/>
                <w:spacing w:val="-1"/>
                <w:highlight w:val="none"/>
                <w:lang w:val="en-US" w:eastAsia="zh-CN"/>
                <w14:textFill>
                  <w14:solidFill>
                    <w14:schemeClr w14:val="tx1"/>
                  </w14:solidFill>
                </w14:textFill>
              </w:rPr>
              <w:t>如</w:t>
            </w:r>
            <w:r>
              <w:rPr>
                <w:rFonts w:hint="eastAsia" w:ascii="宋体" w:hAnsi="宋体" w:cs="宋体"/>
                <w:color w:val="000000" w:themeColor="text1"/>
                <w:spacing w:val="-1"/>
                <w:highlight w:val="none"/>
                <w:lang w:eastAsia="zh-CN"/>
                <w14:textFill>
                  <w14:solidFill>
                    <w14:schemeClr w14:val="tx1"/>
                  </w14:solidFill>
                </w14:textFill>
              </w:rPr>
              <w:t>）</w:t>
            </w:r>
            <w:r>
              <w:rPr>
                <w:rFonts w:ascii="宋体" w:hAnsi="宋体" w:cs="宋体"/>
                <w:color w:val="000000" w:themeColor="text1"/>
                <w:spacing w:val="-1"/>
                <w:highlight w:val="none"/>
                <w14:textFill>
                  <w14:solidFill>
                    <w14:schemeClr w14:val="tx1"/>
                  </w14:solidFill>
                </w14:textFill>
              </w:rPr>
              <w:t>联合体投标的，其投标保证金由牵头人递交，并应符合投标人须知前附表的规定。</w:t>
            </w:r>
          </w:p>
          <w:p w14:paraId="4C8431E8">
            <w:pPr>
              <w:pStyle w:val="113"/>
              <w:wordWrap w:val="0"/>
              <w:snapToGrid w:val="0"/>
              <w:spacing w:line="400" w:lineRule="exact"/>
              <w:ind w:left="42" w:leftChars="20" w:right="6" w:firstLine="120" w:firstLineChars="50"/>
              <w:jc w:val="left"/>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投标保证金的有关说明： </w:t>
            </w:r>
          </w:p>
          <w:p w14:paraId="01714037">
            <w:pPr>
              <w:pStyle w:val="99"/>
              <w:wordWrap w:val="0"/>
              <w:adjustRightInd w:val="0"/>
              <w:snapToGrid w:val="0"/>
              <w:spacing w:line="420" w:lineRule="exact"/>
              <w:ind w:left="42" w:leftChars="20" w:right="6" w:firstLine="480" w:firstLineChars="2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投标保证的形式包括投标保证金、投标保证担保、投标保证保险担保三种，由投标人自主选择。</w:t>
            </w:r>
          </w:p>
          <w:p w14:paraId="2596B4D4">
            <w:pPr>
              <w:pStyle w:val="99"/>
              <w:wordWrap w:val="0"/>
              <w:adjustRightInd w:val="0"/>
              <w:snapToGrid w:val="0"/>
              <w:spacing w:line="420" w:lineRule="exact"/>
              <w:ind w:left="42" w:leftChars="20" w:right="6"/>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见“重要事项时间地点一览表”）前，从其基本账户将投标保证金转账到指定的缴纳账号。逾期到账的、从非投标人基本账户转出的，其投标无效。</w:t>
            </w:r>
          </w:p>
          <w:p w14:paraId="5534B521">
            <w:pPr>
              <w:pStyle w:val="99"/>
              <w:wordWrap w:val="0"/>
              <w:adjustRightInd w:val="0"/>
              <w:snapToGrid w:val="0"/>
              <w:spacing w:line="420" w:lineRule="exact"/>
              <w:ind w:left="42" w:leftChars="20" w:right="6"/>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5374D528">
            <w:pPr>
              <w:pStyle w:val="99"/>
              <w:wordWrap w:val="0"/>
              <w:adjustRightInd w:val="0"/>
              <w:snapToGrid w:val="0"/>
              <w:spacing w:line="420" w:lineRule="exact"/>
              <w:ind w:left="42" w:leftChars="20" w:right="6"/>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472D5B76">
            <w:pPr>
              <w:pStyle w:val="99"/>
              <w:wordWrap w:val="0"/>
              <w:adjustRightInd w:val="0"/>
              <w:snapToGrid w:val="0"/>
              <w:spacing w:line="420" w:lineRule="exact"/>
              <w:ind w:left="42" w:leftChars="20" w:right="6"/>
              <w:rPr>
                <w:rFonts w:hint="eastAsia" w:ascii="宋体" w:hAnsi="宋体" w:cs="宋体"/>
                <w:color w:val="000000" w:themeColor="text1"/>
                <w:sz w:val="24"/>
                <w:highlight w:val="none"/>
                <w:lang w:val="zh-CN" w:bidi="zh-CN"/>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温馨提醒：投标人采用投标保证担保、投标保证保险的，为避免在评标过程中因有效期发生争议，建议投标人将银行保函有效期设置为较招标文件规定的投标有效期延长不少于20个日历天。</w:t>
            </w:r>
          </w:p>
        </w:tc>
      </w:tr>
      <w:tr w14:paraId="40480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3A04D46">
            <w:pPr>
              <w:spacing w:line="38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3.4</w:t>
            </w:r>
            <w:r>
              <w:rPr>
                <w:rFonts w:hint="eastAsia" w:ascii="宋体" w:hAnsi="宋体" w:cs="宋体"/>
                <w:color w:val="000000" w:themeColor="text1"/>
                <w:sz w:val="24"/>
                <w:highlight w:val="none"/>
                <w:lang w:bidi="zh-CN"/>
                <w14:textFill>
                  <w14:solidFill>
                    <w14:schemeClr w14:val="tx1"/>
                  </w14:solidFill>
                </w14:textFill>
              </w:rPr>
              <w:t>.3</w:t>
            </w:r>
          </w:p>
        </w:tc>
        <w:tc>
          <w:tcPr>
            <w:tcW w:w="9181" w:type="dxa"/>
            <w:gridSpan w:val="2"/>
            <w:tcBorders>
              <w:top w:val="single" w:color="auto" w:sz="4" w:space="0"/>
              <w:left w:val="single" w:color="auto" w:sz="2" w:space="0"/>
              <w:bottom w:val="single" w:color="auto" w:sz="4" w:space="0"/>
              <w:right w:val="single" w:color="auto" w:sz="12" w:space="0"/>
            </w:tcBorders>
          </w:tcPr>
          <w:p w14:paraId="3E084F10">
            <w:pPr>
              <w:spacing w:line="380" w:lineRule="exact"/>
              <w:rPr>
                <w:rFonts w:hint="eastAsia" w:ascii="宋体" w:hAnsi="宋体" w:cs="宋体"/>
                <w:color w:val="000000" w:themeColor="text1"/>
                <w:sz w:val="24"/>
                <w:highlight w:val="none"/>
                <w:lang w:val="zh-CN" w:bidi="zh-CN"/>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 xml:space="preserve">投标人须知正文第3.4.3款项修改如下：     </w:t>
            </w:r>
          </w:p>
          <w:p w14:paraId="0B02D863">
            <w:pPr>
              <w:spacing w:line="38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中标人的投标保证金，系统在收到招标人与中标人所签合同后五日内退还原转出银行帐号；未中标投标人的投标保证金退还，按法定的评标结果、中标结果公示结束或异议处理结束后五日内分批退还至原转出银行帐号。</w:t>
            </w:r>
          </w:p>
        </w:tc>
      </w:tr>
      <w:tr w14:paraId="45BD8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37123D1">
            <w:pPr>
              <w:spacing w:line="38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3.5.2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F5173AC">
            <w:pPr>
              <w:spacing w:line="380" w:lineRule="exact"/>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 xml:space="preserve">本项目使用投标人须知 </w:t>
            </w:r>
            <w:bookmarkStart w:id="13" w:name="_Hlk223094797"/>
            <w:r>
              <w:rPr>
                <w:rFonts w:hint="eastAsia" w:ascii="宋体" w:hAnsi="宋体" w:cs="宋体"/>
                <w:color w:val="000000" w:themeColor="text1"/>
                <w:sz w:val="24"/>
                <w:highlight w:val="none"/>
                <w:lang w:val="zh-CN" w:bidi="zh-CN"/>
                <w14:textFill>
                  <w14:solidFill>
                    <w14:schemeClr w14:val="tx1"/>
                  </w14:solidFill>
                </w14:textFill>
              </w:rPr>
              <w:t>3.5.2</w:t>
            </w:r>
            <w:bookmarkEnd w:id="13"/>
            <w:r>
              <w:rPr>
                <w:rFonts w:hint="eastAsia" w:ascii="宋体" w:hAnsi="宋体" w:cs="宋体"/>
                <w:color w:val="000000" w:themeColor="text1"/>
                <w:sz w:val="24"/>
                <w:highlight w:val="none"/>
                <w:lang w:val="zh-CN" w:bidi="zh-CN"/>
                <w14:textFill>
                  <w14:solidFill>
                    <w14:schemeClr w14:val="tx1"/>
                  </w14:solidFill>
                </w14:textFill>
              </w:rPr>
              <w:t>（</w:t>
            </w:r>
            <w:r>
              <w:rPr>
                <w:rFonts w:hint="eastAsia" w:ascii="宋体" w:hAnsi="宋体" w:cs="宋体"/>
                <w:color w:val="000000" w:themeColor="text1"/>
                <w:sz w:val="24"/>
                <w:highlight w:val="none"/>
                <w:lang w:bidi="zh-CN"/>
                <w14:textFill>
                  <w14:solidFill>
                    <w14:schemeClr w14:val="tx1"/>
                  </w14:solidFill>
                </w14:textFill>
              </w:rPr>
              <w:t>a</w:t>
            </w:r>
            <w:r>
              <w:rPr>
                <w:rFonts w:hint="eastAsia" w:ascii="宋体" w:hAnsi="宋体" w:cs="宋体"/>
                <w:color w:val="000000" w:themeColor="text1"/>
                <w:sz w:val="24"/>
                <w:highlight w:val="none"/>
                <w:lang w:val="zh-CN" w:bidi="zh-CN"/>
                <w14:textFill>
                  <w14:solidFill>
                    <w14:schemeClr w14:val="tx1"/>
                  </w14:solidFill>
                </w14:textFill>
              </w:rPr>
              <w:t>）</w:t>
            </w:r>
            <w:r>
              <w:rPr>
                <w:rFonts w:hint="eastAsia" w:ascii="宋体" w:hAnsi="宋体" w:cs="宋体"/>
                <w:color w:val="000000" w:themeColor="text1"/>
                <w:sz w:val="24"/>
                <w:highlight w:val="none"/>
                <w:lang w:bidi="zh-CN"/>
                <w14:textFill>
                  <w14:solidFill>
                    <w14:schemeClr w14:val="tx1"/>
                  </w14:solidFill>
                </w14:textFill>
              </w:rPr>
              <w:t>或</w:t>
            </w:r>
            <w:r>
              <w:rPr>
                <w:rFonts w:hint="eastAsia" w:ascii="宋体" w:hAnsi="宋体" w:cs="宋体"/>
                <w:color w:val="000000" w:themeColor="text1"/>
                <w:sz w:val="24"/>
                <w:highlight w:val="none"/>
                <w:lang w:val="zh-CN" w:bidi="zh-CN"/>
                <w14:textFill>
                  <w14:solidFill>
                    <w14:schemeClr w14:val="tx1"/>
                  </w14:solidFill>
                </w14:textFill>
              </w:rPr>
              <w:t>3.5.2</w:t>
            </w:r>
            <w:r>
              <w:rPr>
                <w:rFonts w:hint="eastAsia" w:ascii="宋体" w:hAnsi="宋体" w:cs="宋体"/>
                <w:color w:val="000000" w:themeColor="text1"/>
                <w:sz w:val="24"/>
                <w:highlight w:val="none"/>
                <w:lang w:bidi="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b</w:t>
            </w:r>
            <w:r>
              <w:rPr>
                <w:rFonts w:hint="eastAsia" w:ascii="宋体" w:hAnsi="宋体" w:cs="宋体"/>
                <w:color w:val="000000" w:themeColor="text1"/>
                <w:sz w:val="24"/>
                <w:highlight w:val="none"/>
                <w:lang w:bidi="zh-CN"/>
                <w14:textFill>
                  <w14:solidFill>
                    <w14:schemeClr w14:val="tx1"/>
                  </w14:solidFill>
                </w14:textFill>
              </w:rPr>
              <w:t>）</w:t>
            </w:r>
            <w:r>
              <w:rPr>
                <w:rFonts w:hint="eastAsia" w:ascii="宋体" w:hAnsi="宋体" w:cs="宋体"/>
                <w:color w:val="000000" w:themeColor="text1"/>
                <w:sz w:val="24"/>
                <w:highlight w:val="none"/>
                <w:lang w:val="zh-CN" w:bidi="zh-CN"/>
                <w14:textFill>
                  <w14:solidFill>
                    <w14:schemeClr w14:val="tx1"/>
                  </w14:solidFill>
                </w14:textFill>
              </w:rPr>
              <w:t>款正文内容。</w:t>
            </w:r>
          </w:p>
        </w:tc>
      </w:tr>
      <w:tr w14:paraId="7674CD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37"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CACBAFB">
            <w:pPr>
              <w:spacing w:line="360" w:lineRule="auto"/>
              <w:jc w:val="center"/>
              <w:rPr>
                <w:rFonts w:hint="eastAsia" w:ascii="宋体" w:hAnsi="宋体" w:cs="宋体"/>
                <w:color w:val="000000" w:themeColor="text1"/>
                <w:sz w:val="24"/>
                <w:highlight w:val="none"/>
                <w:lang w:val="zh-CN" w:bidi="zh-CN"/>
                <w14:textFill>
                  <w14:solidFill>
                    <w14:schemeClr w14:val="tx1"/>
                  </w14:solidFill>
                </w14:textFill>
              </w:rPr>
            </w:pPr>
            <w:r>
              <w:rPr>
                <w:rFonts w:hint="eastAsia" w:ascii="宋体" w:hAnsi="宋体" w:cs="宋体"/>
                <w:color w:val="000000" w:themeColor="text1"/>
                <w:sz w:val="24"/>
                <w:highlight w:val="none"/>
                <w:lang w:val="zh-CN" w:bidi="zh-CN"/>
                <w14:textFill>
                  <w14:solidFill>
                    <w14:schemeClr w14:val="tx1"/>
                  </w14:solidFill>
                </w14:textFill>
              </w:rPr>
              <w:t>3.5.3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3EC6C6B0">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本项目使用投标人须知 3.5.3 (b) 款正文内容。</w:t>
            </w:r>
          </w:p>
        </w:tc>
      </w:tr>
      <w:tr w14:paraId="0EF9F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13369CFE">
            <w:pPr>
              <w:spacing w:line="380" w:lineRule="exact"/>
              <w:jc w:val="center"/>
              <w:rPr>
                <w:rFonts w:hint="eastAsia" w:ascii="宋体" w:hAnsi="宋体" w:cs="宋体"/>
                <w:color w:val="000000" w:themeColor="text1"/>
                <w:sz w:val="24"/>
                <w:highlight w:val="none"/>
                <w:lang w:val="zh-CN" w:bidi="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3.5.5</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0E68E21B">
            <w:pPr>
              <w:autoSpaceDE w:val="0"/>
              <w:autoSpaceDN w:val="0"/>
              <w:adjustRightInd w:val="0"/>
              <w:spacing w:line="380" w:lineRule="exact"/>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本项目使用投标人须知 3.5.5 (</w:t>
            </w:r>
            <w:r>
              <w:rPr>
                <w:rFonts w:hint="eastAsia" w:ascii="宋体" w:hAnsi="宋体"/>
                <w:color w:val="000000" w:themeColor="text1"/>
                <w:sz w:val="24"/>
                <w:highlight w:val="none"/>
                <w14:textFill>
                  <w14:solidFill>
                    <w14:schemeClr w14:val="tx1"/>
                  </w14:solidFill>
                </w14:textFill>
              </w:rPr>
              <w:t>b</w:t>
            </w:r>
            <w:r>
              <w:rPr>
                <w:rFonts w:ascii="宋体" w:hAnsi="宋体"/>
                <w:color w:val="000000" w:themeColor="text1"/>
                <w:sz w:val="24"/>
                <w:highlight w:val="none"/>
                <w14:textFill>
                  <w14:solidFill>
                    <w14:schemeClr w14:val="tx1"/>
                  </w14:solidFill>
                </w14:textFill>
              </w:rPr>
              <w:t>) 款正文内容。</w:t>
            </w:r>
          </w:p>
        </w:tc>
      </w:tr>
      <w:tr w14:paraId="69C98C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44E79126">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528EA943">
            <w:pPr>
              <w:pStyle w:val="99"/>
              <w:spacing w:line="400" w:lineRule="exact"/>
              <w:ind w:left="105" w:leftChars="50" w:right="105" w:rightChars="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删除原 3.5.6 项内容，修改如下：</w:t>
            </w:r>
          </w:p>
          <w:p w14:paraId="47FFFBA7">
            <w:pPr>
              <w:spacing w:line="400" w:lineRule="exact"/>
              <w:ind w:right="105" w:rightChars="50" w:firstLine="240" w:firstLine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“拟委任的其他管理和技术人员情况表”(如有) ，应按本章附录6备注要求承诺。</w:t>
            </w:r>
          </w:p>
        </w:tc>
      </w:tr>
      <w:tr w14:paraId="149357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19DA11ED">
            <w:pPr>
              <w:spacing w:line="38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3.5.7</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65F681BB">
            <w:pPr>
              <w:pStyle w:val="99"/>
              <w:spacing w:line="380" w:lineRule="atLeast"/>
              <w:ind w:left="105" w:leftChars="50" w:right="105" w:rightChars="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删除原 3.5.7 项内容，修改如下：</w:t>
            </w:r>
          </w:p>
          <w:p w14:paraId="67A2A4A6">
            <w:pPr>
              <w:pStyle w:val="99"/>
              <w:spacing w:line="380" w:lineRule="exact"/>
              <w:ind w:right="227" w:firstLine="240" w:firstLineChars="10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“拟投入本标段的主要设备表”（如有），应按本章附录7备注要求承诺。</w:t>
            </w:r>
          </w:p>
        </w:tc>
      </w:tr>
      <w:tr w14:paraId="391E2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5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8828F23">
            <w:pPr>
              <w:spacing w:line="380" w:lineRule="exact"/>
              <w:ind w:left="105" w:leftChars="50" w:right="105" w:rightChars="5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3.5.12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6E28A7DC">
            <w:pPr>
              <w:spacing w:line="380" w:lineRule="atLeast"/>
              <w:ind w:left="105" w:leftChars="50" w:right="105" w:rightChars="5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投标人须知正文增加第3.5.12项，内容如下：</w:t>
            </w:r>
          </w:p>
          <w:p w14:paraId="2CE14EC0">
            <w:pPr>
              <w:spacing w:line="380" w:lineRule="atLeast"/>
              <w:ind w:left="105" w:leftChars="50" w:right="105" w:rightChars="50"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投标人在资格预审申请文件中填报的项目经理</w:t>
            </w:r>
            <w:r>
              <w:rPr>
                <w:rFonts w:hint="eastAsia" w:ascii="宋体" w:hAnsi="宋体" w:cs="宋体"/>
                <w:color w:val="000000" w:themeColor="text1"/>
                <w:sz w:val="24"/>
                <w:highlight w:val="none"/>
                <w:u w:val="single"/>
                <w14:textFill>
                  <w14:solidFill>
                    <w14:schemeClr w14:val="tx1"/>
                  </w14:solidFill>
                </w14:textFill>
              </w:rPr>
              <w:t>（以及备选人，如有）</w:t>
            </w:r>
            <w:r>
              <w:rPr>
                <w:rFonts w:hint="eastAsia" w:ascii="宋体" w:hAnsi="宋体" w:cs="宋体"/>
                <w:color w:val="000000" w:themeColor="text1"/>
                <w:sz w:val="24"/>
                <w:highlight w:val="none"/>
                <w14:textFill>
                  <w14:solidFill>
                    <w14:schemeClr w14:val="tx1"/>
                  </w14:solidFill>
                </w14:textFill>
              </w:rPr>
              <w:t>和项目总工</w:t>
            </w:r>
            <w:r>
              <w:rPr>
                <w:rFonts w:hint="eastAsia" w:ascii="宋体" w:hAnsi="宋体" w:cs="宋体"/>
                <w:color w:val="000000" w:themeColor="text1"/>
                <w:sz w:val="24"/>
                <w:highlight w:val="none"/>
                <w:u w:val="single"/>
                <w14:textFill>
                  <w14:solidFill>
                    <w14:schemeClr w14:val="tx1"/>
                  </w14:solidFill>
                </w14:textFill>
              </w:rPr>
              <w:t>（以及备选人，如有）</w:t>
            </w:r>
            <w:r>
              <w:rPr>
                <w:rFonts w:hint="eastAsia" w:ascii="宋体" w:hAnsi="宋体" w:cs="宋体"/>
                <w:color w:val="000000" w:themeColor="text1"/>
                <w:sz w:val="24"/>
                <w:highlight w:val="none"/>
                <w14:textFill>
                  <w14:solidFill>
                    <w14:schemeClr w14:val="tx1"/>
                  </w14:solidFill>
                </w14:textFill>
              </w:rPr>
              <w:t>在投标阶段原则上不允许更换，特殊情况可除外：</w:t>
            </w:r>
            <w:r>
              <w:rPr>
                <w:rFonts w:hint="eastAsia" w:ascii="宋体" w:hAnsi="宋体" w:cs="宋体"/>
                <w:color w:val="000000" w:themeColor="text1"/>
                <w:sz w:val="24"/>
                <w:highlight w:val="none"/>
                <w:u w:val="single"/>
                <w14:textFill>
                  <w14:solidFill>
                    <w14:schemeClr w14:val="tx1"/>
                  </w14:solidFill>
                </w14:textFill>
              </w:rPr>
              <w:t>因不可抗力因素导致</w:t>
            </w:r>
            <w:r>
              <w:rPr>
                <w:rFonts w:hint="eastAsia" w:ascii="宋体" w:hAnsi="宋体" w:cs="宋体"/>
                <w:color w:val="000000" w:themeColor="text1"/>
                <w:sz w:val="24"/>
                <w:highlight w:val="none"/>
                <w14:textFill>
                  <w14:solidFill>
                    <w14:schemeClr w14:val="tx1"/>
                  </w14:solidFill>
                </w14:textFill>
              </w:rPr>
              <w:t>。</w:t>
            </w:r>
          </w:p>
        </w:tc>
      </w:tr>
      <w:tr w14:paraId="49949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43B0396D">
            <w:pPr>
              <w:pStyle w:val="113"/>
              <w:spacing w:line="38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5.2.1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69F03085">
            <w:pPr>
              <w:spacing w:line="380" w:lineRule="atLeast"/>
              <w:ind w:right="105" w:rightChars="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投标人须知正文 5.2.1项内容修改如下：</w:t>
            </w:r>
          </w:p>
          <w:p w14:paraId="6CFAB1A7">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主持人按下列程序对投标文件第一个信封（商务及技术文件）进行开标：</w:t>
            </w:r>
          </w:p>
          <w:p w14:paraId="0707BCEB">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（1）开标由招标人或其委托的招标代理机构主持，宣布开标纪律。</w:t>
            </w:r>
          </w:p>
          <w:p w14:paraId="0F6B9958">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（2）宣布唱标人、记录人、见证人、监督人等有关人员姓名。</w:t>
            </w:r>
          </w:p>
          <w:p w14:paraId="4C0F55E9">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（3）在公共资源交易场所工作人员见证下由招标代理机构对投标人的电子投标信息进行解密，建设工程交易系统自动生成并公布《投标保证缴纳情况表》和《开标一览表》。</w:t>
            </w:r>
          </w:p>
          <w:p w14:paraId="2275D435">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（4）唱标人检查《投标保证缴纳情况表》中各投标人所缴纳投标保证的金额、有效期是否符合招标文件规定。若不符合规定，该投标人的投标无效。将有关情形在《投标保证缴纳情况表》“备注”栏中注明。</w:t>
            </w:r>
          </w:p>
          <w:p w14:paraId="5E171369">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（5）唱标人检查《第一个信封开标一览表》中各投标人的标段名称、投标人名称、工期是否符合招标文件规定。若不符合规定，招标代理机构应将有关情形在《开标一览表》“备注”栏中注明。</w:t>
            </w:r>
          </w:p>
          <w:p w14:paraId="391922B0">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（6）招标人代表、唱标人、记录人等有关人员在《投标保证缴纳情况表》以及《第一个信封开标一览表》上签字确认。</w:t>
            </w:r>
          </w:p>
          <w:p w14:paraId="13FA32A9">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（7）主持人宣布有关注意事项后，宣布第一个信封（商务及技术文件）开标结束。</w:t>
            </w:r>
          </w:p>
        </w:tc>
      </w:tr>
      <w:tr w14:paraId="5456F6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074B2D41">
            <w:pPr>
              <w:pStyle w:val="113"/>
              <w:spacing w:line="38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5.2.3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DEB5E48">
            <w:pPr>
              <w:spacing w:line="380" w:lineRule="atLeast"/>
              <w:ind w:right="105" w:rightChars="5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投标人须知正文 5.2.3项内容修改如下：</w:t>
            </w:r>
          </w:p>
          <w:p w14:paraId="5DE4B798">
            <w:pPr>
              <w:pStyle w:val="107"/>
              <w:spacing w:line="360" w:lineRule="auto"/>
              <w:ind w:firstLine="480" w:firstLineChars="200"/>
              <w:rPr>
                <w:rFonts w:asci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招标人将按照本章5.1款规定的时间和地点对通过投标文件第一个信封（商务及技术文件）评审的投标文件第二个信封（报价文件）进行开标。主持人按下列程序进行开标：</w:t>
            </w:r>
          </w:p>
          <w:p w14:paraId="346BFCF1">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（1）开标由招标人或其委托的招标代理机构主持，宣布开标纪律。</w:t>
            </w:r>
          </w:p>
          <w:p w14:paraId="78058B17">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（2）主持人宣布唱标人、记录人、见证人、监督人等有关人员姓名。</w:t>
            </w:r>
          </w:p>
          <w:p w14:paraId="7145F8F6">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（3）主持人宣布通过第一个信封（商务及技术文件）评审的投标人名单。</w:t>
            </w:r>
          </w:p>
          <w:p w14:paraId="46FAB4B1">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（4）唱标人检查《第二个信封开标一览表》中各投标人的标段名称、投标人名称、投标报价是否符合招标文件规定。若不符合规定，招标代理机构应将有关情形在《开标一览表》“备注”栏中注明。</w:t>
            </w:r>
          </w:p>
          <w:p w14:paraId="2526065D">
            <w:pPr>
              <w:pStyle w:val="99"/>
              <w:spacing w:before="6" w:line="360" w:lineRule="auto"/>
              <w:ind w:left="4" w:right="225"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（5）招标人代表、唱标人、记录人等有关人员在《第二个信封开标一览表》上签字确认。</w:t>
            </w:r>
          </w:p>
          <w:p w14:paraId="6251A3CC">
            <w:pPr>
              <w:pStyle w:val="113"/>
              <w:spacing w:line="380" w:lineRule="exact"/>
              <w:ind w:firstLine="480" w:firstLineChars="20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（7）宣布第二个信封（报价文件）开标结束。</w:t>
            </w:r>
          </w:p>
        </w:tc>
      </w:tr>
      <w:tr w14:paraId="6882D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A3E1058">
            <w:pPr>
              <w:pStyle w:val="113"/>
              <w:spacing w:line="380" w:lineRule="exact"/>
              <w:ind w:firstLine="0" w:firstLineChars="0"/>
              <w:rPr>
                <w:rFonts w:hint="eastAsia"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6.3.2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393E16C3">
            <w:pPr>
              <w:keepNext w:val="0"/>
              <w:keepLines w:val="0"/>
              <w:pageBreakBefore w:val="0"/>
              <w:widowControl w:val="0"/>
              <w:kinsoku/>
              <w:wordWrap/>
              <w:overflowPunct/>
              <w:topLinePunct w:val="0"/>
              <w:autoSpaceDE/>
              <w:autoSpaceDN/>
              <w:bidi w:val="0"/>
              <w:adjustRightInd/>
              <w:snapToGrid/>
              <w:spacing w:line="380" w:lineRule="atLeast"/>
              <w:ind w:right="105" w:rightChars="5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投标人须知正文</w:t>
            </w:r>
            <w:r>
              <w:rPr>
                <w:rFonts w:hint="eastAsia" w:ascii="宋体" w:hAnsi="宋体" w:eastAsia="宋体" w:cs="宋体"/>
                <w:color w:val="000000" w:themeColor="text1"/>
                <w:sz w:val="24"/>
                <w:szCs w:val="24"/>
                <w:highlight w:val="none"/>
                <w:lang w:val="en-US" w:eastAsia="zh-CN"/>
                <w14:textFill>
                  <w14:solidFill>
                    <w14:schemeClr w14:val="tx1"/>
                  </w14:solidFill>
                </w14:textFill>
              </w:rPr>
              <w:t>6.3.2</w:t>
            </w:r>
            <w:r>
              <w:rPr>
                <w:rFonts w:hint="eastAsia" w:ascii="宋体" w:hAnsi="宋体" w:eastAsia="宋体" w:cs="宋体"/>
                <w:color w:val="000000" w:themeColor="text1"/>
                <w:sz w:val="24"/>
                <w:szCs w:val="24"/>
                <w:highlight w:val="none"/>
                <w14:textFill>
                  <w14:solidFill>
                    <w14:schemeClr w14:val="tx1"/>
                  </w14:solidFill>
                </w14:textFill>
              </w:rPr>
              <w:t>项内容修改如下：</w:t>
            </w:r>
          </w:p>
          <w:p w14:paraId="6D4F199A">
            <w:pPr>
              <w:pStyle w:val="113"/>
              <w:spacing w:line="380" w:lineRule="exact"/>
              <w:ind w:firstLine="480" w:firstLineChars="20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6.3.2</w:t>
            </w:r>
            <w:r>
              <w:rPr>
                <w:rFonts w:hint="eastAsia" w:ascii="宋体" w:hAnsi="宋体" w:cs="宋体"/>
                <w:color w:val="000000" w:themeColor="text1"/>
                <w:sz w:val="24"/>
                <w:szCs w:val="24"/>
                <w:highlight w:val="none"/>
                <w14:textFill>
                  <w14:solidFill>
                    <w14:schemeClr w14:val="tx1"/>
                  </w14:solidFill>
                </w14:textFill>
              </w:rPr>
              <w:t>评标完成后，评标委员会应向招标人提交书面评标报告和</w:t>
            </w:r>
            <w:r>
              <w:rPr>
                <w:rFonts w:hint="eastAsia" w:ascii="宋体" w:hAnsi="宋体" w:cs="宋体"/>
                <w:color w:val="000000" w:themeColor="text1"/>
                <w:sz w:val="24"/>
                <w:szCs w:val="24"/>
                <w:highlight w:val="none"/>
                <w:lang w:val="en-US" w:eastAsia="zh-CN"/>
                <w14:textFill>
                  <w14:solidFill>
                    <w14:schemeClr w14:val="tx1"/>
                  </w14:solidFill>
                </w14:textFill>
              </w:rPr>
              <w:t>定</w:t>
            </w:r>
            <w:r>
              <w:rPr>
                <w:rFonts w:hint="eastAsia" w:ascii="宋体" w:hAnsi="宋体" w:cs="宋体"/>
                <w:color w:val="000000" w:themeColor="text1"/>
                <w:sz w:val="24"/>
                <w:szCs w:val="24"/>
                <w:highlight w:val="none"/>
                <w14:textFill>
                  <w14:solidFill>
                    <w14:schemeClr w14:val="tx1"/>
                  </w14:solidFill>
                </w14:textFill>
              </w:rPr>
              <w:t>标候选人名单。评标委员会推荐</w:t>
            </w:r>
            <w:r>
              <w:rPr>
                <w:rFonts w:hint="eastAsia" w:ascii="宋体" w:hAnsi="宋体" w:cs="宋体"/>
                <w:color w:val="000000" w:themeColor="text1"/>
                <w:sz w:val="24"/>
                <w:szCs w:val="24"/>
                <w:highlight w:val="none"/>
                <w:lang w:val="en-US" w:eastAsia="zh-CN"/>
                <w14:textFill>
                  <w14:solidFill>
                    <w14:schemeClr w14:val="tx1"/>
                  </w14:solidFill>
                </w14:textFill>
              </w:rPr>
              <w:t>定</w:t>
            </w:r>
            <w:r>
              <w:rPr>
                <w:rFonts w:hint="eastAsia" w:ascii="宋体" w:hAnsi="宋体" w:cs="宋体"/>
                <w:color w:val="000000" w:themeColor="text1"/>
                <w:sz w:val="24"/>
                <w:szCs w:val="24"/>
                <w:highlight w:val="none"/>
                <w14:textFill>
                  <w14:solidFill>
                    <w14:schemeClr w14:val="tx1"/>
                  </w14:solidFill>
                </w14:textFill>
              </w:rPr>
              <w:t>标候选人的人数见投标人须知前附表。</w:t>
            </w:r>
            <w:r>
              <w:rPr>
                <w:rFonts w:hint="eastAsia" w:ascii="宋体" w:hAnsi="宋体" w:cs="宋体"/>
                <w:strike w:val="0"/>
                <w:dstrike w:val="0"/>
                <w:color w:val="000000" w:themeColor="text1"/>
                <w:sz w:val="24"/>
                <w:szCs w:val="24"/>
                <w:highlight w:val="none"/>
                <w:u w:val="none"/>
                <w14:textFill>
                  <w14:solidFill>
                    <w14:schemeClr w14:val="tx1"/>
                  </w14:solidFill>
                </w14:textFill>
              </w:rPr>
              <w:t>评标报告应包括招标项目基本情况、评标委员会成员名单、监督人员名单、评标过程记录、符合要求的投标人名单、否决的投标人名单以及否决理由、串通投标情形的评审情况说明、评分情况、推荐定标候选人名单、澄清说明事项纪要、需要说明的其他事项、评标附表等内容。</w:t>
            </w:r>
            <w:r>
              <w:rPr>
                <w:rFonts w:hint="eastAsia" w:ascii="宋体" w:hAnsi="宋体" w:cs="宋体"/>
                <w:strike w:val="0"/>
                <w:dstrike w:val="0"/>
                <w:color w:val="000000" w:themeColor="text1"/>
                <w:sz w:val="24"/>
                <w:szCs w:val="24"/>
                <w:highlight w:val="none"/>
                <w14:textFill>
                  <w14:solidFill>
                    <w14:schemeClr w14:val="tx1"/>
                  </w14:solidFill>
                </w14:textFill>
              </w:rPr>
              <w:t>对评标监督人员或者招标人代表干预正常评标活动，以及对招标投标活动的其他不正当言行，评标委员会应当在评标报告“需要说明的其他事项”内容中如实记录。除“招标项目基本情况”、“监督人员名单”内容外，评标委员会所有成员应当在评标报告上逐页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tc>
      </w:tr>
      <w:tr w14:paraId="4BB77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DBE6C50">
            <w:pPr>
              <w:pStyle w:val="113"/>
              <w:spacing w:line="380" w:lineRule="exact"/>
              <w:ind w:firstLine="0" w:firstLineChars="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6463A3BB">
            <w:pPr>
              <w:keepNext w:val="0"/>
              <w:keepLines w:val="0"/>
              <w:pageBreakBefore w:val="0"/>
              <w:widowControl w:val="0"/>
              <w:kinsoku/>
              <w:wordWrap/>
              <w:overflowPunct/>
              <w:topLinePunct w:val="0"/>
              <w:autoSpaceDE/>
              <w:autoSpaceDN/>
              <w:bidi w:val="0"/>
              <w:adjustRightInd/>
              <w:snapToGrid/>
              <w:spacing w:line="380" w:lineRule="atLeast"/>
              <w:ind w:right="105" w:rightChars="5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投标人须知正文</w:t>
            </w:r>
            <w:r>
              <w:rPr>
                <w:rFonts w:hint="eastAsia" w:ascii="宋体" w:hAnsi="宋体" w:eastAsia="宋体" w:cs="宋体"/>
                <w:color w:val="000000" w:themeColor="text1"/>
                <w:sz w:val="24"/>
                <w:szCs w:val="24"/>
                <w:highlight w:val="none"/>
                <w:lang w:val="en-US" w:eastAsia="zh-CN"/>
                <w14:textFill>
                  <w14:solidFill>
                    <w14:schemeClr w14:val="tx1"/>
                  </w14:solidFill>
                </w14:textFill>
              </w:rPr>
              <w:t>7.1</w:t>
            </w:r>
            <w:r>
              <w:rPr>
                <w:rFonts w:hint="eastAsia" w:ascii="宋体" w:hAnsi="宋体" w:eastAsia="宋体" w:cs="宋体"/>
                <w:color w:val="000000" w:themeColor="text1"/>
                <w:sz w:val="24"/>
                <w:szCs w:val="24"/>
                <w:highlight w:val="none"/>
                <w14:textFill>
                  <w14:solidFill>
                    <w14:schemeClr w14:val="tx1"/>
                  </w14:solidFill>
                </w14:textFill>
              </w:rPr>
              <w:t>项内容修改如下：</w:t>
            </w:r>
          </w:p>
          <w:p w14:paraId="14B7FF8E">
            <w:pPr>
              <w:pStyle w:val="99"/>
              <w:spacing w:before="6" w:line="380" w:lineRule="exact"/>
              <w:ind w:right="134" w:firstLine="480" w:firstLineChars="200"/>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7.1定标候选人公示</w:t>
            </w:r>
          </w:p>
          <w:p w14:paraId="28DA5A84">
            <w:pPr>
              <w:pStyle w:val="99"/>
              <w:spacing w:before="6" w:line="380" w:lineRule="exact"/>
              <w:ind w:right="134" w:firstLine="480" w:firstLineChars="200"/>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7.1.</w:t>
            </w:r>
            <w:r>
              <w:rPr>
                <w:rFonts w:hint="default" w:ascii="宋体" w:hAnsi="宋体" w:cs="宋体"/>
                <w:color w:val="000000" w:themeColor="text1"/>
                <w:kern w:val="0"/>
                <w:sz w:val="24"/>
                <w:szCs w:val="24"/>
                <w:highlight w:val="none"/>
                <w:lang w:val="en-US" w:eastAsia="zh-CN"/>
                <w14:textFill>
                  <w14:solidFill>
                    <w14:schemeClr w14:val="tx1"/>
                  </w14:solidFill>
                </w14:textFill>
              </w:rPr>
              <w:t>1招标人应当在收到评标报告之日起3日内，对定标候选人予以公示，公示期不少于3日。招标人在公示定标候选人前应认真审查评标委员会提交的书面评标报告，发现异常情形的，按程序进行复核，确认存在问题的，依照法定程序予以纠正。定标候选人公示应包括不按得分排序的定标候选人名称和组织机构代码、投标报价、投标项目业绩，投标承诺主要投入人员姓名、资格证书编号、颁发部门、颁发时间和个人业绩，投标人信用等级承诺使用情况，提出异议或投诉的渠道方式，以及法律法规和招标文件规定的其他内容。评标委员会成员名单</w:t>
            </w:r>
            <w:r>
              <w:rPr>
                <w:rFonts w:hint="eastAsia" w:ascii="宋体" w:hAnsi="宋体" w:cs="宋体"/>
                <w:color w:val="000000" w:themeColor="text1"/>
                <w:kern w:val="0"/>
                <w:sz w:val="24"/>
                <w:szCs w:val="24"/>
                <w:highlight w:val="none"/>
                <w:lang w:val="en-US" w:eastAsia="zh-CN"/>
                <w14:textFill>
                  <w14:solidFill>
                    <w14:schemeClr w14:val="tx1"/>
                  </w14:solidFill>
                </w14:textFill>
              </w:rPr>
              <w:t>信息应依法依规做好保密。</w:t>
            </w:r>
          </w:p>
          <w:p w14:paraId="2B9499BE">
            <w:pPr>
              <w:pStyle w:val="99"/>
              <w:spacing w:before="6" w:line="380" w:lineRule="exact"/>
              <w:ind w:right="134" w:firstLine="480" w:firstLineChars="200"/>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7.1.</w:t>
            </w:r>
            <w:r>
              <w:rPr>
                <w:rFonts w:hint="default" w:ascii="宋体" w:hAnsi="宋体" w:cs="宋体"/>
                <w:color w:val="000000" w:themeColor="text1"/>
                <w:kern w:val="0"/>
                <w:sz w:val="24"/>
                <w:szCs w:val="24"/>
                <w:highlight w:val="none"/>
                <w:lang w:val="en-US" w:eastAsia="zh-CN"/>
                <w14:textFill>
                  <w14:solidFill>
                    <w14:schemeClr w14:val="tx1"/>
                  </w14:solidFill>
                </w14:textFill>
              </w:rPr>
              <w:t>2.定标候选人公示期间，对定标候选人提出异议及投诉的，应依照国家相关法律法规及《韶关市工程建设项目招标投标活动异议和投诉处理办法》处理。</w:t>
            </w:r>
          </w:p>
          <w:p w14:paraId="3C86990B">
            <w:pPr>
              <w:pStyle w:val="99"/>
              <w:spacing w:before="6" w:line="380" w:lineRule="exact"/>
              <w:ind w:right="134" w:rightChars="0" w:firstLine="480" w:firstLineChars="200"/>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strike w:val="0"/>
                <w:dstrike w:val="0"/>
                <w:color w:val="000000" w:themeColor="text1"/>
                <w:kern w:val="0"/>
                <w:sz w:val="24"/>
                <w:szCs w:val="24"/>
                <w:highlight w:val="none"/>
                <w:lang w:val="en-US" w:eastAsia="zh-CN"/>
                <w14:textFill>
                  <w14:solidFill>
                    <w14:schemeClr w14:val="tx1"/>
                  </w14:solidFill>
                </w14:textFill>
              </w:rPr>
              <w:t>7.1.3</w:t>
            </w:r>
            <w:r>
              <w:rPr>
                <w:rFonts w:hint="default" w:ascii="宋体" w:hAnsi="宋体" w:cs="宋体"/>
                <w:strike w:val="0"/>
                <w:dstrike w:val="0"/>
                <w:color w:val="000000" w:themeColor="text1"/>
                <w:kern w:val="0"/>
                <w:sz w:val="24"/>
                <w:szCs w:val="24"/>
                <w:highlight w:val="none"/>
                <w:lang w:val="en-US" w:eastAsia="zh-CN"/>
                <w14:textFill>
                  <w14:solidFill>
                    <w14:schemeClr w14:val="tx1"/>
                  </w14:solidFill>
                </w14:textFill>
              </w:rPr>
              <w:t>.定标候选人公示结束后，招标人一般应在5个工作日内召开定标会议确定中标人，不能按时定标的，应当通过广东省招标投标监管网和</w:t>
            </w:r>
            <w:r>
              <w:rPr>
                <w:rFonts w:hint="eastAsia" w:ascii="宋体" w:hAnsi="宋体" w:cs="宋体"/>
                <w:strike w:val="0"/>
                <w:dstrike w:val="0"/>
                <w:color w:val="000000" w:themeColor="text1"/>
                <w:kern w:val="0"/>
                <w:sz w:val="24"/>
                <w:szCs w:val="24"/>
                <w:highlight w:val="none"/>
                <w:lang w:val="en-US" w:eastAsia="zh-CN"/>
                <w14:textFill>
                  <w14:solidFill>
                    <w14:schemeClr w14:val="tx1"/>
                  </w14:solidFill>
                </w14:textFill>
              </w:rPr>
              <w:t>全国公共资源交易平台 （广东省· 韶关市）</w:t>
            </w:r>
            <w:r>
              <w:rPr>
                <w:rFonts w:hint="default" w:ascii="宋体" w:hAnsi="宋体" w:cs="宋体"/>
                <w:strike w:val="0"/>
                <w:dstrike w:val="0"/>
                <w:color w:val="000000" w:themeColor="text1"/>
                <w:kern w:val="0"/>
                <w:sz w:val="24"/>
                <w:szCs w:val="24"/>
                <w:highlight w:val="none"/>
                <w:lang w:val="en-US" w:eastAsia="zh-CN"/>
                <w14:textFill>
                  <w14:solidFill>
                    <w14:schemeClr w14:val="tx1"/>
                  </w14:solidFill>
                </w14:textFill>
              </w:rPr>
              <w:t>公告延期原因和最终定标时间。若招标人需要对定标候选人或拟派项目负责人进行考察的，定标时间可以适当延迟，但延迟一般不超过 3 个工作日。定标会现场应安排在原评标所在公共资源交易中心，招标人应当对定标过程进行记录，并存档备查。</w:t>
            </w:r>
          </w:p>
        </w:tc>
      </w:tr>
      <w:tr w14:paraId="00C304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20BE63FC">
            <w:pPr>
              <w:pStyle w:val="113"/>
              <w:spacing w:line="380" w:lineRule="exact"/>
              <w:ind w:firstLine="0" w:firstLineChars="0"/>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7.2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F4B638B">
            <w:pPr>
              <w:keepNext w:val="0"/>
              <w:keepLines w:val="0"/>
              <w:pageBreakBefore w:val="0"/>
              <w:widowControl w:val="0"/>
              <w:kinsoku/>
              <w:wordWrap/>
              <w:overflowPunct/>
              <w:topLinePunct w:val="0"/>
              <w:autoSpaceDE/>
              <w:autoSpaceDN/>
              <w:bidi w:val="0"/>
              <w:adjustRightInd/>
              <w:snapToGrid/>
              <w:spacing w:line="380" w:lineRule="atLeast"/>
              <w:ind w:right="105" w:rightChars="5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投标人须知正文</w:t>
            </w:r>
            <w:r>
              <w:rPr>
                <w:rFonts w:hint="eastAsia" w:ascii="宋体" w:hAnsi="宋体" w:eastAsia="宋体" w:cs="宋体"/>
                <w:color w:val="000000" w:themeColor="text1"/>
                <w:sz w:val="24"/>
                <w:szCs w:val="24"/>
                <w:highlight w:val="none"/>
                <w:lang w:val="en-US" w:eastAsia="zh-CN"/>
                <w14:textFill>
                  <w14:solidFill>
                    <w14:schemeClr w14:val="tx1"/>
                  </w14:solidFill>
                </w14:textFill>
              </w:rPr>
              <w:t>7.2</w:t>
            </w:r>
            <w:r>
              <w:rPr>
                <w:rFonts w:hint="eastAsia" w:ascii="宋体" w:hAnsi="宋体" w:eastAsia="宋体" w:cs="宋体"/>
                <w:color w:val="000000" w:themeColor="text1"/>
                <w:sz w:val="24"/>
                <w:szCs w:val="24"/>
                <w:highlight w:val="none"/>
                <w14:textFill>
                  <w14:solidFill>
                    <w14:schemeClr w14:val="tx1"/>
                  </w14:solidFill>
                </w14:textFill>
              </w:rPr>
              <w:t>项内容修改如下：</w:t>
            </w:r>
          </w:p>
          <w:p w14:paraId="1539BB23">
            <w:pPr>
              <w:keepNext w:val="0"/>
              <w:keepLines w:val="0"/>
              <w:pageBreakBefore w:val="0"/>
              <w:widowControl w:val="0"/>
              <w:kinsoku/>
              <w:wordWrap/>
              <w:overflowPunct/>
              <w:topLinePunct w:val="0"/>
              <w:autoSpaceDE/>
              <w:autoSpaceDN/>
              <w:bidi w:val="0"/>
              <w:adjustRightInd/>
              <w:snapToGrid/>
              <w:spacing w:line="380" w:lineRule="atLeast"/>
              <w:ind w:right="105" w:rightChars="5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评标结果异议</w:t>
            </w:r>
          </w:p>
          <w:p w14:paraId="6527E18B">
            <w:pPr>
              <w:keepNext w:val="0"/>
              <w:keepLines w:val="0"/>
              <w:pageBreakBefore w:val="0"/>
              <w:widowControl w:val="0"/>
              <w:kinsoku/>
              <w:wordWrap/>
              <w:overflowPunct/>
              <w:topLinePunct w:val="0"/>
              <w:autoSpaceDE/>
              <w:autoSpaceDN/>
              <w:bidi w:val="0"/>
              <w:adjustRightInd/>
              <w:snapToGrid/>
              <w:spacing w:line="380" w:lineRule="atLeast"/>
              <w:ind w:right="105" w:rightChars="50" w:firstLine="480" w:firstLineChars="200"/>
              <w:textAlignment w:val="auto"/>
              <w:rPr>
                <w:rFonts w:hint="eastAsia" w:ascii="宋体" w:hAnsi="宋体" w:cs="宋体"/>
                <w:strike w:val="0"/>
                <w:dstrike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投标人或其他利害关系人对依法必须进行招标的项目的评标结果有异议的，应在定标候选人公示期间提出。招标人将在收到异议之日起 3 日内作出答复；作出答复前，将暂停招标投标活动。提出异议与作出答复均应通过“电子交易平台”在“异议与答复”菜单以书面形式进行。</w:t>
            </w:r>
          </w:p>
        </w:tc>
      </w:tr>
      <w:tr w14:paraId="12A9E5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7AAF5F0">
            <w:pPr>
              <w:pStyle w:val="113"/>
              <w:spacing w:line="380" w:lineRule="exact"/>
              <w:ind w:firstLine="0" w:firstLineChars="0"/>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7.3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BC45366">
            <w:pPr>
              <w:keepNext w:val="0"/>
              <w:keepLines w:val="0"/>
              <w:pageBreakBefore w:val="0"/>
              <w:widowControl w:val="0"/>
              <w:kinsoku/>
              <w:wordWrap/>
              <w:overflowPunct/>
              <w:topLinePunct w:val="0"/>
              <w:autoSpaceDE/>
              <w:autoSpaceDN/>
              <w:bidi w:val="0"/>
              <w:adjustRightInd/>
              <w:snapToGrid/>
              <w:spacing w:line="380" w:lineRule="atLeast"/>
              <w:ind w:right="105" w:rightChars="5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投标人须知正文</w:t>
            </w:r>
            <w:r>
              <w:rPr>
                <w:rFonts w:hint="eastAsia" w:ascii="宋体" w:hAnsi="宋体" w:eastAsia="宋体" w:cs="宋体"/>
                <w:color w:val="000000" w:themeColor="text1"/>
                <w:sz w:val="24"/>
                <w:szCs w:val="24"/>
                <w:highlight w:val="none"/>
                <w:lang w:val="en-US" w:eastAsia="zh-CN"/>
                <w14:textFill>
                  <w14:solidFill>
                    <w14:schemeClr w14:val="tx1"/>
                  </w14:solidFill>
                </w14:textFill>
              </w:rPr>
              <w:t>7.3</w:t>
            </w:r>
            <w:r>
              <w:rPr>
                <w:rFonts w:hint="eastAsia" w:ascii="宋体" w:hAnsi="宋体" w:eastAsia="宋体" w:cs="宋体"/>
                <w:color w:val="000000" w:themeColor="text1"/>
                <w:sz w:val="24"/>
                <w:szCs w:val="24"/>
                <w:highlight w:val="none"/>
                <w14:textFill>
                  <w14:solidFill>
                    <w14:schemeClr w14:val="tx1"/>
                  </w14:solidFill>
                </w14:textFill>
              </w:rPr>
              <w:t>项内容修改如下：</w:t>
            </w:r>
          </w:p>
          <w:p w14:paraId="79F4F41A">
            <w:pPr>
              <w:keepNext w:val="0"/>
              <w:keepLines w:val="0"/>
              <w:pageBreakBefore w:val="0"/>
              <w:widowControl w:val="0"/>
              <w:kinsoku/>
              <w:wordWrap/>
              <w:overflowPunct/>
              <w:topLinePunct w:val="0"/>
              <w:autoSpaceDE/>
              <w:autoSpaceDN/>
              <w:bidi w:val="0"/>
              <w:adjustRightInd/>
              <w:snapToGrid/>
              <w:spacing w:line="380" w:lineRule="atLeast"/>
              <w:ind w:right="105" w:rightChars="5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7.3定标委员会</w:t>
            </w:r>
          </w:p>
          <w:p w14:paraId="733F510A">
            <w:pPr>
              <w:keepNext w:val="0"/>
              <w:keepLines w:val="0"/>
              <w:pageBreakBefore w:val="0"/>
              <w:widowControl w:val="0"/>
              <w:kinsoku/>
              <w:wordWrap/>
              <w:overflowPunct/>
              <w:topLinePunct w:val="0"/>
              <w:autoSpaceDE/>
              <w:autoSpaceDN/>
              <w:bidi w:val="0"/>
              <w:adjustRightInd/>
              <w:snapToGrid/>
              <w:spacing w:line="380" w:lineRule="atLeast"/>
              <w:ind w:right="105" w:rightChars="5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w:t>
            </w:r>
            <w:r>
              <w:rPr>
                <w:rFonts w:hint="default"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招标人应按相关规定要求组建定标委员会。定标委员会实行招标人负责制。</w:t>
            </w:r>
            <w:r>
              <w:rPr>
                <w:rFonts w:hint="default" w:ascii="宋体" w:hAnsi="宋体" w:eastAsia="宋体" w:cs="宋体"/>
                <w:color w:val="000000" w:themeColor="text1"/>
                <w:sz w:val="24"/>
                <w:szCs w:val="24"/>
                <w:highlight w:val="none"/>
                <w:lang w:val="en-US" w:eastAsia="zh-CN"/>
                <w14:textFill>
                  <w14:solidFill>
                    <w14:schemeClr w14:val="tx1"/>
                  </w14:solidFill>
                </w14:textFill>
              </w:rPr>
              <w:t>成员数量为7人</w:t>
            </w:r>
            <w:r>
              <w:rPr>
                <w:rFonts w:hint="eastAsia" w:ascii="宋体" w:hAnsi="宋体" w:eastAsia="宋体" w:cs="宋体"/>
                <w:color w:val="000000" w:themeColor="text1"/>
                <w:sz w:val="24"/>
                <w:szCs w:val="24"/>
                <w:highlight w:val="none"/>
                <w:lang w:val="en-US" w:eastAsia="zh-CN"/>
                <w14:textFill>
                  <w14:solidFill>
                    <w14:schemeClr w14:val="tx1"/>
                  </w14:solidFill>
                </w14:textFill>
              </w:rPr>
              <w:t>及</w:t>
            </w:r>
            <w:r>
              <w:rPr>
                <w:rFonts w:hint="default" w:ascii="宋体" w:hAnsi="宋体" w:eastAsia="宋体" w:cs="宋体"/>
                <w:color w:val="000000" w:themeColor="text1"/>
                <w:sz w:val="24"/>
                <w:szCs w:val="24"/>
                <w:highlight w:val="none"/>
                <w:lang w:val="en-US" w:eastAsia="zh-CN"/>
                <w14:textFill>
                  <w14:solidFill>
                    <w14:schemeClr w14:val="tx1"/>
                  </w14:solidFill>
                </w14:textFill>
              </w:rPr>
              <w:t>以上单数，成员数量在招标文件</w:t>
            </w:r>
            <w:r>
              <w:rPr>
                <w:rFonts w:ascii="宋体" w:hAnsi="宋体" w:eastAsia="宋体" w:cs="宋体"/>
                <w:color w:val="000000" w:themeColor="text1"/>
                <w:spacing w:val="-3"/>
                <w:sz w:val="24"/>
                <w:szCs w:val="24"/>
                <w:highlight w:val="none"/>
                <w14:textFill>
                  <w14:solidFill>
                    <w14:schemeClr w14:val="tx1"/>
                  </w14:solidFill>
                </w14:textFill>
              </w:rPr>
              <w:t>投标人须知前附表</w:t>
            </w:r>
            <w:r>
              <w:rPr>
                <w:rFonts w:hint="default" w:ascii="宋体" w:hAnsi="宋体" w:eastAsia="宋体" w:cs="宋体"/>
                <w:color w:val="000000" w:themeColor="text1"/>
                <w:sz w:val="24"/>
                <w:szCs w:val="24"/>
                <w:highlight w:val="none"/>
                <w:lang w:val="en-US" w:eastAsia="zh-CN"/>
                <w14:textFill>
                  <w14:solidFill>
                    <w14:schemeClr w14:val="tx1"/>
                  </w14:solidFill>
                </w14:textFill>
              </w:rPr>
              <w:t>中明确。</w:t>
            </w:r>
            <w:r>
              <w:rPr>
                <w:rFonts w:hint="eastAsia" w:ascii="宋体" w:hAnsi="宋体" w:eastAsia="宋体" w:cs="宋体"/>
                <w:color w:val="000000" w:themeColor="text1"/>
                <w:sz w:val="24"/>
                <w:szCs w:val="24"/>
                <w:highlight w:val="none"/>
                <w:lang w:val="en-US" w:eastAsia="zh-CN"/>
                <w14:textFill>
                  <w14:solidFill>
                    <w14:schemeClr w14:val="tx1"/>
                  </w14:solidFill>
                </w14:textFill>
              </w:rPr>
              <w:t>定标委员会成员不得与投标人存在有利害关系。已担任评标委员会成员的不得再担任定标委员会成员。行政监督部门工作人员不得担任定标委员会成员。招标人应及时确定定标委员会名单，定标委员会名单应在中标结果公布前严格保密。</w:t>
            </w:r>
          </w:p>
        </w:tc>
      </w:tr>
      <w:tr w14:paraId="1806E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4F82013">
            <w:pPr>
              <w:pStyle w:val="113"/>
              <w:spacing w:line="380" w:lineRule="exact"/>
              <w:ind w:firstLine="0" w:firstLineChars="0"/>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7.4</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58FA686D">
            <w:pPr>
              <w:keepNext w:val="0"/>
              <w:keepLines w:val="0"/>
              <w:pageBreakBefore w:val="0"/>
              <w:widowControl w:val="0"/>
              <w:kinsoku/>
              <w:wordWrap/>
              <w:overflowPunct/>
              <w:topLinePunct w:val="0"/>
              <w:autoSpaceDE/>
              <w:autoSpaceDN/>
              <w:bidi w:val="0"/>
              <w:adjustRightInd/>
              <w:snapToGrid/>
              <w:spacing w:line="380" w:lineRule="atLeast"/>
              <w:ind w:right="105" w:rightChars="5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投标人须知正文</w:t>
            </w:r>
            <w:r>
              <w:rPr>
                <w:rFonts w:hint="eastAsia" w:ascii="宋体" w:hAnsi="宋体" w:eastAsia="宋体" w:cs="宋体"/>
                <w:color w:val="000000" w:themeColor="text1"/>
                <w:sz w:val="24"/>
                <w:szCs w:val="24"/>
                <w:highlight w:val="none"/>
                <w:lang w:val="en-US" w:eastAsia="zh-CN"/>
                <w14:textFill>
                  <w14:solidFill>
                    <w14:schemeClr w14:val="tx1"/>
                  </w14:solidFill>
                </w14:textFill>
              </w:rPr>
              <w:t>7.4</w:t>
            </w:r>
            <w:r>
              <w:rPr>
                <w:rFonts w:hint="eastAsia" w:ascii="宋体" w:hAnsi="宋体" w:eastAsia="宋体" w:cs="宋体"/>
                <w:color w:val="000000" w:themeColor="text1"/>
                <w:sz w:val="24"/>
                <w:szCs w:val="24"/>
                <w:highlight w:val="none"/>
                <w14:textFill>
                  <w14:solidFill>
                    <w14:schemeClr w14:val="tx1"/>
                  </w14:solidFill>
                </w14:textFill>
              </w:rPr>
              <w:t>项内容修改如下：</w:t>
            </w:r>
          </w:p>
          <w:p w14:paraId="049933A8">
            <w:pPr>
              <w:pStyle w:val="99"/>
              <w:spacing w:before="6" w:line="380" w:lineRule="exact"/>
              <w:ind w:right="134" w:firstLine="480" w:firstLineChars="2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7.4 定标</w:t>
            </w:r>
          </w:p>
          <w:p w14:paraId="0F1FAAC7">
            <w:pPr>
              <w:pStyle w:val="99"/>
              <w:spacing w:before="6" w:line="380" w:lineRule="exact"/>
              <w:ind w:right="134" w:firstLine="480" w:firstLineChars="2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7.4.1招标人（招标代理）应当在定标会上向定标委员会介绍项目基本情况、定标候选人情况、评标委员会评审意见及定标规则等内容。招标人组织了对定标候选人清标、考察的，应将清标、考察情况等向定标委员会交底，有关的书面报告作为定标委员会定标参考。定标委员会成员有疑问的，可以向招标人提问。</w:t>
            </w:r>
          </w:p>
          <w:p w14:paraId="6C281285">
            <w:pPr>
              <w:pStyle w:val="99"/>
              <w:spacing w:before="6" w:line="380" w:lineRule="exact"/>
              <w:ind w:right="134" w:firstLine="480" w:firstLineChars="2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7.4.2定标委员会应当按照招标文件规定的定标规则定标，择优确定一名定标候选人为中标人，并编写定标报告。定标报告应记录定标委员会成员名单、招标监督小组名单、定标办法、答辩情况（如有）、定标过程、定标工作情况、定标结果等内容。定标委员会所有成员及招标监督小组全部成员应在定标报告上逐页签字。</w:t>
            </w:r>
          </w:p>
          <w:p w14:paraId="06611E94">
            <w:pPr>
              <w:pStyle w:val="99"/>
              <w:spacing w:before="6" w:line="380" w:lineRule="exact"/>
              <w:ind w:right="134" w:firstLine="480" w:firstLineChars="2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7.4.3招标监督小组应对定标全过程进行监督，在定标报告及相关表格上签名。招标人应对定标全过程做好录音、录像，全过程有关资料按规定保存，确保档案的完整和安全，不得篡改、损毁、伪造或者擅自销毁招标定标档案。</w:t>
            </w:r>
          </w:p>
          <w:p w14:paraId="5546478E">
            <w:pPr>
              <w:pStyle w:val="99"/>
              <w:spacing w:before="6" w:line="380" w:lineRule="exact"/>
              <w:ind w:right="134" w:righ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7.4.4招标人应将定标情况作为“三重一大”事项向本单位党委（党组）进行报告。未设立党委（党组）的单位应按本单位相应内控制度办理。</w:t>
            </w:r>
          </w:p>
        </w:tc>
      </w:tr>
      <w:tr w14:paraId="6B2E45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A272BB2">
            <w:pPr>
              <w:pStyle w:val="113"/>
              <w:spacing w:line="380" w:lineRule="exact"/>
              <w:ind w:firstLine="0" w:firstLineChars="0"/>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7.5</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3C6A5BDE">
            <w:pPr>
              <w:keepNext w:val="0"/>
              <w:keepLines w:val="0"/>
              <w:pageBreakBefore w:val="0"/>
              <w:widowControl w:val="0"/>
              <w:kinsoku/>
              <w:wordWrap/>
              <w:overflowPunct/>
              <w:topLinePunct w:val="0"/>
              <w:autoSpaceDE/>
              <w:autoSpaceDN/>
              <w:bidi w:val="0"/>
              <w:adjustRightInd/>
              <w:snapToGrid/>
              <w:spacing w:line="380" w:lineRule="atLeast"/>
              <w:ind w:right="105" w:rightChars="5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投标人须知正文</w:t>
            </w:r>
            <w:r>
              <w:rPr>
                <w:rFonts w:hint="eastAsia" w:ascii="宋体" w:hAnsi="宋体" w:eastAsia="宋体" w:cs="宋体"/>
                <w:color w:val="000000" w:themeColor="text1"/>
                <w:sz w:val="24"/>
                <w:szCs w:val="24"/>
                <w:highlight w:val="none"/>
                <w:lang w:val="en-US" w:eastAsia="zh-CN"/>
                <w14:textFill>
                  <w14:solidFill>
                    <w14:schemeClr w14:val="tx1"/>
                  </w14:solidFill>
                </w14:textFill>
              </w:rPr>
              <w:t>7.5</w:t>
            </w:r>
            <w:r>
              <w:rPr>
                <w:rFonts w:hint="eastAsia" w:ascii="宋体" w:hAnsi="宋体" w:eastAsia="宋体" w:cs="宋体"/>
                <w:color w:val="000000" w:themeColor="text1"/>
                <w:sz w:val="24"/>
                <w:szCs w:val="24"/>
                <w:highlight w:val="none"/>
                <w14:textFill>
                  <w14:solidFill>
                    <w14:schemeClr w14:val="tx1"/>
                  </w14:solidFill>
                </w14:textFill>
              </w:rPr>
              <w:t>项内容修改如下：</w:t>
            </w:r>
          </w:p>
          <w:p w14:paraId="58846FF5">
            <w:pPr>
              <w:pStyle w:val="99"/>
              <w:spacing w:before="6" w:line="380" w:lineRule="exact"/>
              <w:ind w:right="134" w:firstLine="480" w:firstLineChars="2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7.5 定标结果公示</w:t>
            </w:r>
          </w:p>
          <w:p w14:paraId="23D4D5CE">
            <w:pPr>
              <w:pStyle w:val="99"/>
              <w:spacing w:before="6" w:line="380" w:lineRule="exact"/>
              <w:ind w:right="134" w:firstLine="480" w:firstLineChars="200"/>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7.5.</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1招标人应当在收到定标报告之日起3日内，在广东省招标投标监管网和</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全国公共资源交易平台 （广东省· 韶关市）</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公示定标结果，公示时间不少于3日（其中最后1日应为工作日），公示内容包括：定标报告（定标成员信息除外）、中标候选人名称、中标价、拟投入本项目的项目负责人、技术负责人及各专业负责人（如有）等信息，提出异议、投诉的渠道方式，以及法律法规和招标文件规定应当公示的其他内容。</w:t>
            </w:r>
          </w:p>
          <w:p w14:paraId="1EC31BCC">
            <w:pPr>
              <w:pStyle w:val="99"/>
              <w:spacing w:before="6" w:line="380" w:lineRule="exact"/>
              <w:ind w:right="134" w:rightChars="0" w:firstLine="480" w:firstLineChars="2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7.5.</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2定标结果公示期间，对定标结果提出异议及投诉的，应依照国家相关法律法规及《韶关市工程建设项目招标投标活动异议和投诉处理办法》及时处理。</w:t>
            </w:r>
          </w:p>
        </w:tc>
      </w:tr>
      <w:tr w14:paraId="4F7DB6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0EAB084">
            <w:pPr>
              <w:pStyle w:val="113"/>
              <w:spacing w:line="380" w:lineRule="exact"/>
              <w:ind w:firstLine="0" w:firstLineChars="0"/>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6A5A309B">
            <w:pPr>
              <w:keepNext w:val="0"/>
              <w:keepLines w:val="0"/>
              <w:pageBreakBefore w:val="0"/>
              <w:widowControl w:val="0"/>
              <w:kinsoku/>
              <w:wordWrap/>
              <w:overflowPunct/>
              <w:topLinePunct w:val="0"/>
              <w:autoSpaceDE/>
              <w:autoSpaceDN/>
              <w:bidi w:val="0"/>
              <w:adjustRightInd/>
              <w:snapToGrid/>
              <w:spacing w:line="380" w:lineRule="atLeast"/>
              <w:ind w:right="105" w:rightChars="5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投标人须知正文</w:t>
            </w:r>
            <w:r>
              <w:rPr>
                <w:rFonts w:hint="eastAsia" w:ascii="宋体" w:hAnsi="宋体" w:eastAsia="宋体" w:cs="宋体"/>
                <w:color w:val="000000" w:themeColor="text1"/>
                <w:sz w:val="24"/>
                <w:szCs w:val="24"/>
                <w:highlight w:val="none"/>
                <w:lang w:val="en-US" w:eastAsia="zh-CN"/>
                <w14:textFill>
                  <w14:solidFill>
                    <w14:schemeClr w14:val="tx1"/>
                  </w14:solidFill>
                </w14:textFill>
              </w:rPr>
              <w:t>7.6</w:t>
            </w:r>
            <w:r>
              <w:rPr>
                <w:rFonts w:hint="eastAsia" w:ascii="宋体" w:hAnsi="宋体" w:eastAsia="宋体" w:cs="宋体"/>
                <w:color w:val="000000" w:themeColor="text1"/>
                <w:sz w:val="24"/>
                <w:szCs w:val="24"/>
                <w:highlight w:val="none"/>
                <w14:textFill>
                  <w14:solidFill>
                    <w14:schemeClr w14:val="tx1"/>
                  </w14:solidFill>
                </w14:textFill>
              </w:rPr>
              <w:t>项内容修改如下：</w:t>
            </w:r>
          </w:p>
          <w:p w14:paraId="0A6CBBEF">
            <w:pPr>
              <w:pStyle w:val="99"/>
              <w:spacing w:before="6" w:line="380" w:lineRule="exact"/>
              <w:ind w:right="134" w:firstLine="480" w:firstLineChars="2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7.6 中标通知</w:t>
            </w:r>
          </w:p>
          <w:p w14:paraId="29DB5F79">
            <w:pPr>
              <w:pStyle w:val="99"/>
              <w:spacing w:before="6" w:line="380" w:lineRule="exact"/>
              <w:ind w:right="134" w:firstLine="480" w:firstLineChars="200"/>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7.6.1</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定标结果公示无异议、投诉提出，或者异议、投诉不影响定标结果的，招标人应按《关于进一步推进招标投标信息公开的通知》（韶发改联〔2025〕34号）要求，在定标结果公示结束后次日向中标人发出中标通知书并在广东省招标投标监管网和全国公共资源交易平台 （广东省· 韶关市）</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网</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公告中标结果。</w:t>
            </w:r>
          </w:p>
          <w:p w14:paraId="7D168466">
            <w:pPr>
              <w:pStyle w:val="99"/>
              <w:spacing w:before="6" w:line="380" w:lineRule="exact"/>
              <w:ind w:right="134" w:rightChars="0" w:firstLine="480" w:firstLineChars="2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7.6.2</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依法必须进行招标的项目，招标人应按《公路工程建设项目招标投标管理办法》（交通运输部令2015年第24号）、《水运工程建设项目招标投标管理办法》（交通运输部令2021年第14号）等要求，在确定中标人之日起15日内，整理招标投标情况的书面报告，经招标人（项目）上级管理部门审核后，向招标投标行政监督部门提交，报告内容应包括：招标项目基本情况、招标过程简述、评标阶段情况说明、定标候选人公示情况、定标阶段情况说明、定标结果公示情况、中标结果、异议及投诉受理情况，以及评标报告、定标报告、评标委员会成员信息及履职情况说明、定标委员会成员信息及履职情况等附件材料。</w:t>
            </w:r>
          </w:p>
        </w:tc>
      </w:tr>
      <w:tr w14:paraId="4995F4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5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32AC24FC">
            <w:pPr>
              <w:pStyle w:val="113"/>
              <w:spacing w:line="380" w:lineRule="exact"/>
              <w:rPr>
                <w:rFonts w:hint="eastAsia" w:ascii="宋体"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7.8.6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3A6FE749">
            <w:pPr>
              <w:pStyle w:val="99"/>
              <w:spacing w:before="6" w:line="380" w:lineRule="exact"/>
              <w:ind w:right="134" w:firstLine="240" w:firstLine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投标人须知正文增加第 7.8.6 项内容：</w:t>
            </w:r>
          </w:p>
          <w:p w14:paraId="595A7ADD">
            <w:pPr>
              <w:pStyle w:val="99"/>
              <w:spacing w:before="6" w:line="380" w:lineRule="exact"/>
              <w:ind w:right="134" w:firstLine="240" w:firstLine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7.8.6 在签订合同前，招标人对中标人的工程量清单报价进行核定。如存在不平衡报价或其他错误，在保持投标总价不变的前提下，招标人按以下原则处理：</w:t>
            </w:r>
          </w:p>
          <w:p w14:paraId="746F414C">
            <w:pPr>
              <w:pStyle w:val="99"/>
              <w:spacing w:before="6" w:line="380" w:lineRule="exact"/>
              <w:ind w:right="134"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（1）若中标人的工程量清单报价，超过如下范围：招标人招标清单预算相应单价与（1-中标人中标价下浮率）乘积的 85 %～ 115 %，则视为存在不平衡报价。</w:t>
            </w:r>
          </w:p>
          <w:p w14:paraId="0393CF2B">
            <w:pPr>
              <w:pStyle w:val="99"/>
              <w:spacing w:before="6" w:line="380" w:lineRule="exact"/>
              <w:ind w:right="134" w:firstLine="240" w:firstLine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如果存在不平衡报价，招标人将在保证投标总价不变的前提下，按以下原则调整其工程量清单报价（不随报价调整的除外）：（1）招标人招标清单预算相应单价×（1-中标人中标价下浮率）为基准进行调整；（2）按上述算术修正和本款调整后，对以百分比计取的非固定报价项目的报价也应作相应的修正。</w:t>
            </w:r>
          </w:p>
          <w:p w14:paraId="4E84AEE9">
            <w:pPr>
              <w:pStyle w:val="99"/>
              <w:spacing w:before="6" w:line="380" w:lineRule="exact"/>
              <w:ind w:right="134"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（2）为使调整后的投标总价保持不变，对处于招标人招标清单预算相应单价与（1- 中标人中标价下浮率）乘积的 85 %～ 115 %内的报价，招标人有权根据本项第（1）条调整原则进行报价调整。</w:t>
            </w:r>
          </w:p>
          <w:p w14:paraId="5084A23D">
            <w:pPr>
              <w:pStyle w:val="99"/>
              <w:spacing w:before="6" w:line="380" w:lineRule="exact"/>
              <w:ind w:right="134"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中标人中标价下浮率指中标人中标价较造价管理部门核备的清单预算之下浮比例。</w:t>
            </w:r>
          </w:p>
        </w:tc>
      </w:tr>
      <w:tr w14:paraId="71F2C1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939A05B">
            <w:pPr>
              <w:spacing w:line="42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9181" w:type="dxa"/>
            <w:gridSpan w:val="2"/>
            <w:tcBorders>
              <w:top w:val="single" w:color="auto" w:sz="4" w:space="0"/>
              <w:left w:val="single" w:color="auto" w:sz="2" w:space="0"/>
              <w:bottom w:val="single" w:color="auto" w:sz="4" w:space="0"/>
              <w:right w:val="single" w:color="auto" w:sz="12" w:space="0"/>
            </w:tcBorders>
          </w:tcPr>
          <w:p w14:paraId="4379548D">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5"/>
                <w:highlight w:val="none"/>
                <w:lang w:eastAsia="zh-CN"/>
                <w14:textFill>
                  <w14:solidFill>
                    <w14:schemeClr w14:val="tx1"/>
                  </w14:solidFill>
                </w14:textFill>
              </w:rPr>
              <w:t>在</w:t>
            </w:r>
            <w:r>
              <w:rPr>
                <w:color w:val="000000" w:themeColor="text1"/>
                <w:spacing w:val="-1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10.1</w:t>
            </w:r>
            <w:r>
              <w:rPr>
                <w:color w:val="000000" w:themeColor="text1"/>
                <w:spacing w:val="-40"/>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款后增加如下条款：10.2</w:t>
            </w:r>
            <w:r>
              <w:rPr>
                <w:color w:val="000000" w:themeColor="text1"/>
                <w:spacing w:val="-42"/>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款、10.3</w:t>
            </w:r>
            <w:r>
              <w:rPr>
                <w:color w:val="000000" w:themeColor="text1"/>
                <w:spacing w:val="-37"/>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款、10.4</w:t>
            </w:r>
            <w:r>
              <w:rPr>
                <w:color w:val="000000" w:themeColor="text1"/>
                <w:spacing w:val="-39"/>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款、10.5</w:t>
            </w:r>
            <w:r>
              <w:rPr>
                <w:color w:val="000000" w:themeColor="text1"/>
                <w:spacing w:val="-40"/>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款、10.6</w:t>
            </w:r>
            <w:r>
              <w:rPr>
                <w:color w:val="000000" w:themeColor="text1"/>
                <w:spacing w:val="-39"/>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款、10.7</w:t>
            </w:r>
            <w:r>
              <w:rPr>
                <w:color w:val="000000" w:themeColor="text1"/>
                <w:spacing w:val="-40"/>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款、</w:t>
            </w:r>
            <w:r>
              <w:rPr>
                <w:color w:val="000000" w:themeColor="text1"/>
                <w:spacing w:val="-1"/>
                <w:highlight w:val="none"/>
                <w:lang w:eastAsia="zh-CN"/>
                <w14:textFill>
                  <w14:solidFill>
                    <w14:schemeClr w14:val="tx1"/>
                  </w14:solidFill>
                </w14:textFill>
              </w:rPr>
              <w:t>10.8</w:t>
            </w:r>
            <w:r>
              <w:rPr>
                <w:color w:val="000000" w:themeColor="text1"/>
                <w:spacing w:val="-37"/>
                <w:highlight w:val="none"/>
                <w:lang w:eastAsia="zh-CN"/>
                <w14:textFill>
                  <w14:solidFill>
                    <w14:schemeClr w14:val="tx1"/>
                  </w14:solidFill>
                </w14:textFill>
              </w:rPr>
              <w:t xml:space="preserve"> </w:t>
            </w:r>
            <w:r>
              <w:rPr>
                <w:color w:val="000000" w:themeColor="text1"/>
                <w:spacing w:val="-1"/>
                <w:highlight w:val="none"/>
                <w:lang w:eastAsia="zh-CN"/>
                <w14:textFill>
                  <w14:solidFill>
                    <w14:schemeClr w14:val="tx1"/>
                  </w14:solidFill>
                </w14:textFill>
              </w:rPr>
              <w:t>款。</w:t>
            </w:r>
          </w:p>
          <w:p w14:paraId="1E188EAD">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5"/>
                <w:highlight w:val="none"/>
                <w:lang w:eastAsia="zh-CN"/>
                <w14:textFill>
                  <w14:solidFill>
                    <w14:schemeClr w14:val="tx1"/>
                  </w14:solidFill>
                </w14:textFill>
              </w:rPr>
              <w:t>10.2</w:t>
            </w:r>
            <w:r>
              <w:rPr>
                <w:color w:val="000000" w:themeColor="text1"/>
                <w:spacing w:val="-3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信用等级的确定原则：</w:t>
            </w:r>
          </w:p>
          <w:p w14:paraId="0225C593">
            <w:pPr>
              <w:pStyle w:val="124"/>
              <w:spacing w:line="288" w:lineRule="auto"/>
              <w:ind w:left="42" w:leftChars="20" w:right="113"/>
              <w:rPr>
                <w:rFonts w:hint="eastAsia"/>
                <w:color w:val="000000" w:themeColor="text1"/>
                <w:spacing w:val="8"/>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10.2.1 招标文件中的信用等级指的是广东省交通运输厅最新年度发布的公路工</w:t>
            </w:r>
            <w:r>
              <w:rPr>
                <w:color w:val="000000" w:themeColor="text1"/>
                <w:spacing w:val="8"/>
                <w:highlight w:val="none"/>
                <w:lang w:eastAsia="zh-CN"/>
                <w14:textFill>
                  <w14:solidFill>
                    <w14:schemeClr w14:val="tx1"/>
                  </w14:solidFill>
                </w14:textFill>
              </w:rPr>
              <w:t>程从业</w:t>
            </w:r>
            <w:r>
              <w:rPr>
                <w:color w:val="000000" w:themeColor="text1"/>
                <w:spacing w:val="9"/>
                <w:highlight w:val="none"/>
                <w:lang w:eastAsia="zh-CN"/>
                <w14:textFill>
                  <w14:solidFill>
                    <w14:schemeClr w14:val="tx1"/>
                  </w14:solidFill>
                </w14:textFill>
              </w:rPr>
              <w:t>单位信用评价等级（</w:t>
            </w:r>
            <w:r>
              <w:rPr>
                <w:rFonts w:hint="eastAsia"/>
                <w:color w:val="000000" w:themeColor="text1"/>
                <w:spacing w:val="9"/>
                <w:highlight w:val="none"/>
                <w:u w:val="single"/>
                <w:lang w:eastAsia="zh-CN"/>
                <w14:textFill>
                  <w14:solidFill>
                    <w14:schemeClr w14:val="tx1"/>
                  </w14:solidFill>
                </w14:textFill>
              </w:rPr>
              <w:t>土建工程</w:t>
            </w:r>
            <w:r>
              <w:rPr>
                <w:color w:val="000000" w:themeColor="text1"/>
                <w:spacing w:val="9"/>
                <w:highlight w:val="none"/>
                <w:u w:val="single"/>
                <w:lang w:eastAsia="zh-CN"/>
                <w14:textFill>
                  <w14:solidFill>
                    <w14:schemeClr w14:val="tx1"/>
                  </w14:solidFill>
                </w14:textFill>
              </w:rPr>
              <w:t>施工单位</w:t>
            </w:r>
            <w:r>
              <w:rPr>
                <w:color w:val="000000" w:themeColor="text1"/>
                <w:spacing w:val="9"/>
                <w:highlight w:val="none"/>
                <w:lang w:eastAsia="zh-CN"/>
                <w14:textFill>
                  <w14:solidFill>
                    <w14:schemeClr w14:val="tx1"/>
                  </w14:solidFill>
                </w14:textFill>
              </w:rPr>
              <w:t>)。如无广东省最新年度信用等</w:t>
            </w:r>
            <w:r>
              <w:rPr>
                <w:color w:val="000000" w:themeColor="text1"/>
                <w:spacing w:val="8"/>
                <w:highlight w:val="none"/>
                <w:lang w:eastAsia="zh-CN"/>
                <w14:textFill>
                  <w14:solidFill>
                    <w14:schemeClr w14:val="tx1"/>
                  </w14:solidFill>
                </w14:textFill>
              </w:rPr>
              <w:t>级而有上一年度广东省</w:t>
            </w:r>
            <w:r>
              <w:rPr>
                <w:color w:val="000000" w:themeColor="text1"/>
                <w:spacing w:val="7"/>
                <w:highlight w:val="none"/>
                <w:lang w:eastAsia="zh-CN"/>
                <w14:textFill>
                  <w14:solidFill>
                    <w14:schemeClr w14:val="tx1"/>
                  </w14:solidFill>
                </w14:textFill>
              </w:rPr>
              <w:t>信用等级的，则其原信用等级可延续一年，但在递交资审申请文件（资格后审的为投标文件）时信用等级的使用次数应按上一年度公布的信用评价结果顺延上一年度的使用次数。同一投标人在同一招标项目中参与多个标段投标时，信用等级使用次数按标段独立计算，累计使用次数不得超过广东省交通运输厅信用评价结果应用规则规定的上限。具</w:t>
            </w:r>
            <w:r>
              <w:rPr>
                <w:color w:val="000000" w:themeColor="text1"/>
                <w:spacing w:val="8"/>
                <w:highlight w:val="none"/>
                <w:lang w:eastAsia="zh-CN"/>
                <w14:textFill>
                  <w14:solidFill>
                    <w14:schemeClr w14:val="tx1"/>
                  </w14:solidFill>
                </w14:textFill>
              </w:rPr>
              <w:t>体使用次数有关规定如下：</w:t>
            </w:r>
          </w:p>
          <w:p w14:paraId="116781E6">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1.对于信用等级为</w:t>
            </w:r>
            <w:r>
              <w:rPr>
                <w:color w:val="000000" w:themeColor="text1"/>
                <w:spacing w:val="-32"/>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级的从业单位</w:t>
            </w:r>
            <w:r>
              <w:rPr>
                <w:color w:val="000000" w:themeColor="text1"/>
                <w:spacing w:val="-58"/>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w:t>
            </w:r>
          </w:p>
          <w:p w14:paraId="76B566C3">
            <w:pPr>
              <w:pStyle w:val="124"/>
              <w:spacing w:line="288" w:lineRule="auto"/>
              <w:ind w:left="42" w:leftChars="20" w:right="113" w:firstLine="35"/>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(1)仅最新一年度信用等级为</w:t>
            </w:r>
            <w:r>
              <w:rPr>
                <w:color w:val="000000" w:themeColor="text1"/>
                <w:spacing w:val="-30"/>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2"/>
                <w:highlight w:val="non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级的从业单位在参加广东省公路工程建设项目投标活</w:t>
            </w:r>
            <w:r>
              <w:rPr>
                <w:color w:val="000000" w:themeColor="text1"/>
                <w:spacing w:val="12"/>
                <w:highlight w:val="none"/>
                <w:lang w:eastAsia="zh-CN"/>
                <w14:textFill>
                  <w14:solidFill>
                    <w14:schemeClr w14:val="tx1"/>
                  </w14:solidFill>
                </w14:textFill>
              </w:rPr>
              <w:t>动（以递交资格预审申请文件或资格后审递交投标文件时间为</w:t>
            </w:r>
            <w:r>
              <w:rPr>
                <w:color w:val="000000" w:themeColor="text1"/>
                <w:spacing w:val="11"/>
                <w:highlight w:val="none"/>
                <w:lang w:eastAsia="zh-CN"/>
                <w14:textFill>
                  <w14:solidFill>
                    <w14:schemeClr w14:val="tx1"/>
                  </w14:solidFill>
                </w14:textFill>
              </w:rPr>
              <w:t>准）时，可申请使用</w:t>
            </w:r>
            <w:r>
              <w:rPr>
                <w:color w:val="000000" w:themeColor="text1"/>
                <w:spacing w:val="-43"/>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8"/>
                <w:highlight w:val="none"/>
                <w:lang w:eastAsia="zh-CN"/>
                <w14:textFill>
                  <w14:solidFill>
                    <w14:schemeClr w14:val="tx1"/>
                  </w14:solidFill>
                </w14:textFill>
              </w:rPr>
              <w:t>级分值8</w:t>
            </w:r>
            <w:r>
              <w:rPr>
                <w:color w:val="000000" w:themeColor="text1"/>
                <w:spacing w:val="-2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次，用完</w:t>
            </w:r>
            <w:r>
              <w:rPr>
                <w:color w:val="000000" w:themeColor="text1"/>
                <w:spacing w:val="-36"/>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8</w:t>
            </w:r>
            <w:r>
              <w:rPr>
                <w:color w:val="000000" w:themeColor="text1"/>
                <w:spacing w:val="-32"/>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次后信用等级分值将按</w:t>
            </w:r>
            <w:r>
              <w:rPr>
                <w:color w:val="000000" w:themeColor="text1"/>
                <w:spacing w:val="-46"/>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级分值取定；</w:t>
            </w:r>
          </w:p>
          <w:p w14:paraId="48F8E978">
            <w:pPr>
              <w:pStyle w:val="124"/>
              <w:spacing w:line="288" w:lineRule="auto"/>
              <w:ind w:left="42" w:leftChars="20" w:right="113" w:firstLine="31"/>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(2)连续最近两个年度信用等级为</w:t>
            </w:r>
            <w:r>
              <w:rPr>
                <w:color w:val="000000" w:themeColor="text1"/>
                <w:spacing w:val="-45"/>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5"/>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级的单位在参加广东省公路工程投标活动（</w:t>
            </w:r>
            <w:r>
              <w:rPr>
                <w:color w:val="000000" w:themeColor="text1"/>
                <w:spacing w:val="5"/>
                <w:highlight w:val="none"/>
                <w:lang w:eastAsia="zh-CN"/>
                <w14:textFill>
                  <w14:solidFill>
                    <w14:schemeClr w14:val="tx1"/>
                  </w14:solidFill>
                </w14:textFill>
              </w:rPr>
              <w:t>以递交</w:t>
            </w:r>
            <w:r>
              <w:rPr>
                <w:color w:val="000000" w:themeColor="text1"/>
                <w:spacing w:val="15"/>
                <w:highlight w:val="none"/>
                <w:lang w:eastAsia="zh-CN"/>
                <w14:textFill>
                  <w14:solidFill>
                    <w14:schemeClr w14:val="tx1"/>
                  </w14:solidFill>
                </w14:textFill>
              </w:rPr>
              <w:t>资格预审申请文件或资格后审递交投标文件时</w:t>
            </w:r>
            <w:r>
              <w:rPr>
                <w:color w:val="000000" w:themeColor="text1"/>
                <w:spacing w:val="14"/>
                <w:highlight w:val="none"/>
                <w:lang w:eastAsia="zh-CN"/>
                <w14:textFill>
                  <w14:solidFill>
                    <w14:schemeClr w14:val="tx1"/>
                  </w14:solidFill>
                </w14:textFill>
              </w:rPr>
              <w:t>间为准）时，可申请使用</w:t>
            </w:r>
            <w:r>
              <w:rPr>
                <w:color w:val="000000" w:themeColor="text1"/>
                <w:highlight w:val="none"/>
                <w:lang w:eastAsia="zh-CN"/>
                <w14:textFill>
                  <w14:solidFill>
                    <w14:schemeClr w14:val="tx1"/>
                  </w14:solidFill>
                </w14:textFill>
              </w:rPr>
              <w:t>AA</w:t>
            </w:r>
            <w:r>
              <w:rPr>
                <w:color w:val="000000" w:themeColor="text1"/>
                <w:spacing w:val="-30"/>
                <w:highlight w:val="none"/>
                <w:lang w:eastAsia="zh-CN"/>
                <w14:textFill>
                  <w14:solidFill>
                    <w14:schemeClr w14:val="tx1"/>
                  </w14:solidFill>
                </w14:textFill>
              </w:rPr>
              <w:t xml:space="preserve"> </w:t>
            </w:r>
            <w:r>
              <w:rPr>
                <w:color w:val="000000" w:themeColor="text1"/>
                <w:spacing w:val="14"/>
                <w:highlight w:val="none"/>
                <w:lang w:eastAsia="zh-CN"/>
                <w14:textFill>
                  <w14:solidFill>
                    <w14:schemeClr w14:val="tx1"/>
                  </w14:solidFill>
                </w14:textFill>
              </w:rPr>
              <w:t>级分值</w:t>
            </w:r>
            <w:r>
              <w:rPr>
                <w:color w:val="000000" w:themeColor="text1"/>
                <w:spacing w:val="-19"/>
                <w:highlight w:val="none"/>
                <w:lang w:eastAsia="zh-CN"/>
                <w14:textFill>
                  <w14:solidFill>
                    <w14:schemeClr w14:val="tx1"/>
                  </w14:solidFill>
                </w14:textFill>
              </w:rPr>
              <w:t xml:space="preserve"> </w:t>
            </w:r>
            <w:r>
              <w:rPr>
                <w:color w:val="000000" w:themeColor="text1"/>
                <w:spacing w:val="14"/>
                <w:highlight w:val="none"/>
                <w:lang w:eastAsia="zh-CN"/>
                <w14:textFill>
                  <w14:solidFill>
                    <w14:schemeClr w14:val="tx1"/>
                  </w14:solidFill>
                </w14:textFill>
              </w:rPr>
              <w:t>12</w:t>
            </w:r>
            <w:r>
              <w:rPr>
                <w:color w:val="000000" w:themeColor="text1"/>
                <w:spacing w:val="5"/>
                <w:highlight w:val="none"/>
                <w:lang w:eastAsia="zh-CN"/>
                <w14:textFill>
                  <w14:solidFill>
                    <w14:schemeClr w14:val="tx1"/>
                  </w14:solidFill>
                </w14:textFill>
              </w:rPr>
              <w:t>次，用完</w:t>
            </w:r>
            <w:r>
              <w:rPr>
                <w:color w:val="000000" w:themeColor="text1"/>
                <w:spacing w:val="-1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12</w:t>
            </w:r>
            <w:r>
              <w:rPr>
                <w:color w:val="000000" w:themeColor="text1"/>
                <w:spacing w:val="-3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次后信用等级分值将按</w:t>
            </w:r>
            <w:r>
              <w:rPr>
                <w:color w:val="000000" w:themeColor="text1"/>
                <w:spacing w:val="-4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级取定；</w:t>
            </w:r>
          </w:p>
          <w:p w14:paraId="65B38CF5">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2.对于信用等级为</w:t>
            </w:r>
            <w:r>
              <w:rPr>
                <w:color w:val="000000" w:themeColor="text1"/>
                <w:spacing w:val="-45"/>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级的从业单位:当年度信用等级</w:t>
            </w:r>
            <w:r>
              <w:rPr>
                <w:color w:val="000000" w:themeColor="text1"/>
                <w:spacing w:val="-43"/>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级单位在参加广东省公路工程建设项目招投标活动（以递交资格预审申请文件或资格后审递交投标文件时间为准）时，</w:t>
            </w:r>
            <w:r>
              <w:rPr>
                <w:color w:val="000000" w:themeColor="text1"/>
                <w:spacing w:val="7"/>
                <w:highlight w:val="none"/>
                <w:lang w:eastAsia="zh-CN"/>
                <w14:textFill>
                  <w14:solidFill>
                    <w14:schemeClr w14:val="tx1"/>
                  </w14:solidFill>
                </w14:textFill>
              </w:rPr>
              <w:t>可申请使用A</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级分值</w:t>
            </w:r>
            <w:r>
              <w:rPr>
                <w:color w:val="000000" w:themeColor="text1"/>
                <w:spacing w:val="-2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12</w:t>
            </w:r>
            <w:r>
              <w:rPr>
                <w:color w:val="000000" w:themeColor="text1"/>
                <w:spacing w:val="-32"/>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次，用完</w:t>
            </w:r>
            <w:r>
              <w:rPr>
                <w:color w:val="000000" w:themeColor="text1"/>
                <w:spacing w:val="-2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12</w:t>
            </w:r>
            <w:r>
              <w:rPr>
                <w:color w:val="000000" w:themeColor="text1"/>
                <w:spacing w:val="-32"/>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次后信用等级分值将按</w:t>
            </w:r>
            <w:r>
              <w:rPr>
                <w:color w:val="000000" w:themeColor="text1"/>
                <w:spacing w:val="-42"/>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B</w:t>
            </w:r>
            <w:r>
              <w:rPr>
                <w:color w:val="000000" w:themeColor="text1"/>
                <w:spacing w:val="-34"/>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级分值取定。</w:t>
            </w:r>
          </w:p>
          <w:p w14:paraId="4B381718">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3.当年度信用等级为</w:t>
            </w:r>
            <w:r>
              <w:rPr>
                <w:color w:val="000000" w:themeColor="text1"/>
                <w:spacing w:val="-43"/>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11"/>
                <w:highlight w:val="none"/>
                <w:lang w:eastAsia="zh-CN"/>
                <w14:textFill>
                  <w14:solidFill>
                    <w14:schemeClr w14:val="tx1"/>
                  </w14:solidFill>
                </w14:textFill>
              </w:rPr>
              <w:t>、A</w:t>
            </w:r>
            <w:r>
              <w:rPr>
                <w:color w:val="000000" w:themeColor="text1"/>
                <w:spacing w:val="-32"/>
                <w:highlight w:val="non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级的从业单位未承诺使用的信</w:t>
            </w:r>
            <w:r>
              <w:rPr>
                <w:color w:val="000000" w:themeColor="text1"/>
                <w:spacing w:val="10"/>
                <w:highlight w:val="none"/>
                <w:lang w:eastAsia="zh-CN"/>
                <w14:textFill>
                  <w14:solidFill>
                    <w14:schemeClr w14:val="tx1"/>
                  </w14:solidFill>
                </w14:textFill>
              </w:rPr>
              <w:t>用等级分值的，</w:t>
            </w:r>
            <w:r>
              <w:rPr>
                <w:color w:val="000000" w:themeColor="text1"/>
                <w:highlight w:val="none"/>
                <w:lang w:eastAsia="zh-CN"/>
                <w14:textFill>
                  <w14:solidFill>
                    <w14:schemeClr w14:val="tx1"/>
                  </w14:solidFill>
                </w14:textFill>
              </w:rPr>
              <w:t>AA</w:t>
            </w:r>
            <w:r>
              <w:rPr>
                <w:color w:val="000000" w:themeColor="text1"/>
                <w:spacing w:val="-35"/>
                <w:highlight w:val="none"/>
                <w:lang w:eastAsia="zh-CN"/>
                <w14:textFill>
                  <w14:solidFill>
                    <w14:schemeClr w14:val="tx1"/>
                  </w14:solidFill>
                </w14:textFill>
              </w:rPr>
              <w:t xml:space="preserve"> </w:t>
            </w:r>
            <w:r>
              <w:rPr>
                <w:color w:val="000000" w:themeColor="text1"/>
                <w:spacing w:val="10"/>
                <w:highlight w:val="none"/>
                <w:lang w:eastAsia="zh-CN"/>
                <w14:textFill>
                  <w14:solidFill>
                    <w14:schemeClr w14:val="tx1"/>
                  </w14:solidFill>
                </w14:textFill>
              </w:rPr>
              <w:t>级信用等</w:t>
            </w:r>
            <w:r>
              <w:rPr>
                <w:color w:val="000000" w:themeColor="text1"/>
                <w:spacing w:val="6"/>
                <w:highlight w:val="none"/>
                <w:lang w:eastAsia="zh-CN"/>
                <w14:textFill>
                  <w14:solidFill>
                    <w14:schemeClr w14:val="tx1"/>
                  </w14:solidFill>
                </w14:textFill>
              </w:rPr>
              <w:t>级企业按</w:t>
            </w:r>
            <w:r>
              <w:rPr>
                <w:color w:val="000000" w:themeColor="text1"/>
                <w:spacing w:val="-36"/>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级对待、A</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级信用等级企业按</w:t>
            </w:r>
            <w:r>
              <w:rPr>
                <w:color w:val="000000" w:themeColor="text1"/>
                <w:spacing w:val="-42"/>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B</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级对待。</w:t>
            </w:r>
          </w:p>
          <w:p w14:paraId="7C9769BA">
            <w:pPr>
              <w:pStyle w:val="124"/>
              <w:spacing w:line="288" w:lineRule="auto"/>
              <w:ind w:left="44" w:leftChars="20" w:right="113" w:hanging="2"/>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4.若从业企业在信用评价年度信用等级由</w:t>
            </w:r>
            <w:r>
              <w:rPr>
                <w:color w:val="000000" w:themeColor="text1"/>
                <w:spacing w:val="-30"/>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2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降级为</w:t>
            </w:r>
            <w:r>
              <w:rPr>
                <w:color w:val="000000" w:themeColor="text1"/>
                <w:spacing w:val="-4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级时，</w:t>
            </w:r>
            <w:r>
              <w:rPr>
                <w:color w:val="000000" w:themeColor="text1"/>
                <w:highlight w:val="none"/>
                <w:lang w:eastAsia="zh-CN"/>
                <w14:textFill>
                  <w14:solidFill>
                    <w14:schemeClr w14:val="tx1"/>
                  </w14:solidFill>
                </w14:textFill>
              </w:rPr>
              <w:t>AA</w:t>
            </w:r>
            <w:r>
              <w:rPr>
                <w:color w:val="000000" w:themeColor="text1"/>
                <w:spacing w:val="-37"/>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级信用等级已使用次数纳入</w:t>
            </w:r>
            <w:r>
              <w:rPr>
                <w:color w:val="000000" w:themeColor="text1"/>
                <w:spacing w:val="-36"/>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级信用等级使用次数合并累计。</w:t>
            </w:r>
          </w:p>
          <w:p w14:paraId="07331C7B">
            <w:pPr>
              <w:pStyle w:val="124"/>
              <w:spacing w:line="288" w:lineRule="auto"/>
              <w:ind w:left="42" w:leftChars="20" w:right="113" w:firstLine="16"/>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10.2.2 信用等级延续</w:t>
            </w:r>
            <w:r>
              <w:rPr>
                <w:color w:val="000000" w:themeColor="text1"/>
                <w:spacing w:val="-2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1</w:t>
            </w:r>
            <w:r>
              <w:rPr>
                <w:color w:val="000000" w:themeColor="text1"/>
                <w:spacing w:val="-39"/>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年后仍无信用评价等级的，按照初次进入广东省确定</w:t>
            </w:r>
            <w:r>
              <w:rPr>
                <w:color w:val="000000" w:themeColor="text1"/>
                <w:spacing w:val="7"/>
                <w:highlight w:val="none"/>
                <w:lang w:eastAsia="zh-CN"/>
                <w14:textFill>
                  <w14:solidFill>
                    <w14:schemeClr w14:val="tx1"/>
                  </w14:solidFill>
                </w14:textFill>
              </w:rPr>
              <w:t>，原则上按</w:t>
            </w:r>
            <w:r>
              <w:rPr>
                <w:color w:val="000000" w:themeColor="text1"/>
                <w:spacing w:val="-4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B</w:t>
            </w:r>
            <w:r>
              <w:rPr>
                <w:color w:val="000000" w:themeColor="text1"/>
                <w:spacing w:val="-3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级对待，但下列情况除外：最新年度的全国公路从业单位（施工单位）</w:t>
            </w:r>
            <w:r>
              <w:rPr>
                <w:color w:val="000000" w:themeColor="text1"/>
                <w:spacing w:val="6"/>
                <w:highlight w:val="none"/>
                <w:lang w:eastAsia="zh-CN"/>
                <w14:textFill>
                  <w14:solidFill>
                    <w14:schemeClr w14:val="tx1"/>
                  </w14:solidFill>
                </w14:textFill>
              </w:rPr>
              <w:t>信用评价结</w:t>
            </w:r>
            <w:r>
              <w:rPr>
                <w:color w:val="000000" w:themeColor="text1"/>
                <w:spacing w:val="2"/>
                <w:highlight w:val="none"/>
                <w:lang w:eastAsia="zh-CN"/>
                <w14:textFill>
                  <w14:solidFill>
                    <w14:schemeClr w14:val="tx1"/>
                  </w14:solidFill>
                </w14:textFill>
              </w:rPr>
              <w:t>果为</w:t>
            </w:r>
            <w:r>
              <w:rPr>
                <w:color w:val="000000" w:themeColor="text1"/>
                <w:spacing w:val="-31"/>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C</w:t>
            </w:r>
            <w:r>
              <w:rPr>
                <w:color w:val="000000" w:themeColor="text1"/>
                <w:spacing w:val="-34"/>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级或</w:t>
            </w:r>
            <w:r>
              <w:rPr>
                <w:color w:val="000000" w:themeColor="text1"/>
                <w:spacing w:val="-44"/>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D</w:t>
            </w:r>
            <w:r>
              <w:rPr>
                <w:color w:val="000000" w:themeColor="text1"/>
                <w:spacing w:val="-34"/>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级的，则按最新年度的全国公路从业单位（施工单位）信用评价结果对待；</w:t>
            </w:r>
            <w:r>
              <w:rPr>
                <w:color w:val="000000" w:themeColor="text1"/>
                <w:spacing w:val="6"/>
                <w:highlight w:val="none"/>
                <w:lang w:eastAsia="zh-CN"/>
                <w14:textFill>
                  <w14:solidFill>
                    <w14:schemeClr w14:val="tx1"/>
                  </w14:solidFill>
                </w14:textFill>
              </w:rPr>
              <w:t>或最新年度的全国公路从业单位（施工单位）信用评价结果未被评为</w:t>
            </w:r>
            <w:r>
              <w:rPr>
                <w:color w:val="000000" w:themeColor="text1"/>
                <w:spacing w:val="-33"/>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C</w:t>
            </w:r>
            <w:r>
              <w:rPr>
                <w:color w:val="000000" w:themeColor="text1"/>
                <w:spacing w:val="-35"/>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级或</w:t>
            </w:r>
            <w:r>
              <w:rPr>
                <w:color w:val="000000" w:themeColor="text1"/>
                <w:spacing w:val="-40"/>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D</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级的，但</w:t>
            </w:r>
            <w:r>
              <w:rPr>
                <w:color w:val="000000" w:themeColor="text1"/>
                <w:spacing w:val="7"/>
                <w:highlight w:val="none"/>
                <w:lang w:eastAsia="zh-CN"/>
                <w14:textFill>
                  <w14:solidFill>
                    <w14:schemeClr w14:val="tx1"/>
                  </w14:solidFill>
                </w14:textFill>
              </w:rPr>
              <w:t>在广东省最近年度原评价等级为</w:t>
            </w:r>
            <w:r>
              <w:rPr>
                <w:color w:val="000000" w:themeColor="text1"/>
                <w:spacing w:val="-3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D</w:t>
            </w:r>
            <w:r>
              <w:rPr>
                <w:color w:val="000000" w:themeColor="text1"/>
                <w:spacing w:val="-3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级的，则按</w:t>
            </w:r>
            <w:r>
              <w:rPr>
                <w:color w:val="000000" w:themeColor="text1"/>
                <w:spacing w:val="-41"/>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C</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级对待。</w:t>
            </w:r>
          </w:p>
          <w:p w14:paraId="59A2D84C">
            <w:pPr>
              <w:pStyle w:val="124"/>
              <w:spacing w:line="288" w:lineRule="auto"/>
              <w:ind w:left="42" w:leftChars="20" w:right="113" w:firstLine="15"/>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 xml:space="preserve">10.2.3  </w:t>
            </w:r>
            <w:r>
              <w:rPr>
                <w:color w:val="000000" w:themeColor="text1"/>
                <w:highlight w:val="none"/>
                <w:lang w:eastAsia="zh-CN"/>
                <w14:textFill>
                  <w14:solidFill>
                    <w14:schemeClr w14:val="tx1"/>
                  </w14:solidFill>
                </w14:textFill>
              </w:rPr>
              <w:t>AA</w:t>
            </w:r>
            <w:r>
              <w:rPr>
                <w:color w:val="000000" w:themeColor="text1"/>
                <w:spacing w:val="7"/>
                <w:highlight w:val="none"/>
                <w:lang w:eastAsia="zh-CN"/>
                <w14:textFill>
                  <w14:solidFill>
                    <w14:schemeClr w14:val="tx1"/>
                  </w14:solidFill>
                </w14:textFill>
              </w:rPr>
              <w:t>、A</w:t>
            </w:r>
            <w:r>
              <w:rPr>
                <w:color w:val="000000" w:themeColor="text1"/>
                <w:spacing w:val="-23"/>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级单位是指使用广东省信用评价等级申请承诺书的单位。提交申请承诺</w:t>
            </w:r>
            <w:r>
              <w:rPr>
                <w:color w:val="000000" w:themeColor="text1"/>
                <w:spacing w:val="6"/>
                <w:highlight w:val="none"/>
                <w:lang w:eastAsia="zh-CN"/>
                <w14:textFill>
                  <w14:solidFill>
                    <w14:schemeClr w14:val="tx1"/>
                  </w14:solidFill>
                </w14:textFill>
              </w:rPr>
              <w:t>书未使用</w:t>
            </w:r>
            <w:r>
              <w:rPr>
                <w:color w:val="000000" w:themeColor="text1"/>
                <w:spacing w:val="-43"/>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6"/>
                <w:highlight w:val="none"/>
                <w:lang w:eastAsia="zh-CN"/>
                <w14:textFill>
                  <w14:solidFill>
                    <w14:schemeClr w14:val="tx1"/>
                  </w14:solidFill>
                </w14:textFill>
              </w:rPr>
              <w:t>、A</w:t>
            </w:r>
            <w:r>
              <w:rPr>
                <w:color w:val="000000" w:themeColor="text1"/>
                <w:spacing w:val="-30"/>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时，在评标过程中，</w:t>
            </w:r>
            <w:r>
              <w:rPr>
                <w:color w:val="000000" w:themeColor="text1"/>
                <w:highlight w:val="none"/>
                <w:lang w:eastAsia="zh-CN"/>
                <w14:textFill>
                  <w14:solidFill>
                    <w14:schemeClr w14:val="tx1"/>
                  </w14:solidFill>
                </w14:textFill>
              </w:rPr>
              <w:t>AA</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级信用等级企业按</w:t>
            </w:r>
            <w:r>
              <w:rPr>
                <w:color w:val="000000" w:themeColor="text1"/>
                <w:spacing w:val="-44"/>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A</w:t>
            </w:r>
            <w:r>
              <w:rPr>
                <w:color w:val="000000" w:themeColor="text1"/>
                <w:spacing w:val="-37"/>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级对待</w:t>
            </w:r>
            <w:r>
              <w:rPr>
                <w:color w:val="000000" w:themeColor="text1"/>
                <w:spacing w:val="5"/>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级信用等级企业</w:t>
            </w:r>
            <w:r>
              <w:rPr>
                <w:color w:val="000000" w:themeColor="text1"/>
                <w:spacing w:val="7"/>
                <w:highlight w:val="none"/>
                <w:lang w:eastAsia="zh-CN"/>
                <w14:textFill>
                  <w14:solidFill>
                    <w14:schemeClr w14:val="tx1"/>
                  </w14:solidFill>
                </w14:textFill>
              </w:rPr>
              <w:t>按</w:t>
            </w:r>
            <w:r>
              <w:rPr>
                <w:color w:val="000000" w:themeColor="text1"/>
                <w:spacing w:val="-4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B</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级对待。（注：属于资格预审项目的，以资格预审申请文件的为</w:t>
            </w:r>
            <w:r>
              <w:rPr>
                <w:color w:val="000000" w:themeColor="text1"/>
                <w:spacing w:val="6"/>
                <w:highlight w:val="none"/>
                <w:lang w:eastAsia="zh-CN"/>
                <w14:textFill>
                  <w14:solidFill>
                    <w14:schemeClr w14:val="tx1"/>
                  </w14:solidFill>
                </w14:textFill>
              </w:rPr>
              <w:t>准。当出现跨年度</w:t>
            </w:r>
            <w:r>
              <w:rPr>
                <w:color w:val="000000" w:themeColor="text1"/>
                <w:spacing w:val="7"/>
                <w:highlight w:val="none"/>
                <w:lang w:eastAsia="zh-CN"/>
                <w14:textFill>
                  <w14:solidFill>
                    <w14:schemeClr w14:val="tx1"/>
                  </w14:solidFill>
                </w14:textFill>
              </w:rPr>
              <w:t>信用等级时，以投标人资格预审时申请使用信用等级与投标文件递交截止日的信用等级作比较，按“就低原则</w:t>
            </w:r>
            <w:r>
              <w:rPr>
                <w:color w:val="000000" w:themeColor="text1"/>
                <w:spacing w:val="-70"/>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”认定等级，即降低等级的按低</w:t>
            </w:r>
            <w:r>
              <w:rPr>
                <w:color w:val="000000" w:themeColor="text1"/>
                <w:spacing w:val="6"/>
                <w:highlight w:val="none"/>
                <w:lang w:eastAsia="zh-CN"/>
                <w14:textFill>
                  <w14:solidFill>
                    <w14:schemeClr w14:val="tx1"/>
                  </w14:solidFill>
                </w14:textFill>
              </w:rPr>
              <w:t>等级认定、升高等级的仍维持资</w:t>
            </w:r>
            <w:r>
              <w:rPr>
                <w:color w:val="000000" w:themeColor="text1"/>
                <w:spacing w:val="7"/>
                <w:highlight w:val="none"/>
                <w:lang w:eastAsia="zh-CN"/>
                <w14:textFill>
                  <w14:solidFill>
                    <w14:schemeClr w14:val="tx1"/>
                  </w14:solidFill>
                </w14:textFill>
              </w:rPr>
              <w:t>审时的申请等级。）</w:t>
            </w:r>
          </w:p>
          <w:p w14:paraId="0D6E22B3">
            <w:pPr>
              <w:pStyle w:val="124"/>
              <w:spacing w:line="288" w:lineRule="auto"/>
              <w:ind w:left="42" w:leftChars="20" w:right="113" w:firstLine="11"/>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10.2.4 在招标评标中，信用评价等级采用按次、按标段或标类（指资格预</w:t>
            </w:r>
            <w:r>
              <w:rPr>
                <w:color w:val="000000" w:themeColor="text1"/>
                <w:spacing w:val="8"/>
                <w:highlight w:val="none"/>
                <w:lang w:eastAsia="zh-CN"/>
                <w14:textFill>
                  <w14:solidFill>
                    <w14:schemeClr w14:val="tx1"/>
                  </w14:solidFill>
                </w14:textFill>
              </w:rPr>
              <w:t>审时未明确</w:t>
            </w:r>
            <w:r>
              <w:rPr>
                <w:color w:val="000000" w:themeColor="text1"/>
                <w:spacing w:val="7"/>
                <w:highlight w:val="none"/>
                <w:lang w:eastAsia="zh-CN"/>
                <w14:textFill>
                  <w14:solidFill>
                    <w14:schemeClr w14:val="tx1"/>
                  </w14:solidFill>
                </w14:textFill>
              </w:rPr>
              <w:t>具体标段的情形）申请使用的原则，即在同一次招标中的多个标段的投标，可自愿对其</w:t>
            </w:r>
            <w:r>
              <w:rPr>
                <w:color w:val="000000" w:themeColor="text1"/>
                <w:spacing w:val="5"/>
                <w:highlight w:val="none"/>
                <w:lang w:eastAsia="zh-CN"/>
                <w14:textFill>
                  <w14:solidFill>
                    <w14:schemeClr w14:val="tx1"/>
                  </w14:solidFill>
                </w14:textFill>
              </w:rPr>
              <w:t>中部分或全部标段申请使用</w:t>
            </w:r>
            <w:r>
              <w:rPr>
                <w:color w:val="000000" w:themeColor="text1"/>
                <w:highlight w:val="none"/>
                <w:lang w:eastAsia="zh-CN"/>
                <w14:textFill>
                  <w14:solidFill>
                    <w14:schemeClr w14:val="tx1"/>
                  </w14:solidFill>
                </w14:textFill>
              </w:rPr>
              <w:t>AA</w:t>
            </w:r>
            <w:r>
              <w:rPr>
                <w:color w:val="000000" w:themeColor="text1"/>
                <w:spacing w:val="-27"/>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或</w:t>
            </w:r>
            <w:r>
              <w:rPr>
                <w:color w:val="000000" w:themeColor="text1"/>
                <w:spacing w:val="-46"/>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级信用等级，无论中标与否，均应根据递交投标（或</w:t>
            </w:r>
            <w:r>
              <w:rPr>
                <w:color w:val="000000" w:themeColor="text1"/>
                <w:spacing w:val="9"/>
                <w:highlight w:val="none"/>
                <w:lang w:eastAsia="zh-CN"/>
                <w14:textFill>
                  <w14:solidFill>
                    <w14:schemeClr w14:val="tx1"/>
                  </w14:solidFill>
                </w14:textFill>
              </w:rPr>
              <w:t>申请）文件情况按标段计算使用次数（非投标人原因导致招标失败的情况除外）。</w:t>
            </w:r>
          </w:p>
          <w:p w14:paraId="4F0EA0BB">
            <w:pPr>
              <w:pStyle w:val="124"/>
              <w:spacing w:line="288" w:lineRule="auto"/>
              <w:ind w:left="46" w:leftChars="20" w:right="113" w:hanging="4"/>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10.2.5 招标项目为一个标段类别时，投标人以联合体形式投标的，信用等</w:t>
            </w:r>
            <w:r>
              <w:rPr>
                <w:color w:val="000000" w:themeColor="text1"/>
                <w:spacing w:val="8"/>
                <w:highlight w:val="none"/>
                <w:lang w:eastAsia="zh-CN"/>
                <w14:textFill>
                  <w14:solidFill>
                    <w14:schemeClr w14:val="tx1"/>
                  </w14:solidFill>
                </w14:textFill>
              </w:rPr>
              <w:t>级以联合体</w:t>
            </w:r>
            <w:r>
              <w:rPr>
                <w:color w:val="000000" w:themeColor="text1"/>
                <w:spacing w:val="6"/>
                <w:highlight w:val="none"/>
                <w:lang w:eastAsia="zh-CN"/>
                <w14:textFill>
                  <w14:solidFill>
                    <w14:schemeClr w14:val="tx1"/>
                  </w14:solidFill>
                </w14:textFill>
              </w:rPr>
              <w:t>中信用等级较低的为准。</w:t>
            </w:r>
          </w:p>
          <w:p w14:paraId="502D0921">
            <w:pPr>
              <w:pStyle w:val="124"/>
              <w:spacing w:line="288" w:lineRule="auto"/>
              <w:ind w:left="42" w:leftChars="20" w:right="113"/>
              <w:rPr>
                <w:rFonts w:hint="eastAsia"/>
                <w:color w:val="000000" w:themeColor="text1"/>
                <w:spacing w:val="8"/>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10.2.6 如招标内容包含了多个标段类别（如机电工程+交通安全设施工程类</w:t>
            </w:r>
            <w:r>
              <w:rPr>
                <w:color w:val="000000" w:themeColor="text1"/>
                <w:spacing w:val="-7"/>
                <w:highlight w:val="none"/>
                <w:lang w:eastAsia="zh-CN"/>
                <w14:textFill>
                  <w14:solidFill>
                    <w14:schemeClr w14:val="tx1"/>
                  </w14:solidFill>
                </w14:textFill>
              </w:rPr>
              <w:t>），</w:t>
            </w:r>
            <w:r>
              <w:rPr>
                <w:color w:val="000000" w:themeColor="text1"/>
                <w:spacing w:val="7"/>
                <w:highlight w:val="none"/>
                <w:lang w:eastAsia="zh-CN"/>
                <w14:textFill>
                  <w14:solidFill>
                    <w14:schemeClr w14:val="tx1"/>
                  </w14:solidFill>
                </w14:textFill>
              </w:rPr>
              <w:t>招标项</w:t>
            </w:r>
            <w:r>
              <w:rPr>
                <w:color w:val="000000" w:themeColor="text1"/>
                <w:spacing w:val="8"/>
                <w:highlight w:val="none"/>
                <w:lang w:eastAsia="zh-CN"/>
                <w14:textFill>
                  <w14:solidFill>
                    <w14:schemeClr w14:val="tx1"/>
                  </w14:solidFill>
                </w14:textFill>
              </w:rPr>
              <w:t>目的资质条件设置不止一个资质时投标人的信用等级认定原则：</w:t>
            </w:r>
          </w:p>
          <w:p w14:paraId="186065F4">
            <w:pPr>
              <w:pStyle w:val="124"/>
              <w:spacing w:line="288" w:lineRule="auto"/>
              <w:ind w:left="42" w:leftChars="20" w:right="113"/>
              <w:rPr>
                <w:rFonts w:hint="eastAsia"/>
                <w:color w:val="000000" w:themeColor="text1"/>
                <w:highlight w:val="none"/>
                <w14:textFill>
                  <w14:solidFill>
                    <w14:schemeClr w14:val="tx1"/>
                  </w14:solidFill>
                </w14:textFill>
              </w:rPr>
            </w:pPr>
            <w:r>
              <w:rPr>
                <w:color w:val="000000" w:themeColor="text1"/>
                <w:spacing w:val="9"/>
                <w:highlight w:val="none"/>
                <w14:textFill>
                  <w14:solidFill>
                    <w14:schemeClr w14:val="tx1"/>
                  </w14:solidFill>
                </w14:textFill>
              </w:rPr>
              <w:t>方法一（就低不就高模式</w:t>
            </w:r>
            <w:r>
              <w:rPr>
                <w:color w:val="000000" w:themeColor="text1"/>
                <w:highlight w:val="none"/>
                <w14:textFill>
                  <w14:solidFill>
                    <w14:schemeClr w14:val="tx1"/>
                  </w14:solidFill>
                </w14:textFill>
              </w:rPr>
              <w:t>）：</w:t>
            </w:r>
          </w:p>
          <w:p w14:paraId="20E22315">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独立投标的，按各类别招标内容相对应的投标人的信用等级，按就低不就高的原则确定投标人的最终信用等级得分；以联合体形式投标的，联合体成员按联合体协议书中约定</w:t>
            </w:r>
            <w:r>
              <w:rPr>
                <w:color w:val="000000" w:themeColor="text1"/>
                <w:spacing w:val="8"/>
                <w:highlight w:val="none"/>
                <w:lang w:eastAsia="zh-CN"/>
                <w14:textFill>
                  <w14:solidFill>
                    <w14:schemeClr w14:val="tx1"/>
                  </w14:solidFill>
                </w14:textFill>
              </w:rPr>
              <w:t>承担的专业工程对应相应的信用等级</w:t>
            </w:r>
            <w:r>
              <w:rPr>
                <w:color w:val="000000" w:themeColor="text1"/>
                <w:spacing w:val="-26"/>
                <w:position w:val="10"/>
                <w:sz w:val="10"/>
                <w:szCs w:val="10"/>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w:t>
            </w:r>
            <w:r>
              <w:rPr>
                <w:color w:val="000000" w:themeColor="text1"/>
                <w:spacing w:val="64"/>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按就低不就高的原则确</w:t>
            </w:r>
            <w:r>
              <w:rPr>
                <w:color w:val="000000" w:themeColor="text1"/>
                <w:spacing w:val="7"/>
                <w:highlight w:val="none"/>
                <w:lang w:eastAsia="zh-CN"/>
                <w14:textFill>
                  <w14:solidFill>
                    <w14:schemeClr w14:val="tx1"/>
                  </w14:solidFill>
                </w14:textFill>
              </w:rPr>
              <w:t>定投标人的最终信用等</w:t>
            </w:r>
            <w:r>
              <w:rPr>
                <w:color w:val="000000" w:themeColor="text1"/>
                <w:spacing w:val="5"/>
                <w:highlight w:val="none"/>
                <w:lang w:eastAsia="zh-CN"/>
                <w14:textFill>
                  <w14:solidFill>
                    <w14:schemeClr w14:val="tx1"/>
                  </w14:solidFill>
                </w14:textFill>
              </w:rPr>
              <w:t>级得分。</w:t>
            </w:r>
          </w:p>
          <w:p w14:paraId="6C2B7EBC">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13"/>
                <w:highlight w:val="none"/>
                <w:lang w:eastAsia="zh-CN"/>
                <w14:textFill>
                  <w14:solidFill>
                    <w14:schemeClr w14:val="tx1"/>
                  </w14:solidFill>
                </w14:textFill>
              </w:rPr>
              <w:t>举例：招标文件约定的机电工程所占的比例为</w:t>
            </w:r>
            <w:r>
              <w:rPr>
                <w:color w:val="000000" w:themeColor="text1"/>
                <w:spacing w:val="-15"/>
                <w:highlight w:val="none"/>
                <w:lang w:eastAsia="zh-CN"/>
                <w14:textFill>
                  <w14:solidFill>
                    <w14:schemeClr w14:val="tx1"/>
                  </w14:solidFill>
                </w14:textFill>
              </w:rPr>
              <w:t xml:space="preserve"> </w:t>
            </w:r>
            <w:r>
              <w:rPr>
                <w:color w:val="000000" w:themeColor="text1"/>
                <w:spacing w:val="13"/>
                <w:highlight w:val="none"/>
                <w:lang w:eastAsia="zh-CN"/>
                <w14:textFill>
                  <w14:solidFill>
                    <w14:schemeClr w14:val="tx1"/>
                  </w14:solidFill>
                </w14:textFill>
              </w:rPr>
              <w:t>70%，交通安全设施工程所占的比例为</w:t>
            </w:r>
            <w:r>
              <w:rPr>
                <w:color w:val="000000" w:themeColor="text1"/>
                <w:spacing w:val="9"/>
                <w:highlight w:val="none"/>
                <w:lang w:eastAsia="zh-CN"/>
                <w14:textFill>
                  <w14:solidFill>
                    <w14:schemeClr w14:val="tx1"/>
                  </w14:solidFill>
                </w14:textFill>
              </w:rPr>
              <w:t>30%，联合体形式投标的情形：单位甲为机电专业，其信用等级分值为机电工程</w:t>
            </w:r>
            <w:r>
              <w:rPr>
                <w:color w:val="000000" w:themeColor="text1"/>
                <w:spacing w:val="-35"/>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级，</w:t>
            </w:r>
            <w:r>
              <w:rPr>
                <w:color w:val="000000" w:themeColor="text1"/>
                <w:spacing w:val="7"/>
                <w:highlight w:val="none"/>
                <w:lang w:eastAsia="zh-CN"/>
                <w14:textFill>
                  <w14:solidFill>
                    <w14:schemeClr w14:val="tx1"/>
                  </w14:solidFill>
                </w14:textFill>
              </w:rPr>
              <w:t>单位乙为交通安全设施工程专业，其信用等级分值为交通安全</w:t>
            </w:r>
            <w:r>
              <w:rPr>
                <w:color w:val="000000" w:themeColor="text1"/>
                <w:spacing w:val="6"/>
                <w:highlight w:val="none"/>
                <w:lang w:eastAsia="zh-CN"/>
                <w14:textFill>
                  <w14:solidFill>
                    <w14:schemeClr w14:val="tx1"/>
                  </w14:solidFill>
                </w14:textFill>
              </w:rPr>
              <w:t>设施工程</w:t>
            </w:r>
            <w:r>
              <w:rPr>
                <w:color w:val="000000" w:themeColor="text1"/>
                <w:spacing w:val="-41"/>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B</w:t>
            </w:r>
            <w:r>
              <w:rPr>
                <w:color w:val="000000" w:themeColor="text1"/>
                <w:spacing w:val="-35"/>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级。结合招标</w:t>
            </w:r>
            <w:r>
              <w:rPr>
                <w:color w:val="000000" w:themeColor="text1"/>
                <w:spacing w:val="12"/>
                <w:highlight w:val="none"/>
                <w:lang w:eastAsia="zh-CN"/>
                <w14:textFill>
                  <w14:solidFill>
                    <w14:schemeClr w14:val="tx1"/>
                  </w14:solidFill>
                </w14:textFill>
              </w:rPr>
              <w:t>文件中约定的信用等级</w:t>
            </w:r>
            <w:r>
              <w:rPr>
                <w:color w:val="000000" w:themeColor="text1"/>
                <w:spacing w:val="-39"/>
                <w:highlight w:val="none"/>
                <w:lang w:eastAsia="zh-CN"/>
                <w14:textFill>
                  <w14:solidFill>
                    <w14:schemeClr w14:val="tx1"/>
                  </w14:solidFill>
                </w14:textFill>
              </w:rPr>
              <w:t xml:space="preserve"> </w:t>
            </w:r>
            <w:r>
              <w:rPr>
                <w:color w:val="000000" w:themeColor="text1"/>
                <w:spacing w:val="12"/>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12"/>
                <w:highlight w:val="none"/>
                <w:lang w:eastAsia="zh-CN"/>
                <w14:textFill>
                  <w14:solidFill>
                    <w14:schemeClr w14:val="tx1"/>
                  </w14:solidFill>
                </w14:textFill>
              </w:rPr>
              <w:t>级对应分值为4.75分，B</w:t>
            </w:r>
            <w:r>
              <w:rPr>
                <w:color w:val="000000" w:themeColor="text1"/>
                <w:spacing w:val="-37"/>
                <w:highlight w:val="none"/>
                <w:lang w:eastAsia="zh-CN"/>
                <w14:textFill>
                  <w14:solidFill>
                    <w14:schemeClr w14:val="tx1"/>
                  </w14:solidFill>
                </w14:textFill>
              </w:rPr>
              <w:t xml:space="preserve"> </w:t>
            </w:r>
            <w:r>
              <w:rPr>
                <w:color w:val="000000" w:themeColor="text1"/>
                <w:spacing w:val="12"/>
                <w:highlight w:val="none"/>
                <w:lang w:eastAsia="zh-CN"/>
                <w14:textFill>
                  <w14:solidFill>
                    <w14:schemeClr w14:val="tx1"/>
                  </w14:solidFill>
                </w14:textFill>
              </w:rPr>
              <w:t>级对应分值为4.45分，则按方法一</w:t>
            </w:r>
            <w:r>
              <w:rPr>
                <w:color w:val="000000" w:themeColor="text1"/>
                <w:spacing w:val="10"/>
                <w:highlight w:val="none"/>
                <w:lang w:eastAsia="zh-CN"/>
                <w14:textFill>
                  <w14:solidFill>
                    <w14:schemeClr w14:val="tx1"/>
                  </w14:solidFill>
                </w14:textFill>
              </w:rPr>
              <w:t>计算的联合体信用等级分值为：4.45分。</w:t>
            </w:r>
          </w:p>
          <w:p w14:paraId="58BF9D8C">
            <w:pPr>
              <w:pStyle w:val="124"/>
              <w:spacing w:line="288" w:lineRule="auto"/>
              <w:ind w:left="42" w:leftChars="20" w:right="113" w:firstLine="14"/>
              <w:rPr>
                <w:rFonts w:hint="eastAsia"/>
                <w:color w:val="000000" w:themeColor="text1"/>
                <w:highlight w:val="none"/>
                <w:lang w:eastAsia="zh-CN"/>
                <w14:textFill>
                  <w14:solidFill>
                    <w14:schemeClr w14:val="tx1"/>
                  </w14:solidFill>
                </w14:textFill>
              </w:rPr>
            </w:pPr>
            <w:r>
              <w:rPr>
                <w:color w:val="000000" w:themeColor="text1"/>
                <w:spacing w:val="10"/>
                <w:highlight w:val="none"/>
                <w:lang w:eastAsia="zh-CN"/>
                <w14:textFill>
                  <w14:solidFill>
                    <w14:schemeClr w14:val="tx1"/>
                  </w14:solidFill>
                </w14:textFill>
              </w:rPr>
              <w:t>10.2.7</w:t>
            </w:r>
            <w:r>
              <w:rPr>
                <w:color w:val="000000" w:themeColor="text1"/>
                <w:spacing w:val="-36"/>
                <w:highlight w:val="none"/>
                <w:lang w:eastAsia="zh-CN"/>
                <w14:textFill>
                  <w14:solidFill>
                    <w14:schemeClr w14:val="tx1"/>
                  </w14:solidFill>
                </w14:textFill>
              </w:rPr>
              <w:t xml:space="preserve"> </w:t>
            </w:r>
            <w:r>
              <w:rPr>
                <w:color w:val="000000" w:themeColor="text1"/>
                <w:spacing w:val="10"/>
                <w:highlight w:val="none"/>
                <w:lang w:eastAsia="zh-CN"/>
                <w14:textFill>
                  <w14:solidFill>
                    <w14:schemeClr w14:val="tx1"/>
                  </w14:solidFill>
                </w14:textFill>
              </w:rPr>
              <w:t>特大桥梁工程中钢结构工程（或主缆、斜拉索及吊索制造、运输）、附属区房</w:t>
            </w:r>
            <w:r>
              <w:rPr>
                <w:color w:val="000000" w:themeColor="text1"/>
                <w:spacing w:val="7"/>
                <w:highlight w:val="none"/>
                <w:lang w:eastAsia="zh-CN"/>
                <w14:textFill>
                  <w14:solidFill>
                    <w14:schemeClr w14:val="tx1"/>
                  </w14:solidFill>
                </w14:textFill>
              </w:rPr>
              <w:t>建项目不属于广东省公路水运工程从业企业信用评价体系的参评范围，故特大桥梁工程中钢结构工程（或主缆、斜拉索及吊索制造、运输）、附属区房建项目单独招标时，投标人的信用评价等级视为</w:t>
            </w:r>
            <w:r>
              <w:rPr>
                <w:color w:val="000000" w:themeColor="text1"/>
                <w:spacing w:val="-44"/>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B</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级。</w:t>
            </w:r>
          </w:p>
          <w:p w14:paraId="5637222D">
            <w:pPr>
              <w:pStyle w:val="124"/>
              <w:spacing w:line="288" w:lineRule="auto"/>
              <w:ind w:left="43" w:leftChars="20" w:right="113" w:hanging="1"/>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10.3 如果推荐的第一中标候选人放弃中标、因不可抗力提出不能履行合同、或因被投</w:t>
            </w:r>
            <w:r>
              <w:rPr>
                <w:color w:val="000000" w:themeColor="text1"/>
                <w:spacing w:val="7"/>
                <w:highlight w:val="none"/>
                <w:lang w:eastAsia="zh-CN"/>
                <w14:textFill>
                  <w14:solidFill>
                    <w14:schemeClr w14:val="tx1"/>
                  </w14:solidFill>
                </w14:textFill>
              </w:rPr>
              <w:t>诉经查证属实取消中标资格的，或者招标文件规定应当提交履约保证金而在规定的期限</w:t>
            </w:r>
            <w:r>
              <w:rPr>
                <w:color w:val="000000" w:themeColor="text1"/>
                <w:spacing w:val="9"/>
                <w:highlight w:val="none"/>
                <w:lang w:eastAsia="zh-CN"/>
                <w14:textFill>
                  <w14:solidFill>
                    <w14:schemeClr w14:val="tx1"/>
                  </w14:solidFill>
                </w14:textFill>
              </w:rPr>
              <w:t>内未能提交的，招标人可以确定排名第二的中标候选人为中标人,或重新组织招标</w:t>
            </w:r>
            <w:r>
              <w:rPr>
                <w:color w:val="000000" w:themeColor="text1"/>
                <w:spacing w:val="8"/>
                <w:highlight w:val="none"/>
                <w:lang w:eastAsia="zh-CN"/>
                <w14:textFill>
                  <w14:solidFill>
                    <w14:schemeClr w14:val="tx1"/>
                  </w14:solidFill>
                </w14:textFill>
              </w:rPr>
              <w:t>，</w:t>
            </w:r>
            <w:r>
              <w:rPr>
                <w:color w:val="000000" w:themeColor="text1"/>
                <w:spacing w:val="-59"/>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以</w:t>
            </w:r>
            <w:r>
              <w:rPr>
                <w:color w:val="000000" w:themeColor="text1"/>
                <w:spacing w:val="4"/>
                <w:highlight w:val="none"/>
                <w:lang w:eastAsia="zh-CN"/>
                <w14:textFill>
                  <w14:solidFill>
                    <w14:schemeClr w14:val="tx1"/>
                  </w14:solidFill>
                </w14:textFill>
              </w:rPr>
              <w:t>此类推。</w:t>
            </w:r>
          </w:p>
          <w:p w14:paraId="5DDEB01B">
            <w:pPr>
              <w:pStyle w:val="124"/>
              <w:spacing w:line="288" w:lineRule="auto"/>
              <w:ind w:left="42" w:leftChars="20" w:right="113" w:firstLine="14"/>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10.4 如果开标后至中标通知书发出前，第一中标候选人发生投</w:t>
            </w:r>
            <w:r>
              <w:rPr>
                <w:color w:val="000000" w:themeColor="text1"/>
                <w:spacing w:val="6"/>
                <w:highlight w:val="none"/>
                <w:lang w:eastAsia="zh-CN"/>
                <w14:textFill>
                  <w14:solidFill>
                    <w14:schemeClr w14:val="tx1"/>
                  </w14:solidFill>
                </w14:textFill>
              </w:rPr>
              <w:t>标人须知</w:t>
            </w:r>
            <w:r>
              <w:rPr>
                <w:color w:val="000000" w:themeColor="text1"/>
                <w:spacing w:val="-22"/>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1.4.4（1）至</w:t>
            </w:r>
            <w:r>
              <w:rPr>
                <w:color w:val="000000" w:themeColor="text1"/>
                <w:spacing w:val="9"/>
                <w:highlight w:val="none"/>
                <w:lang w:eastAsia="zh-CN"/>
                <w14:textFill>
                  <w14:solidFill>
                    <w14:schemeClr w14:val="tx1"/>
                  </w14:solidFill>
                </w14:textFill>
              </w:rPr>
              <w:t>（7）的情形及中标候选人信用等级被广东省交通运输厅直接降为</w:t>
            </w:r>
            <w:r>
              <w:rPr>
                <w:color w:val="000000" w:themeColor="text1"/>
                <w:spacing w:val="-27"/>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D</w:t>
            </w:r>
            <w:r>
              <w:rPr>
                <w:color w:val="000000" w:themeColor="text1"/>
                <w:spacing w:val="-34"/>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级的情形，则取消其中标资格，招标人按推荐中标候选人排名顺序依次确定中标人，或重新组织招标。</w:t>
            </w:r>
          </w:p>
          <w:p w14:paraId="7D561639">
            <w:pPr>
              <w:pStyle w:val="124"/>
              <w:spacing w:line="288" w:lineRule="auto"/>
              <w:ind w:left="42" w:leftChars="20" w:right="113" w:firstLine="12"/>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10.5 本招标文件中所有 “类似工程</w:t>
            </w:r>
            <w:r>
              <w:rPr>
                <w:color w:val="000000" w:themeColor="text1"/>
                <w:spacing w:val="-70"/>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”均指</w:t>
            </w:r>
            <w:r>
              <w:rPr>
                <w:rFonts w:hint="eastAsia"/>
                <w:b/>
                <w:bCs/>
                <w:color w:val="000000" w:themeColor="text1"/>
                <w:highlight w:val="none"/>
                <w:u w:val="single"/>
                <w:lang w:eastAsia="zh-CN"/>
                <w14:textFill>
                  <w14:solidFill>
                    <w14:schemeClr w14:val="tx1"/>
                  </w14:solidFill>
                </w14:textFill>
              </w:rPr>
              <w:t>新建、改建、扩建、改造</w:t>
            </w:r>
            <w:r>
              <w:rPr>
                <w:rFonts w:hint="eastAsia"/>
                <w:b/>
                <w:bCs/>
                <w:color w:val="000000" w:themeColor="text1"/>
                <w:highlight w:val="none"/>
                <w:u w:val="single"/>
                <w:lang w:val="en-US" w:eastAsia="zh-CN"/>
                <w14:textFill>
                  <w14:solidFill>
                    <w14:schemeClr w14:val="tx1"/>
                  </w14:solidFill>
                </w14:textFill>
              </w:rPr>
              <w:t>二</w:t>
            </w:r>
            <w:r>
              <w:rPr>
                <w:rFonts w:hint="eastAsia"/>
                <w:b/>
                <w:bCs/>
                <w:color w:val="000000" w:themeColor="text1"/>
                <w:highlight w:val="none"/>
                <w:u w:val="single"/>
                <w:lang w:eastAsia="zh-CN"/>
                <w14:textFill>
                  <w14:solidFill>
                    <w14:schemeClr w14:val="tx1"/>
                  </w14:solidFill>
                </w14:textFill>
              </w:rPr>
              <w:t>级以上（含</w:t>
            </w:r>
            <w:r>
              <w:rPr>
                <w:rFonts w:hint="eastAsia"/>
                <w:b/>
                <w:bCs/>
                <w:color w:val="000000" w:themeColor="text1"/>
                <w:highlight w:val="none"/>
                <w:u w:val="single"/>
                <w:lang w:val="en-US" w:eastAsia="zh-CN"/>
                <w14:textFill>
                  <w14:solidFill>
                    <w14:schemeClr w14:val="tx1"/>
                  </w14:solidFill>
                </w14:textFill>
              </w:rPr>
              <w:t>二</w:t>
            </w:r>
            <w:r>
              <w:rPr>
                <w:rFonts w:hint="eastAsia"/>
                <w:b/>
                <w:bCs/>
                <w:color w:val="000000" w:themeColor="text1"/>
                <w:highlight w:val="none"/>
                <w:u w:val="single"/>
                <w:lang w:eastAsia="zh-CN"/>
                <w14:textFill>
                  <w14:solidFill>
                    <w14:schemeClr w14:val="tx1"/>
                  </w14:solidFill>
                </w14:textFill>
              </w:rPr>
              <w:t>级）公路施工项目</w:t>
            </w:r>
            <w:r>
              <w:rPr>
                <w:color w:val="000000" w:themeColor="text1"/>
                <w:spacing w:val="7"/>
                <w:highlight w:val="none"/>
                <w:u w:val="single"/>
                <w:lang w:eastAsia="zh-CN"/>
                <w14:textFill>
                  <w14:solidFill>
                    <w14:schemeClr w14:val="tx1"/>
                  </w14:solidFill>
                </w14:textFill>
              </w:rPr>
              <w:t>。在采用新建公路项目完工业绩时，对于同公路等级改、扩建中的新建桥梁或隧道</w:t>
            </w:r>
            <w:r>
              <w:rPr>
                <w:color w:val="000000" w:themeColor="text1"/>
                <w:spacing w:val="10"/>
                <w:highlight w:val="none"/>
                <w:u w:val="single"/>
                <w:lang w:eastAsia="zh-CN"/>
                <w14:textFill>
                  <w14:solidFill>
                    <w14:schemeClr w14:val="tx1"/>
                  </w14:solidFill>
                </w14:textFill>
              </w:rPr>
              <w:t>工程业绩也应认可。</w:t>
            </w:r>
          </w:p>
          <w:p w14:paraId="0ECCC254">
            <w:pPr>
              <w:pStyle w:val="124"/>
              <w:spacing w:line="288" w:lineRule="auto"/>
              <w:ind w:left="42" w:leftChars="20" w:right="113"/>
              <w:rPr>
                <w:rFonts w:hint="eastAsia"/>
                <w:color w:val="000000" w:themeColor="text1"/>
                <w:spacing w:val="4"/>
                <w:highlight w:val="none"/>
                <w:lang w:eastAsia="zh-CN"/>
                <w14:textFill>
                  <w14:solidFill>
                    <w14:schemeClr w14:val="tx1"/>
                  </w14:solidFill>
                </w14:textFill>
              </w:rPr>
            </w:pPr>
            <w:r>
              <w:rPr>
                <w:color w:val="000000" w:themeColor="text1"/>
                <w:spacing w:val="4"/>
                <w:highlight w:val="none"/>
                <w:lang w:eastAsia="zh-CN"/>
                <w14:textFill>
                  <w14:solidFill>
                    <w14:schemeClr w14:val="tx1"/>
                  </w14:solidFill>
                </w14:textFill>
              </w:rPr>
              <w:t>10.6 有关说明</w:t>
            </w:r>
          </w:p>
          <w:p w14:paraId="70703C8C">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10.6.1</w:t>
            </w:r>
          </w:p>
          <w:p w14:paraId="699820FC">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a、特大桥及大桥按国家最新颁布的标准进行</w:t>
            </w:r>
            <w:r>
              <w:rPr>
                <w:color w:val="000000" w:themeColor="text1"/>
                <w:spacing w:val="8"/>
                <w:highlight w:val="none"/>
                <w:lang w:eastAsia="zh-CN"/>
                <w14:textFill>
                  <w14:solidFill>
                    <w14:schemeClr w14:val="tx1"/>
                  </w14:solidFill>
                </w14:textFill>
              </w:rPr>
              <w:t>划分；</w:t>
            </w:r>
          </w:p>
          <w:p w14:paraId="79EFC687">
            <w:pPr>
              <w:pStyle w:val="124"/>
              <w:spacing w:line="288" w:lineRule="auto"/>
              <w:ind w:left="46" w:leftChars="20" w:right="113" w:hanging="4"/>
              <w:rPr>
                <w:rFonts w:hint="eastAsia"/>
                <w:color w:val="000000" w:themeColor="text1"/>
                <w:highlight w:val="none"/>
                <w:lang w:eastAsia="zh-CN"/>
                <w14:textFill>
                  <w14:solidFill>
                    <w14:schemeClr w14:val="tx1"/>
                  </w14:solidFill>
                </w14:textFill>
              </w:rPr>
            </w:pPr>
            <w:r>
              <w:rPr>
                <w:color w:val="000000" w:themeColor="text1"/>
                <w:spacing w:val="10"/>
                <w:highlight w:val="none"/>
                <w:lang w:eastAsia="zh-CN"/>
                <w14:textFill>
                  <w14:solidFill>
                    <w14:schemeClr w14:val="tx1"/>
                  </w14:solidFill>
                </w14:textFill>
              </w:rPr>
              <w:t>b、完成整座桥梁的半幅或整座桥梁其中的一部分工作内容达到特大桥或大桥对应技术</w:t>
            </w:r>
            <w:r>
              <w:rPr>
                <w:color w:val="000000" w:themeColor="text1"/>
                <w:spacing w:val="8"/>
                <w:highlight w:val="none"/>
                <w:lang w:eastAsia="zh-CN"/>
                <w14:textFill>
                  <w14:solidFill>
                    <w14:schemeClr w14:val="tx1"/>
                  </w14:solidFill>
                </w14:textFill>
              </w:rPr>
              <w:t>标准的，按相应标段标准以座计算；</w:t>
            </w:r>
          </w:p>
          <w:p w14:paraId="55AED060">
            <w:pPr>
              <w:pStyle w:val="124"/>
              <w:spacing w:line="288" w:lineRule="auto"/>
              <w:ind w:left="53" w:leftChars="20" w:right="113" w:hanging="11"/>
              <w:rPr>
                <w:rFonts w:hint="eastAsia"/>
                <w:color w:val="000000" w:themeColor="text1"/>
                <w:spacing w:val="14"/>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c、同一投标人的单座桥梁仅能计一次，只完成整个工程部分分部工程不参与计算业绩。</w:t>
            </w:r>
            <w:r>
              <w:rPr>
                <w:color w:val="000000" w:themeColor="text1"/>
                <w:spacing w:val="14"/>
                <w:highlight w:val="none"/>
                <w:lang w:eastAsia="zh-CN"/>
                <w14:textFill>
                  <w14:solidFill>
                    <w14:schemeClr w14:val="tx1"/>
                  </w14:solidFill>
                </w14:textFill>
              </w:rPr>
              <w:t xml:space="preserve"> </w:t>
            </w:r>
          </w:p>
          <w:p w14:paraId="691C70EE">
            <w:pPr>
              <w:pStyle w:val="124"/>
              <w:spacing w:line="288" w:lineRule="auto"/>
              <w:ind w:left="53" w:leftChars="20" w:right="113" w:hanging="11"/>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10.6.2</w:t>
            </w:r>
          </w:p>
          <w:p w14:paraId="753E3526">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a、特长隧道：单座隧道单洞（即左洞加右洞）总长大于</w:t>
            </w:r>
            <w:r>
              <w:rPr>
                <w:color w:val="000000" w:themeColor="text1"/>
                <w:spacing w:val="-21"/>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6000</w:t>
            </w:r>
            <w:r>
              <w:rPr>
                <w:color w:val="000000" w:themeColor="text1"/>
                <w:spacing w:val="-41"/>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米的，或完成单座隧道的</w:t>
            </w:r>
            <w:r>
              <w:rPr>
                <w:color w:val="000000" w:themeColor="text1"/>
                <w:spacing w:val="8"/>
                <w:highlight w:val="none"/>
                <w:lang w:eastAsia="zh-CN"/>
                <w14:textFill>
                  <w14:solidFill>
                    <w14:schemeClr w14:val="tx1"/>
                  </w14:solidFill>
                </w14:textFill>
              </w:rPr>
              <w:t>一部分且该部分的单洞累计长度大于</w:t>
            </w:r>
            <w:r>
              <w:rPr>
                <w:color w:val="000000" w:themeColor="text1"/>
                <w:spacing w:val="-32"/>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6000</w:t>
            </w:r>
            <w:r>
              <w:rPr>
                <w:color w:val="000000" w:themeColor="text1"/>
                <w:spacing w:val="-4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米的，均按</w:t>
            </w:r>
            <w:r>
              <w:rPr>
                <w:color w:val="000000" w:themeColor="text1"/>
                <w:spacing w:val="-2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1</w:t>
            </w:r>
            <w:r>
              <w:rPr>
                <w:color w:val="000000" w:themeColor="text1"/>
                <w:spacing w:val="-39"/>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座计；完成单座特长隧道的一</w:t>
            </w:r>
            <w:r>
              <w:rPr>
                <w:color w:val="000000" w:themeColor="text1"/>
                <w:spacing w:val="4"/>
                <w:highlight w:val="none"/>
                <w:lang w:eastAsia="zh-CN"/>
                <w14:textFill>
                  <w14:solidFill>
                    <w14:schemeClr w14:val="tx1"/>
                  </w14:solidFill>
                </w14:textFill>
              </w:rPr>
              <w:t>部分，该部分单洞累计长度大于</w:t>
            </w:r>
            <w:r>
              <w:rPr>
                <w:color w:val="000000" w:themeColor="text1"/>
                <w:spacing w:val="-15"/>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3000</w:t>
            </w:r>
            <w:r>
              <w:rPr>
                <w:color w:val="000000" w:themeColor="text1"/>
                <w:spacing w:val="-40"/>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米且不大于</w:t>
            </w:r>
            <w:r>
              <w:rPr>
                <w:color w:val="000000" w:themeColor="text1"/>
                <w:spacing w:val="-35"/>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6000</w:t>
            </w:r>
            <w:r>
              <w:rPr>
                <w:color w:val="000000" w:themeColor="text1"/>
                <w:spacing w:val="-40"/>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米的，按</w:t>
            </w:r>
            <w:r>
              <w:rPr>
                <w:color w:val="000000" w:themeColor="text1"/>
                <w:spacing w:val="-38"/>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0.5</w:t>
            </w:r>
            <w:r>
              <w:rPr>
                <w:color w:val="000000" w:themeColor="text1"/>
                <w:spacing w:val="-39"/>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座计，完成</w:t>
            </w:r>
            <w:r>
              <w:rPr>
                <w:color w:val="000000" w:themeColor="text1"/>
                <w:spacing w:val="-43"/>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N</w:t>
            </w:r>
            <w:r>
              <w:rPr>
                <w:color w:val="000000" w:themeColor="text1"/>
                <w:spacing w:val="-39"/>
                <w:highlight w:val="none"/>
                <w:lang w:eastAsia="zh-CN"/>
                <w14:textFill>
                  <w14:solidFill>
                    <w14:schemeClr w14:val="tx1"/>
                  </w14:solidFill>
                </w14:textFill>
              </w:rPr>
              <w:t xml:space="preserve"> </w:t>
            </w:r>
            <w:r>
              <w:rPr>
                <w:color w:val="000000" w:themeColor="text1"/>
                <w:spacing w:val="4"/>
                <w:highlight w:val="none"/>
                <w:lang w:eastAsia="zh-CN"/>
                <w14:textFill>
                  <w14:solidFill>
                    <w14:schemeClr w14:val="tx1"/>
                  </w14:solidFill>
                </w14:textFill>
              </w:rPr>
              <w:t>座该</w:t>
            </w:r>
            <w:r>
              <w:rPr>
                <w:color w:val="000000" w:themeColor="text1"/>
                <w:spacing w:val="10"/>
                <w:highlight w:val="none"/>
                <w:lang w:eastAsia="zh-CN"/>
                <w14:textFill>
                  <w14:solidFill>
                    <w14:schemeClr w14:val="tx1"/>
                  </w14:solidFill>
                </w14:textFill>
              </w:rPr>
              <w:t>类隧道按N×0.5</w:t>
            </w:r>
            <w:r>
              <w:rPr>
                <w:color w:val="000000" w:themeColor="text1"/>
                <w:spacing w:val="-37"/>
                <w:highlight w:val="none"/>
                <w:lang w:eastAsia="zh-CN"/>
                <w14:textFill>
                  <w14:solidFill>
                    <w14:schemeClr w14:val="tx1"/>
                  </w14:solidFill>
                </w14:textFill>
              </w:rPr>
              <w:t xml:space="preserve"> </w:t>
            </w:r>
            <w:r>
              <w:rPr>
                <w:color w:val="000000" w:themeColor="text1"/>
                <w:spacing w:val="10"/>
                <w:highlight w:val="none"/>
                <w:lang w:eastAsia="zh-CN"/>
                <w14:textFill>
                  <w14:solidFill>
                    <w14:schemeClr w14:val="tx1"/>
                  </w14:solidFill>
                </w14:textFill>
              </w:rPr>
              <w:t>座计；</w:t>
            </w:r>
          </w:p>
          <w:p w14:paraId="37897A61">
            <w:pPr>
              <w:pStyle w:val="124"/>
              <w:spacing w:line="288" w:lineRule="auto"/>
              <w:ind w:left="47" w:leftChars="20" w:right="113" w:hanging="5"/>
              <w:rPr>
                <w:rFonts w:hint="eastAsia"/>
                <w:color w:val="000000" w:themeColor="text1"/>
                <w:spacing w:val="-3"/>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b、长隧道：单座隧道单洞（即左洞加右洞）总长大于</w:t>
            </w:r>
            <w:r>
              <w:rPr>
                <w:color w:val="000000" w:themeColor="text1"/>
                <w:spacing w:val="-27"/>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2000</w:t>
            </w:r>
            <w:r>
              <w:rPr>
                <w:color w:val="000000" w:themeColor="text1"/>
                <w:spacing w:val="-40"/>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米且不大于</w:t>
            </w:r>
            <w:r>
              <w:rPr>
                <w:color w:val="000000" w:themeColor="text1"/>
                <w:spacing w:val="-38"/>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6000</w:t>
            </w:r>
            <w:r>
              <w:rPr>
                <w:color w:val="000000" w:themeColor="text1"/>
                <w:spacing w:val="-38"/>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米的，或</w:t>
            </w:r>
            <w:r>
              <w:rPr>
                <w:color w:val="000000" w:themeColor="text1"/>
                <w:spacing w:val="6"/>
                <w:highlight w:val="none"/>
                <w:lang w:eastAsia="zh-CN"/>
                <w14:textFill>
                  <w14:solidFill>
                    <w14:schemeClr w14:val="tx1"/>
                  </w14:solidFill>
                </w14:textFill>
              </w:rPr>
              <w:t>完成单座隧道的一部分且该部分的单洞累计长度大于</w:t>
            </w:r>
            <w:r>
              <w:rPr>
                <w:color w:val="000000" w:themeColor="text1"/>
                <w:spacing w:val="-36"/>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2000</w:t>
            </w:r>
            <w:r>
              <w:rPr>
                <w:color w:val="000000" w:themeColor="text1"/>
                <w:spacing w:val="-40"/>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米且不大于</w:t>
            </w:r>
            <w:r>
              <w:rPr>
                <w:color w:val="000000" w:themeColor="text1"/>
                <w:spacing w:val="-38"/>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6000</w:t>
            </w:r>
            <w:r>
              <w:rPr>
                <w:color w:val="000000" w:themeColor="text1"/>
                <w:spacing w:val="-38"/>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米的，均按</w:t>
            </w:r>
            <w:r>
              <w:rPr>
                <w:color w:val="000000" w:themeColor="text1"/>
                <w:spacing w:val="-3"/>
                <w:highlight w:val="none"/>
                <w:lang w:eastAsia="zh-CN"/>
                <w14:textFill>
                  <w14:solidFill>
                    <w14:schemeClr w14:val="tx1"/>
                  </w14:solidFill>
                </w14:textFill>
              </w:rPr>
              <w:t>1</w:t>
            </w:r>
            <w:r>
              <w:rPr>
                <w:color w:val="000000" w:themeColor="text1"/>
                <w:spacing w:val="-39"/>
                <w:highlight w:val="none"/>
                <w:lang w:eastAsia="zh-CN"/>
                <w14:textFill>
                  <w14:solidFill>
                    <w14:schemeClr w14:val="tx1"/>
                  </w14:solidFill>
                </w14:textFill>
              </w:rPr>
              <w:t xml:space="preserve"> </w:t>
            </w:r>
            <w:r>
              <w:rPr>
                <w:color w:val="000000" w:themeColor="text1"/>
                <w:spacing w:val="-3"/>
                <w:highlight w:val="none"/>
                <w:lang w:eastAsia="zh-CN"/>
                <w14:textFill>
                  <w14:solidFill>
                    <w14:schemeClr w14:val="tx1"/>
                  </w14:solidFill>
                </w14:textFill>
              </w:rPr>
              <w:t>座计；</w:t>
            </w:r>
          </w:p>
          <w:p w14:paraId="0A4A0CFD">
            <w:pPr>
              <w:pStyle w:val="124"/>
              <w:spacing w:line="288" w:lineRule="auto"/>
              <w:ind w:left="47" w:leftChars="20" w:right="113" w:hanging="5"/>
              <w:rPr>
                <w:rFonts w:hint="eastAsia"/>
                <w:color w:val="000000" w:themeColor="text1"/>
                <w:spacing w:val="7"/>
                <w:highlight w:val="none"/>
                <w:lang w:eastAsia="zh-CN"/>
                <w14:textFill>
                  <w14:solidFill>
                    <w14:schemeClr w14:val="tx1"/>
                  </w14:solidFill>
                </w14:textFill>
              </w:rPr>
            </w:pPr>
            <w:r>
              <w:rPr>
                <w:color w:val="000000" w:themeColor="text1"/>
                <w:spacing w:val="-3"/>
                <w:highlight w:val="none"/>
                <w:lang w:eastAsia="zh-CN"/>
                <w14:textFill>
                  <w14:solidFill>
                    <w14:schemeClr w14:val="tx1"/>
                  </w14:solidFill>
                </w14:textFill>
              </w:rPr>
              <w:t>c、同一座隧道同时满足条件的，同一投标人只计算一次业绩；特长隧道可计为</w:t>
            </w:r>
            <w:r>
              <w:rPr>
                <w:rFonts w:hint="eastAsia"/>
                <w:color w:val="000000" w:themeColor="text1"/>
                <w:spacing w:val="-3"/>
                <w:highlight w:val="none"/>
                <w:lang w:eastAsia="zh-CN"/>
                <w14:textFill>
                  <w14:solidFill>
                    <w14:schemeClr w14:val="tx1"/>
                  </w14:solidFill>
                </w14:textFill>
              </w:rPr>
              <w:t>长隧道。</w:t>
            </w:r>
          </w:p>
          <w:p w14:paraId="67ABFE34">
            <w:pPr>
              <w:pStyle w:val="124"/>
              <w:spacing w:line="288" w:lineRule="auto"/>
              <w:ind w:right="113"/>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10.6.3</w:t>
            </w:r>
            <w:r>
              <w:rPr>
                <w:color w:val="000000" w:themeColor="text1"/>
                <w:spacing w:val="-37"/>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一般互通式立交和枢纽互通式立交按国家最新颁布的标</w:t>
            </w:r>
            <w:r>
              <w:rPr>
                <w:color w:val="000000" w:themeColor="text1"/>
                <w:spacing w:val="7"/>
                <w:highlight w:val="none"/>
                <w:lang w:eastAsia="zh-CN"/>
                <w14:textFill>
                  <w14:solidFill>
                    <w14:schemeClr w14:val="tx1"/>
                  </w14:solidFill>
                </w14:textFill>
              </w:rPr>
              <w:t>准进行划分。</w:t>
            </w:r>
          </w:p>
          <w:p w14:paraId="01CFBF41">
            <w:pPr>
              <w:pStyle w:val="124"/>
              <w:spacing w:line="288" w:lineRule="auto"/>
              <w:ind w:left="42" w:leftChars="20" w:right="113" w:firstLine="15"/>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10.6.4</w:t>
            </w:r>
            <w:r>
              <w:rPr>
                <w:color w:val="000000" w:themeColor="text1"/>
                <w:spacing w:val="-37"/>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本招标文件</w:t>
            </w:r>
            <w:r>
              <w:rPr>
                <w:color w:val="000000" w:themeColor="text1"/>
                <w:spacing w:val="-36"/>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C</w:t>
            </w:r>
            <w:r>
              <w:rPr>
                <w:color w:val="000000" w:themeColor="text1"/>
                <w:spacing w:val="-38"/>
                <w:highlight w:val="none"/>
                <w:lang w:eastAsia="zh-CN"/>
                <w14:textFill>
                  <w14:solidFill>
                    <w14:schemeClr w14:val="tx1"/>
                  </w14:solidFill>
                </w14:textFill>
              </w:rPr>
              <w:t xml:space="preserve"> </w:t>
            </w:r>
            <w:r>
              <w:rPr>
                <w:color w:val="000000" w:themeColor="text1"/>
                <w:spacing w:val="9"/>
                <w:highlight w:val="none"/>
                <w:lang w:eastAsia="zh-CN"/>
                <w14:textFill>
                  <w14:solidFill>
                    <w14:schemeClr w14:val="tx1"/>
                  </w14:solidFill>
                </w14:textFill>
              </w:rPr>
              <w:t>类特大桥梁工程中钢结构工程</w:t>
            </w:r>
            <w:r>
              <w:rPr>
                <w:color w:val="000000" w:themeColor="text1"/>
                <w:spacing w:val="8"/>
                <w:highlight w:val="none"/>
                <w:lang w:eastAsia="zh-CN"/>
                <w14:textFill>
                  <w14:solidFill>
                    <w14:schemeClr w14:val="tx1"/>
                  </w14:solidFill>
                </w14:textFill>
              </w:rPr>
              <w:t>中所指“钢结构</w:t>
            </w:r>
            <w:r>
              <w:rPr>
                <w:color w:val="000000" w:themeColor="text1"/>
                <w:spacing w:val="-70"/>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”是特指桥梁钢桁</w:t>
            </w:r>
            <w:r>
              <w:rPr>
                <w:color w:val="000000" w:themeColor="text1"/>
                <w:spacing w:val="10"/>
                <w:highlight w:val="none"/>
                <w:lang w:eastAsia="zh-CN"/>
                <w14:textFill>
                  <w14:solidFill>
                    <w14:schemeClr w14:val="tx1"/>
                  </w14:solidFill>
                </w14:textFill>
              </w:rPr>
              <w:t>梁、钢箱梁、钢板梁、钢管结构、钢-混凝土组合梁、钢塔、钢盖梁。其他形式钢结构</w:t>
            </w:r>
            <w:r>
              <w:rPr>
                <w:color w:val="000000" w:themeColor="text1"/>
                <w:spacing w:val="6"/>
                <w:highlight w:val="none"/>
                <w:lang w:eastAsia="zh-CN"/>
                <w14:textFill>
                  <w14:solidFill>
                    <w14:schemeClr w14:val="tx1"/>
                  </w14:solidFill>
                </w14:textFill>
              </w:rPr>
              <w:t>不包含其中。</w:t>
            </w:r>
          </w:p>
          <w:p w14:paraId="07911DAC">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10.7</w:t>
            </w:r>
            <w:r>
              <w:rPr>
                <w:color w:val="000000" w:themeColor="text1"/>
                <w:spacing w:val="-31"/>
                <w:highlight w:val="non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招标文件中如无特别说明，业绩里程累计长度均不扣除桥隧等构造物长度。</w:t>
            </w:r>
            <w:r>
              <w:rPr>
                <w:color w:val="000000" w:themeColor="text1"/>
                <w:spacing w:val="5"/>
                <w:highlight w:val="none"/>
                <w:u w:val="single"/>
                <w:lang w:eastAsia="zh-CN"/>
                <w14:textFill>
                  <w14:solidFill>
                    <w14:schemeClr w14:val="tx1"/>
                  </w14:solidFill>
                </w14:textFill>
              </w:rPr>
              <w:t>10.8</w:t>
            </w:r>
            <w:r>
              <w:rPr>
                <w:color w:val="000000" w:themeColor="text1"/>
                <w:spacing w:val="-18"/>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同时对两个及两个以上标段进行投标的投标人</w:t>
            </w:r>
            <w:r>
              <w:rPr>
                <w:color w:val="000000" w:themeColor="text1"/>
                <w:spacing w:val="4"/>
                <w:highlight w:val="none"/>
                <w:u w:val="single"/>
                <w:lang w:eastAsia="zh-CN"/>
                <w14:textFill>
                  <w14:solidFill>
                    <w14:schemeClr w14:val="tx1"/>
                  </w14:solidFill>
                </w14:textFill>
              </w:rPr>
              <w:t>，不能使用相同的人员、设备。（如</w:t>
            </w:r>
            <w:r>
              <w:rPr>
                <w:color w:val="000000" w:themeColor="text1"/>
                <w:spacing w:val="10"/>
                <w:highlight w:val="none"/>
                <w:u w:val="single"/>
                <w:lang w:eastAsia="zh-CN"/>
                <w14:textFill>
                  <w14:solidFill>
                    <w14:schemeClr w14:val="tx1"/>
                  </w14:solidFill>
                </w14:textFill>
              </w:rPr>
              <w:t>果最终只允许中一个标段，则允许使用相同的人员、设备）。</w:t>
            </w:r>
          </w:p>
        </w:tc>
      </w:tr>
      <w:tr w14:paraId="3C365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613"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49D4BB0">
            <w:pPr>
              <w:spacing w:line="380" w:lineRule="exact"/>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val="en-US" w:eastAsia="zh-CN"/>
                <w14:textFill>
                  <w14:solidFill>
                    <w14:schemeClr w14:val="tx1"/>
                  </w14:solidFill>
                </w14:textFill>
              </w:rPr>
              <w:t>0.9</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0E931DA8">
            <w:pPr>
              <w:pStyle w:val="93"/>
              <w:spacing w:line="380" w:lineRule="exact"/>
              <w:ind w:firstLine="480" w:firstLineChars="200"/>
              <w:rPr>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招标代理服务费等费用：依据《关于印发招标代理服务收费管理暂行办法的通知》（粤价函[2002]386号）计算收费基准价，并按《乳源瑶族自治县政府投资项目前期工作经费管理办法》（乳府办〔2022〕106号）规定下浮率进行下浮取费，招标代理服务费由中标人支付。</w:t>
            </w:r>
          </w:p>
        </w:tc>
      </w:tr>
      <w:tr w14:paraId="472C72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71"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22C6B2ED">
            <w:pPr>
              <w:spacing w:line="380" w:lineRule="exact"/>
              <w:jc w:val="center"/>
              <w:rPr>
                <w:rFonts w:hint="eastAsia"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562C73ED">
            <w:pPr>
              <w:pStyle w:val="93"/>
              <w:spacing w:line="380" w:lineRule="exact"/>
              <w:ind w:firstLine="482" w:firstLineChars="200"/>
              <w:jc w:val="both"/>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
                <w:bCs w:val="0"/>
                <w:color w:val="000000" w:themeColor="text1"/>
                <w:sz w:val="24"/>
                <w:szCs w:val="24"/>
                <w:highlight w:val="none"/>
                <w:lang w:val="en-US" w:eastAsia="zh-CN"/>
                <w14:textFill>
                  <w14:solidFill>
                    <w14:schemeClr w14:val="tx1"/>
                  </w14:solidFill>
                </w14:textFill>
              </w:rPr>
              <w:t>投标人须知正文中涉及“第二个信封（报价文件）”统一修改为“第二个信封（报价文件、定标文件）”</w:t>
            </w:r>
          </w:p>
        </w:tc>
      </w:tr>
      <w:tr w14:paraId="29EC1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10167" w:type="dxa"/>
            <w:gridSpan w:val="3"/>
            <w:tcBorders>
              <w:top w:val="single" w:color="auto" w:sz="4" w:space="0"/>
              <w:left w:val="single" w:color="auto" w:sz="12" w:space="0"/>
              <w:bottom w:val="single" w:color="auto" w:sz="4" w:space="0"/>
              <w:right w:val="single" w:color="auto" w:sz="12" w:space="0"/>
            </w:tcBorders>
            <w:vAlign w:val="center"/>
          </w:tcPr>
          <w:p w14:paraId="433D7CE5">
            <w:pPr>
              <w:pStyle w:val="3"/>
              <w:spacing w:line="380" w:lineRule="exact"/>
              <w:ind w:firstLine="482" w:firstLineChars="200"/>
              <w:rPr>
                <w:rFonts w:ascii="Calibri" w:hAnsi="Calibri"/>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备注：“投标人须知”前附表是“投标人须知”正文内容的补充、细化和修改，投标人应结合“投标人须知”正文与“投标人须知”前附表两部分内容仔细阅读“投标人须知”。</w:t>
            </w:r>
          </w:p>
        </w:tc>
      </w:tr>
    </w:tbl>
    <w:p w14:paraId="161AD8E6">
      <w:pPr>
        <w:rPr>
          <w:color w:val="000000" w:themeColor="text1"/>
          <w:highlight w:val="none"/>
          <w14:textFill>
            <w14:solidFill>
              <w14:schemeClr w14:val="tx1"/>
            </w14:solidFill>
          </w14:textFill>
        </w:rPr>
      </w:pPr>
    </w:p>
    <w:p w14:paraId="33B3E82C">
      <w:pPr>
        <w:rPr>
          <w:color w:val="000000" w:themeColor="text1"/>
          <w:highlight w:val="none"/>
          <w14:textFill>
            <w14:solidFill>
              <w14:schemeClr w14:val="tx1"/>
            </w14:solidFill>
          </w14:textFill>
        </w:rPr>
      </w:pPr>
    </w:p>
    <w:p w14:paraId="1B5738FA">
      <w:pPr>
        <w:rPr>
          <w:color w:val="000000" w:themeColor="text1"/>
          <w:highlight w:val="none"/>
          <w14:textFill>
            <w14:solidFill>
              <w14:schemeClr w14:val="tx1"/>
            </w14:solidFill>
          </w14:textFill>
        </w:rPr>
      </w:pPr>
    </w:p>
    <w:p w14:paraId="5A2ECA5D">
      <w:pPr>
        <w:rPr>
          <w:color w:val="000000" w:themeColor="text1"/>
          <w:highlight w:val="none"/>
          <w14:textFill>
            <w14:solidFill>
              <w14:schemeClr w14:val="tx1"/>
            </w14:solidFill>
          </w14:textFill>
        </w:rPr>
      </w:pPr>
    </w:p>
    <w:p w14:paraId="11EC1755">
      <w:pPr>
        <w:rPr>
          <w:color w:val="000000" w:themeColor="text1"/>
          <w:highlight w:val="none"/>
          <w14:textFill>
            <w14:solidFill>
              <w14:schemeClr w14:val="tx1"/>
            </w14:solidFill>
          </w14:textFill>
        </w:rPr>
      </w:pPr>
    </w:p>
    <w:p w14:paraId="696312B6">
      <w:pPr>
        <w:pStyle w:val="6"/>
        <w:spacing w:before="168" w:after="120"/>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14" w:name="_Toc18472"/>
      <w:r>
        <w:rPr>
          <w:rFonts w:hint="eastAsia"/>
          <w:color w:val="000000" w:themeColor="text1"/>
          <w:sz w:val="28"/>
          <w:szCs w:val="36"/>
          <w:highlight w:val="none"/>
          <w14:textFill>
            <w14:solidFill>
              <w14:schemeClr w14:val="tx1"/>
            </w14:solidFill>
          </w14:textFill>
        </w:rPr>
        <w:t xml:space="preserve">附录1   </w:t>
      </w:r>
      <w:r>
        <w:rPr>
          <w:rFonts w:hint="eastAsia" w:ascii="宋体" w:hAnsi="宋体" w:cs="宋体"/>
          <w:color w:val="000000" w:themeColor="text1"/>
          <w:sz w:val="28"/>
          <w:szCs w:val="36"/>
          <w:highlight w:val="none"/>
          <w14:textFill>
            <w14:solidFill>
              <w14:schemeClr w14:val="tx1"/>
            </w14:solidFill>
          </w14:textFill>
        </w:rPr>
        <w:t>资格审查条件(资质最低条件)</w:t>
      </w:r>
      <w:bookmarkEnd w:id="14"/>
    </w:p>
    <w:p w14:paraId="14A952C6">
      <w:pPr>
        <w:spacing w:line="160" w:lineRule="exact"/>
        <w:rPr>
          <w:color w:val="000000" w:themeColor="text1"/>
          <w:highlight w:val="none"/>
          <w14:textFill>
            <w14:solidFill>
              <w14:schemeClr w14:val="tx1"/>
            </w14:solidFill>
          </w14:textFill>
        </w:rPr>
      </w:pPr>
    </w:p>
    <w:p w14:paraId="4956EC4E">
      <w:pPr>
        <w:spacing w:line="160" w:lineRule="exact"/>
        <w:rPr>
          <w:color w:val="000000" w:themeColor="text1"/>
          <w:highlight w:val="none"/>
          <w14:textFill>
            <w14:solidFill>
              <w14:schemeClr w14:val="tx1"/>
            </w14:solidFill>
          </w14:textFill>
        </w:rPr>
      </w:pPr>
    </w:p>
    <w:tbl>
      <w:tblPr>
        <w:tblStyle w:val="4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93"/>
      </w:tblGrid>
      <w:tr w14:paraId="6C4C9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2" w:hRule="exact"/>
        </w:trPr>
        <w:tc>
          <w:tcPr>
            <w:tcW w:w="9493" w:type="dxa"/>
            <w:vAlign w:val="center"/>
          </w:tcPr>
          <w:p w14:paraId="7EF4F246">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施工企业资质等级要求</w:t>
            </w:r>
          </w:p>
        </w:tc>
      </w:tr>
      <w:tr w14:paraId="31F50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4" w:hRule="exact"/>
        </w:trPr>
        <w:tc>
          <w:tcPr>
            <w:tcW w:w="9493" w:type="dxa"/>
            <w:vAlign w:val="center"/>
          </w:tcPr>
          <w:p w14:paraId="6F4DA86A">
            <w:pPr>
              <w:topLinePunct/>
              <w:adjustRightInd w:val="0"/>
              <w:spacing w:before="72" w:beforeLines="30" w:line="460" w:lineRule="exact"/>
              <w:ind w:left="210"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具备住房城乡建设主管部门核发的公路工程施工总承包三级以上（含三级）资质。</w:t>
            </w:r>
          </w:p>
        </w:tc>
      </w:tr>
    </w:tbl>
    <w:p w14:paraId="0BBB92DD">
      <w:pPr>
        <w:widowControl/>
        <w:spacing w:line="360" w:lineRule="auto"/>
        <w:jc w:val="lef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注：</w:t>
      </w:r>
    </w:p>
    <w:p w14:paraId="46B5E60A">
      <w:pPr>
        <w:widowControl/>
        <w:spacing w:line="360" w:lineRule="auto"/>
        <w:jc w:val="lef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1、投标人应根据投标文件第二章“投标人须知”第 3.5.1 项的要求附相关证明材料。</w:t>
      </w:r>
    </w:p>
    <w:p w14:paraId="73101A63">
      <w:pPr>
        <w:widowControl/>
        <w:spacing w:line="360" w:lineRule="auto"/>
        <w:jc w:val="left"/>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2、本表所列的资质为满足要求的最低资质，其相对应的以上级别资质均符合资格审查条件。</w:t>
      </w:r>
    </w:p>
    <w:p w14:paraId="29F52254">
      <w:pPr>
        <w:rPr>
          <w:color w:val="000000" w:themeColor="text1"/>
          <w:highlight w:val="none"/>
          <w14:textFill>
            <w14:solidFill>
              <w14:schemeClr w14:val="tx1"/>
            </w14:solidFill>
          </w14:textFill>
        </w:rPr>
      </w:pPr>
    </w:p>
    <w:p w14:paraId="25C73C16">
      <w:pPr>
        <w:rPr>
          <w:color w:val="000000" w:themeColor="text1"/>
          <w:highlight w:val="none"/>
          <w14:textFill>
            <w14:solidFill>
              <w14:schemeClr w14:val="tx1"/>
            </w14:solidFill>
          </w14:textFill>
        </w:rPr>
      </w:pPr>
    </w:p>
    <w:p w14:paraId="6B695554">
      <w:pPr>
        <w:pStyle w:val="70"/>
        <w:rPr>
          <w:color w:val="000000" w:themeColor="text1"/>
          <w:highlight w:val="none"/>
          <w14:textFill>
            <w14:solidFill>
              <w14:schemeClr w14:val="tx1"/>
            </w14:solidFill>
          </w14:textFill>
        </w:rPr>
      </w:pPr>
    </w:p>
    <w:p w14:paraId="3FA303FB">
      <w:pPr>
        <w:pStyle w:val="6"/>
        <w:spacing w:before="168" w:after="120"/>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15" w:name="_Toc394"/>
      <w:r>
        <w:rPr>
          <w:rFonts w:hint="eastAsia"/>
          <w:color w:val="000000" w:themeColor="text1"/>
          <w:sz w:val="28"/>
          <w:szCs w:val="36"/>
          <w:highlight w:val="none"/>
          <w14:textFill>
            <w14:solidFill>
              <w14:schemeClr w14:val="tx1"/>
            </w14:solidFill>
          </w14:textFill>
        </w:rPr>
        <w:t>附录2   资格审查条件(财务最低要求)</w:t>
      </w:r>
      <w:bookmarkEnd w:id="15"/>
    </w:p>
    <w:p w14:paraId="12AC1B16">
      <w:pPr>
        <w:spacing w:line="160" w:lineRule="exact"/>
        <w:rPr>
          <w:color w:val="000000" w:themeColor="text1"/>
          <w:highlight w:val="none"/>
          <w14:textFill>
            <w14:solidFill>
              <w14:schemeClr w14:val="tx1"/>
            </w14:solidFill>
          </w14:textFill>
        </w:rPr>
      </w:pPr>
    </w:p>
    <w:tbl>
      <w:tblPr>
        <w:tblStyle w:val="4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49"/>
      </w:tblGrid>
      <w:tr w14:paraId="1FE10F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exact"/>
        </w:trPr>
        <w:tc>
          <w:tcPr>
            <w:tcW w:w="9549" w:type="dxa"/>
            <w:vAlign w:val="center"/>
          </w:tcPr>
          <w:p w14:paraId="53F17736">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财 务 要 求</w:t>
            </w:r>
          </w:p>
        </w:tc>
      </w:tr>
      <w:tr w14:paraId="2F7D5C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89" w:hRule="exact"/>
        </w:trPr>
        <w:tc>
          <w:tcPr>
            <w:tcW w:w="9549" w:type="dxa"/>
            <w:vAlign w:val="center"/>
          </w:tcPr>
          <w:p w14:paraId="5EDB4D5F">
            <w:pPr>
              <w:topLinePunct/>
              <w:adjustRightInd w:val="0"/>
              <w:spacing w:before="72" w:beforeLines="30" w:line="460" w:lineRule="exact"/>
              <w:ind w:left="21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1、企业净资产（总资产-总负债）不少于</w:t>
            </w:r>
            <w:r>
              <w:rPr>
                <w:rFonts w:hint="eastAsia" w:ascii="宋体" w:hAnsi="宋体" w:cs="宋体"/>
                <w:color w:val="000000" w:themeColor="text1"/>
                <w:kern w:val="0"/>
                <w:sz w:val="24"/>
                <w:highlight w:val="none"/>
                <w:u w:val="single"/>
                <w:lang w:val="en-US" w:eastAsia="zh-CN"/>
                <w14:textFill>
                  <w14:solidFill>
                    <w14:schemeClr w14:val="tx1"/>
                  </w14:solidFill>
                </w14:textFill>
              </w:rPr>
              <w:t>38</w:t>
            </w:r>
            <w:r>
              <w:rPr>
                <w:rFonts w:hint="eastAsia" w:ascii="宋体" w:hAnsi="宋体" w:cs="宋体"/>
                <w:color w:val="000000" w:themeColor="text1"/>
                <w:kern w:val="0"/>
                <w:sz w:val="24"/>
                <w:highlight w:val="none"/>
                <w:u w:val="single"/>
                <w14:textFill>
                  <w14:solidFill>
                    <w14:schemeClr w14:val="tx1"/>
                  </w14:solidFill>
                </w14:textFill>
              </w:rPr>
              <w:t>00</w:t>
            </w:r>
            <w:r>
              <w:rPr>
                <w:rFonts w:hint="eastAsia" w:ascii="宋体" w:hAnsi="宋体" w:cs="宋体"/>
                <w:color w:val="000000" w:themeColor="text1"/>
                <w:kern w:val="0"/>
                <w:sz w:val="24"/>
                <w:highlight w:val="none"/>
                <w14:textFill>
                  <w14:solidFill>
                    <w14:schemeClr w14:val="tx1"/>
                  </w14:solidFill>
                </w14:textFill>
              </w:rPr>
              <w:t>万元人民币。</w:t>
            </w:r>
          </w:p>
          <w:p w14:paraId="31E0CDD4">
            <w:pPr>
              <w:topLinePunct/>
              <w:adjustRightInd w:val="0"/>
              <w:spacing w:before="72" w:beforeLines="30" w:line="460" w:lineRule="exact"/>
              <w:ind w:left="21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2、营运资金（流动资产－流动负债）不少于</w:t>
            </w:r>
            <w:r>
              <w:rPr>
                <w:rFonts w:hint="eastAsia" w:ascii="宋体" w:hAnsi="宋体" w:cs="宋体"/>
                <w:color w:val="000000" w:themeColor="text1"/>
                <w:kern w:val="0"/>
                <w:sz w:val="24"/>
                <w:highlight w:val="none"/>
                <w:u w:val="single"/>
                <w:lang w:val="en-US" w:eastAsia="zh-CN"/>
                <w14:textFill>
                  <w14:solidFill>
                    <w14:schemeClr w14:val="tx1"/>
                  </w14:solidFill>
                </w14:textFill>
              </w:rPr>
              <w:t>38</w:t>
            </w:r>
            <w:r>
              <w:rPr>
                <w:rFonts w:hint="eastAsia" w:ascii="宋体" w:hAnsi="宋体" w:cs="宋体"/>
                <w:color w:val="000000" w:themeColor="text1"/>
                <w:kern w:val="0"/>
                <w:sz w:val="24"/>
                <w:highlight w:val="none"/>
                <w:u w:val="single"/>
                <w14:textFill>
                  <w14:solidFill>
                    <w14:schemeClr w14:val="tx1"/>
                  </w14:solidFill>
                </w14:textFill>
              </w:rPr>
              <w:t>00</w:t>
            </w:r>
            <w:r>
              <w:rPr>
                <w:rFonts w:hint="eastAsia" w:ascii="宋体" w:hAnsi="宋体" w:cs="宋体"/>
                <w:color w:val="000000" w:themeColor="text1"/>
                <w:kern w:val="0"/>
                <w:sz w:val="24"/>
                <w:highlight w:val="none"/>
                <w14:textFill>
                  <w14:solidFill>
                    <w14:schemeClr w14:val="tx1"/>
                  </w14:solidFill>
                </w14:textFill>
              </w:rPr>
              <w:t>万元人民币。</w:t>
            </w:r>
            <w:r>
              <w:rPr>
                <w:rFonts w:hint="eastAsia" w:ascii="宋体" w:hAnsi="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u w:val="single"/>
                <w14:textFill>
                  <w14:solidFill>
                    <w14:schemeClr w14:val="tx1"/>
                  </w14:solidFill>
                </w14:textFill>
              </w:rPr>
              <w:t>国内商业银行出具的信贷证明额度不少于</w:t>
            </w:r>
            <w:r>
              <w:rPr>
                <w:rFonts w:hint="eastAsia" w:ascii="宋体" w:hAnsi="宋体"/>
                <w:color w:val="000000" w:themeColor="text1"/>
                <w:sz w:val="24"/>
                <w:highlight w:val="none"/>
                <w:u w:val="single"/>
                <w:lang w:val="en-US" w:eastAsia="zh-CN"/>
                <w14:textFill>
                  <w14:solidFill>
                    <w14:schemeClr w14:val="tx1"/>
                  </w14:solidFill>
                </w14:textFill>
              </w:rPr>
              <w:t>38</w:t>
            </w:r>
            <w:r>
              <w:rPr>
                <w:rFonts w:hint="eastAsia" w:ascii="宋体" w:hAnsi="宋体"/>
                <w:color w:val="000000" w:themeColor="text1"/>
                <w:kern w:val="0"/>
                <w:sz w:val="24"/>
                <w:highlight w:val="none"/>
                <w:u w:val="single"/>
                <w14:textFill>
                  <w14:solidFill>
                    <w14:schemeClr w14:val="tx1"/>
                  </w14:solidFill>
                </w14:textFill>
              </w:rPr>
              <w:t>00万元人民币</w:t>
            </w:r>
            <w:r>
              <w:rPr>
                <w:rFonts w:hint="eastAsia" w:ascii="宋体" w:hAnsi="宋体"/>
                <w:color w:val="000000" w:themeColor="text1"/>
                <w:sz w:val="24"/>
                <w:highlight w:val="none"/>
                <w14:textFill>
                  <w14:solidFill>
                    <w14:schemeClr w14:val="tx1"/>
                  </w14:solidFill>
                </w14:textFill>
              </w:rPr>
              <w:t>。</w:t>
            </w:r>
          </w:p>
          <w:p w14:paraId="3771A7F5">
            <w:pPr>
              <w:topLinePunct/>
              <w:adjustRightInd w:val="0"/>
              <w:spacing w:before="72" w:beforeLines="30" w:line="460" w:lineRule="exact"/>
              <w:ind w:left="210"/>
              <w:rPr>
                <w:color w:val="000000" w:themeColor="text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3、近三个年度的年平均营业总收入不少于</w:t>
            </w:r>
            <w:r>
              <w:rPr>
                <w:rFonts w:hint="eastAsia" w:ascii="宋体" w:hAnsi="宋体" w:cs="宋体"/>
                <w:color w:val="000000" w:themeColor="text1"/>
                <w:kern w:val="0"/>
                <w:sz w:val="24"/>
                <w:highlight w:val="none"/>
                <w:u w:val="single"/>
                <w:lang w:val="en-US" w:eastAsia="zh-CN"/>
                <w14:textFill>
                  <w14:solidFill>
                    <w14:schemeClr w14:val="tx1"/>
                  </w14:solidFill>
                </w14:textFill>
              </w:rPr>
              <w:t>40</w:t>
            </w:r>
            <w:r>
              <w:rPr>
                <w:rFonts w:hint="eastAsia" w:ascii="宋体" w:hAnsi="宋体" w:cs="宋体"/>
                <w:color w:val="000000" w:themeColor="text1"/>
                <w:kern w:val="0"/>
                <w:sz w:val="24"/>
                <w:highlight w:val="none"/>
                <w:u w:val="single"/>
                <w14:textFill>
                  <w14:solidFill>
                    <w14:schemeClr w14:val="tx1"/>
                  </w14:solidFill>
                </w14:textFill>
              </w:rPr>
              <w:t>00</w:t>
            </w:r>
            <w:r>
              <w:rPr>
                <w:rFonts w:hint="eastAsia" w:ascii="宋体" w:hAnsi="宋体" w:cs="宋体"/>
                <w:color w:val="000000" w:themeColor="text1"/>
                <w:kern w:val="0"/>
                <w:sz w:val="24"/>
                <w:highlight w:val="none"/>
                <w14:textFill>
                  <w14:solidFill>
                    <w14:schemeClr w14:val="tx1"/>
                  </w14:solidFill>
                </w14:textFill>
              </w:rPr>
              <w:t>万元人民币。</w:t>
            </w:r>
          </w:p>
        </w:tc>
      </w:tr>
    </w:tbl>
    <w:p w14:paraId="2AF25ECA">
      <w:pPr>
        <w:spacing w:line="360" w:lineRule="auto"/>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2B591DB7">
      <w:pPr>
        <w:spacing w:before="60" w:line="360" w:lineRule="auto"/>
        <w:ind w:right="113" w:firstLine="226"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1、企业净资产、营运资金是按最新年度（近三个年度的最后一年，下同）的数据计算得</w:t>
      </w:r>
      <w:r>
        <w:rPr>
          <w:rFonts w:hint="eastAsia" w:ascii="宋体" w:hAnsi="宋体" w:cs="宋体"/>
          <w:color w:val="000000" w:themeColor="text1"/>
          <w:spacing w:val="7"/>
          <w:szCs w:val="21"/>
          <w:highlight w:val="none"/>
          <w14:textFill>
            <w14:solidFill>
              <w14:schemeClr w14:val="tx1"/>
            </w14:solidFill>
          </w14:textFill>
        </w:rPr>
        <w:t>出。近三个</w:t>
      </w:r>
      <w:r>
        <w:rPr>
          <w:rFonts w:hint="eastAsia" w:ascii="宋体" w:hAnsi="宋体" w:cs="宋体"/>
          <w:color w:val="000000" w:themeColor="text1"/>
          <w:spacing w:val="5"/>
          <w:szCs w:val="21"/>
          <w:highlight w:val="none"/>
          <w14:textFill>
            <w14:solidFill>
              <w14:schemeClr w14:val="tx1"/>
            </w14:solidFill>
          </w14:textFill>
        </w:rPr>
        <w:t>年度是指</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3</w:t>
      </w:r>
      <w:r>
        <w:rPr>
          <w:rFonts w:hint="eastAsia" w:ascii="宋体" w:hAnsi="宋体" w:cs="宋体"/>
          <w:color w:val="000000" w:themeColor="text1"/>
          <w:szCs w:val="21"/>
          <w:highlight w:val="none"/>
          <w:u w:val="single"/>
          <w14:textFill>
            <w14:solidFill>
              <w14:schemeClr w14:val="tx1"/>
            </w14:solidFill>
          </w14:textFill>
        </w:rPr>
        <w:t>年度、202</w:t>
      </w:r>
      <w:r>
        <w:rPr>
          <w:rFonts w:hint="eastAsia" w:ascii="宋体" w:hAnsi="宋体" w:cs="宋体"/>
          <w:color w:val="000000" w:themeColor="text1"/>
          <w:szCs w:val="21"/>
          <w:highlight w:val="none"/>
          <w:u w:val="single"/>
          <w:lang w:val="en-US" w:eastAsia="zh-CN"/>
          <w14:textFill>
            <w14:solidFill>
              <w14:schemeClr w14:val="tx1"/>
            </w14:solidFill>
          </w14:textFill>
        </w:rPr>
        <w:t>4</w:t>
      </w:r>
      <w:r>
        <w:rPr>
          <w:rFonts w:hint="eastAsia" w:ascii="宋体" w:hAnsi="宋体" w:cs="宋体"/>
          <w:color w:val="000000" w:themeColor="text1"/>
          <w:szCs w:val="21"/>
          <w:highlight w:val="none"/>
          <w:u w:val="single"/>
          <w14:textFill>
            <w14:solidFill>
              <w14:schemeClr w14:val="tx1"/>
            </w14:solidFill>
          </w14:textFill>
        </w:rPr>
        <w:t>年度、202</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u w:val="single"/>
          <w14:textFill>
            <w14:solidFill>
              <w14:schemeClr w14:val="tx1"/>
            </w14:solidFill>
          </w14:textFill>
        </w:rPr>
        <w:t>年度</w:t>
      </w:r>
      <w:r>
        <w:rPr>
          <w:rFonts w:hint="eastAsia" w:ascii="宋体" w:hAnsi="宋体" w:cs="宋体"/>
          <w:color w:val="000000" w:themeColor="text1"/>
          <w:spacing w:val="5"/>
          <w:szCs w:val="21"/>
          <w:highlight w:val="none"/>
          <w14:textFill>
            <w14:solidFill>
              <w14:schemeClr w14:val="tx1"/>
            </w14:solidFill>
          </w14:textFill>
        </w:rPr>
        <w:t>。</w:t>
      </w:r>
    </w:p>
    <w:p w14:paraId="6D621C01">
      <w:pPr>
        <w:spacing w:before="64" w:line="360" w:lineRule="auto"/>
        <w:ind w:right="116" w:firstLine="224"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7"/>
          <w:szCs w:val="21"/>
          <w:highlight w:val="none"/>
          <w14:textFill>
            <w14:solidFill>
              <w14:schemeClr w14:val="tx1"/>
            </w14:solidFill>
          </w14:textFill>
        </w:rPr>
        <w:t>2、以联合体形式投标的，财务最低要求中的第</w:t>
      </w:r>
      <w:r>
        <w:rPr>
          <w:rFonts w:hint="eastAsia" w:ascii="宋体" w:hAnsi="宋体" w:cs="宋体"/>
          <w:color w:val="000000" w:themeColor="text1"/>
          <w:spacing w:val="-23"/>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1、2、3</w:t>
      </w:r>
      <w:r>
        <w:rPr>
          <w:rFonts w:hint="eastAsia" w:ascii="宋体" w:hAnsi="宋体" w:cs="宋体"/>
          <w:color w:val="000000" w:themeColor="text1"/>
          <w:spacing w:val="-34"/>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项其财务能力以</w:t>
      </w:r>
      <w:r>
        <w:rPr>
          <w:rFonts w:hint="eastAsia" w:ascii="宋体" w:hAnsi="宋体" w:cs="宋体"/>
          <w:b/>
          <w:bCs/>
          <w:color w:val="000000" w:themeColor="text1"/>
          <w:spacing w:val="7"/>
          <w:szCs w:val="21"/>
          <w:highlight w:val="none"/>
          <w14:textFill>
            <w14:solidFill>
              <w14:schemeClr w14:val="tx1"/>
            </w14:solidFill>
          </w14:textFill>
        </w:rPr>
        <w:t>所有成员（含牵头人）合并加总</w:t>
      </w:r>
      <w:r>
        <w:rPr>
          <w:rFonts w:hint="eastAsia" w:ascii="宋体" w:hAnsi="宋体" w:cs="宋体"/>
          <w:color w:val="000000" w:themeColor="text1"/>
          <w:spacing w:val="7"/>
          <w:szCs w:val="21"/>
          <w:highlight w:val="none"/>
          <w14:textFill>
            <w14:solidFill>
              <w14:schemeClr w14:val="tx1"/>
            </w14:solidFill>
          </w14:textFill>
        </w:rPr>
        <w:t>计算为准。</w:t>
      </w:r>
    </w:p>
    <w:p w14:paraId="6E5C8157">
      <w:pPr>
        <w:spacing w:before="65" w:line="360" w:lineRule="auto"/>
        <w:ind w:firstLine="224"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7"/>
          <w:szCs w:val="21"/>
          <w:highlight w:val="none"/>
          <w14:textFill>
            <w14:solidFill>
              <w14:schemeClr w14:val="tx1"/>
            </w14:solidFill>
          </w14:textFill>
        </w:rPr>
        <w:t>3、投标人应根据招标文件第二章“投标人须知</w:t>
      </w:r>
      <w:r>
        <w:rPr>
          <w:rFonts w:hint="eastAsia" w:ascii="宋体" w:hAnsi="宋体" w:cs="宋体"/>
          <w:color w:val="000000" w:themeColor="text1"/>
          <w:spacing w:val="-58"/>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”第</w:t>
      </w:r>
      <w:r>
        <w:rPr>
          <w:rFonts w:hint="eastAsia" w:ascii="宋体" w:hAnsi="宋体" w:cs="宋体"/>
          <w:color w:val="000000" w:themeColor="text1"/>
          <w:spacing w:val="-36"/>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3.5.2</w:t>
      </w:r>
      <w:r>
        <w:rPr>
          <w:rFonts w:hint="eastAsia" w:ascii="宋体" w:hAnsi="宋体" w:cs="宋体"/>
          <w:color w:val="000000" w:themeColor="text1"/>
          <w:spacing w:val="-34"/>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项的要求附相关证明材料。</w:t>
      </w:r>
    </w:p>
    <w:p w14:paraId="65A0C221">
      <w:pPr>
        <w:rPr>
          <w:rFonts w:hint="eastAsia" w:ascii="宋体" w:hAnsi="宋体"/>
          <w:color w:val="000000" w:themeColor="text1"/>
          <w:szCs w:val="21"/>
          <w:highlight w:val="none"/>
          <w14:textFill>
            <w14:solidFill>
              <w14:schemeClr w14:val="tx1"/>
            </w14:solidFill>
          </w14:textFill>
        </w:rPr>
      </w:pPr>
    </w:p>
    <w:p w14:paraId="6C4EDFC3">
      <w:pPr>
        <w:rPr>
          <w:rFonts w:hint="eastAsia" w:ascii="宋体" w:hAnsi="宋体"/>
          <w:color w:val="000000" w:themeColor="text1"/>
          <w:szCs w:val="21"/>
          <w:highlight w:val="none"/>
          <w14:textFill>
            <w14:solidFill>
              <w14:schemeClr w14:val="tx1"/>
            </w14:solidFill>
          </w14:textFill>
        </w:rPr>
      </w:pPr>
    </w:p>
    <w:p w14:paraId="5B1112F0">
      <w:pPr>
        <w:rPr>
          <w:rFonts w:hint="eastAsia" w:ascii="宋体" w:hAnsi="宋体"/>
          <w:color w:val="000000" w:themeColor="text1"/>
          <w:szCs w:val="21"/>
          <w:highlight w:val="none"/>
          <w14:textFill>
            <w14:solidFill>
              <w14:schemeClr w14:val="tx1"/>
            </w14:solidFill>
          </w14:textFill>
        </w:rPr>
      </w:pPr>
    </w:p>
    <w:p w14:paraId="792581C7">
      <w:pPr>
        <w:rPr>
          <w:rFonts w:hint="eastAsia" w:ascii="宋体" w:hAnsi="宋体"/>
          <w:color w:val="000000" w:themeColor="text1"/>
          <w:szCs w:val="21"/>
          <w:highlight w:val="none"/>
          <w14:textFill>
            <w14:solidFill>
              <w14:schemeClr w14:val="tx1"/>
            </w14:solidFill>
          </w14:textFill>
        </w:rPr>
      </w:pPr>
    </w:p>
    <w:p w14:paraId="197C7D9F">
      <w:pPr>
        <w:pStyle w:val="70"/>
        <w:rPr>
          <w:rFonts w:hint="eastAsia" w:ascii="宋体" w:hAnsi="宋体"/>
          <w:color w:val="000000" w:themeColor="text1"/>
          <w:szCs w:val="21"/>
          <w:highlight w:val="none"/>
          <w14:textFill>
            <w14:solidFill>
              <w14:schemeClr w14:val="tx1"/>
            </w14:solidFill>
          </w14:textFill>
        </w:rPr>
      </w:pPr>
    </w:p>
    <w:p w14:paraId="41347F77">
      <w:pPr>
        <w:rPr>
          <w:rFonts w:hint="eastAsia" w:ascii="宋体" w:hAnsi="宋体"/>
          <w:color w:val="000000" w:themeColor="text1"/>
          <w:szCs w:val="21"/>
          <w:highlight w:val="none"/>
          <w14:textFill>
            <w14:solidFill>
              <w14:schemeClr w14:val="tx1"/>
            </w14:solidFill>
          </w14:textFill>
        </w:rPr>
      </w:pPr>
    </w:p>
    <w:p w14:paraId="3184E3C7">
      <w:pPr>
        <w:pStyle w:val="70"/>
        <w:rPr>
          <w:rFonts w:hint="eastAsia" w:ascii="宋体" w:hAnsi="宋体"/>
          <w:color w:val="000000" w:themeColor="text1"/>
          <w:szCs w:val="21"/>
          <w:highlight w:val="none"/>
          <w14:textFill>
            <w14:solidFill>
              <w14:schemeClr w14:val="tx1"/>
            </w14:solidFill>
          </w14:textFill>
        </w:rPr>
      </w:pPr>
    </w:p>
    <w:p w14:paraId="5A212BC7">
      <w:pPr>
        <w:rPr>
          <w:rFonts w:hint="eastAsia" w:ascii="宋体" w:hAnsi="宋体"/>
          <w:color w:val="000000" w:themeColor="text1"/>
          <w:szCs w:val="21"/>
          <w:highlight w:val="none"/>
          <w14:textFill>
            <w14:solidFill>
              <w14:schemeClr w14:val="tx1"/>
            </w14:solidFill>
          </w14:textFill>
        </w:rPr>
      </w:pPr>
    </w:p>
    <w:p w14:paraId="495E061F">
      <w:pPr>
        <w:rPr>
          <w:rFonts w:hint="eastAsia" w:ascii="宋体" w:hAnsi="宋体"/>
          <w:color w:val="000000" w:themeColor="text1"/>
          <w:szCs w:val="21"/>
          <w:highlight w:val="none"/>
          <w14:textFill>
            <w14:solidFill>
              <w14:schemeClr w14:val="tx1"/>
            </w14:solidFill>
          </w14:textFill>
        </w:rPr>
      </w:pPr>
    </w:p>
    <w:p w14:paraId="37D2E616">
      <w:pPr>
        <w:rPr>
          <w:rFonts w:hint="eastAsia" w:ascii="宋体" w:hAnsi="宋体"/>
          <w:color w:val="000000" w:themeColor="text1"/>
          <w:szCs w:val="21"/>
          <w:highlight w:val="none"/>
          <w14:textFill>
            <w14:solidFill>
              <w14:schemeClr w14:val="tx1"/>
            </w14:solidFill>
          </w14:textFill>
        </w:rPr>
      </w:pPr>
    </w:p>
    <w:p w14:paraId="1CF4836E">
      <w:pPr>
        <w:rPr>
          <w:rFonts w:hint="eastAsia" w:ascii="宋体" w:hAnsi="宋体"/>
          <w:color w:val="000000" w:themeColor="text1"/>
          <w:szCs w:val="21"/>
          <w:highlight w:val="none"/>
          <w14:textFill>
            <w14:solidFill>
              <w14:schemeClr w14:val="tx1"/>
            </w14:solidFill>
          </w14:textFill>
        </w:rPr>
      </w:pPr>
    </w:p>
    <w:p w14:paraId="68EF469E">
      <w:pPr>
        <w:rPr>
          <w:rFonts w:hint="eastAsia" w:ascii="宋体" w:hAnsi="宋体"/>
          <w:color w:val="000000" w:themeColor="text1"/>
          <w:szCs w:val="21"/>
          <w:highlight w:val="none"/>
          <w14:textFill>
            <w14:solidFill>
              <w14:schemeClr w14:val="tx1"/>
            </w14:solidFill>
          </w14:textFill>
        </w:rPr>
      </w:pPr>
    </w:p>
    <w:p w14:paraId="56BA0B59">
      <w:pPr>
        <w:rPr>
          <w:rFonts w:hint="eastAsia" w:ascii="宋体" w:hAnsi="宋体"/>
          <w:color w:val="000000" w:themeColor="text1"/>
          <w:szCs w:val="21"/>
          <w:highlight w:val="none"/>
          <w14:textFill>
            <w14:solidFill>
              <w14:schemeClr w14:val="tx1"/>
            </w14:solidFill>
          </w14:textFill>
        </w:rPr>
      </w:pPr>
    </w:p>
    <w:p w14:paraId="3522A9A1">
      <w:pPr>
        <w:rPr>
          <w:color w:val="000000" w:themeColor="text1"/>
          <w:highlight w:val="none"/>
          <w14:textFill>
            <w14:solidFill>
              <w14:schemeClr w14:val="tx1"/>
            </w14:solidFill>
          </w14:textFill>
        </w:rPr>
      </w:pPr>
    </w:p>
    <w:p w14:paraId="135ADB39">
      <w:pPr>
        <w:rPr>
          <w:rFonts w:hint="eastAsia" w:ascii="宋体" w:hAnsi="宋体"/>
          <w:color w:val="000000" w:themeColor="text1"/>
          <w:szCs w:val="21"/>
          <w:highlight w:val="none"/>
          <w14:textFill>
            <w14:solidFill>
              <w14:schemeClr w14:val="tx1"/>
            </w14:solidFill>
          </w14:textFill>
        </w:rPr>
      </w:pPr>
    </w:p>
    <w:p w14:paraId="5AFB909F">
      <w:pPr>
        <w:pStyle w:val="70"/>
        <w:rPr>
          <w:color w:val="000000" w:themeColor="text1"/>
          <w:highlight w:val="none"/>
          <w14:textFill>
            <w14:solidFill>
              <w14:schemeClr w14:val="tx1"/>
            </w14:solidFill>
          </w14:textFill>
        </w:rPr>
      </w:pPr>
    </w:p>
    <w:p w14:paraId="0748E44C">
      <w:pPr>
        <w:pStyle w:val="6"/>
        <w:spacing w:before="168" w:after="120"/>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16" w:name="_Toc32520"/>
      <w:r>
        <w:rPr>
          <w:rFonts w:hint="eastAsia"/>
          <w:color w:val="000000" w:themeColor="text1"/>
          <w:sz w:val="28"/>
          <w:szCs w:val="36"/>
          <w:highlight w:val="none"/>
          <w14:textFill>
            <w14:solidFill>
              <w14:schemeClr w14:val="tx1"/>
            </w14:solidFill>
          </w14:textFill>
        </w:rPr>
        <w:t>附录3   资格审查条件（业绩最低要求）</w:t>
      </w:r>
      <w:bookmarkEnd w:id="16"/>
    </w:p>
    <w:p w14:paraId="7BD1AD81">
      <w:pPr>
        <w:pStyle w:val="70"/>
        <w:rPr>
          <w:color w:val="000000" w:themeColor="text1"/>
          <w:highlight w:val="none"/>
          <w14:textFill>
            <w14:solidFill>
              <w14:schemeClr w14:val="tx1"/>
            </w14:solidFill>
          </w14:textFill>
        </w:rPr>
      </w:pPr>
    </w:p>
    <w:p w14:paraId="3FA2F871">
      <w:pPr>
        <w:rPr>
          <w:color w:val="000000" w:themeColor="text1"/>
          <w:highlight w:val="none"/>
          <w14:textFill>
            <w14:solidFill>
              <w14:schemeClr w14:val="tx1"/>
            </w14:solidFill>
          </w14:textFill>
        </w:rPr>
      </w:pPr>
    </w:p>
    <w:tbl>
      <w:tblPr>
        <w:tblStyle w:val="45"/>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89"/>
      </w:tblGrid>
      <w:tr w14:paraId="6234E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9" w:hRule="atLeast"/>
        </w:trPr>
        <w:tc>
          <w:tcPr>
            <w:tcW w:w="5000" w:type="pct"/>
            <w:vAlign w:val="center"/>
          </w:tcPr>
          <w:p w14:paraId="5BFE6373">
            <w:pPr>
              <w:pStyle w:val="3"/>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业 绩 要 求</w:t>
            </w:r>
          </w:p>
        </w:tc>
      </w:tr>
      <w:tr w14:paraId="2AF8E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9854" w:type="dxa"/>
            <w:vAlign w:val="center"/>
          </w:tcPr>
          <w:p w14:paraId="6539800C">
            <w:pPr>
              <w:pStyle w:val="3"/>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近五年内，成功完成过：</w:t>
            </w:r>
          </w:p>
          <w:p w14:paraId="42817293">
            <w:pPr>
              <w:pStyle w:val="3"/>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类似工程</w:t>
            </w:r>
            <w:r>
              <w:rPr>
                <w:rFonts w:hint="eastAsia" w:ascii="宋体" w:hAnsi="宋体" w:eastAsia="宋体" w:cs="宋体"/>
                <w:color w:val="000000" w:themeColor="text1"/>
                <w:sz w:val="24"/>
                <w:highlight w:val="none"/>
                <w:u w:val="single"/>
                <w14:textFill>
                  <w14:solidFill>
                    <w14:schemeClr w14:val="tx1"/>
                  </w14:solidFill>
                </w14:textFill>
              </w:rPr>
              <w:t>水泥混凝土（或沥青混凝土）</w:t>
            </w:r>
            <w:r>
              <w:rPr>
                <w:rStyle w:val="79"/>
                <w:rFonts w:hint="eastAsia" w:ascii="宋体" w:hAnsi="宋体" w:eastAsia="宋体" w:cs="宋体"/>
                <w:color w:val="000000" w:themeColor="text1"/>
                <w:sz w:val="24"/>
                <w:highlight w:val="none"/>
                <w14:textFill>
                  <w14:solidFill>
                    <w14:schemeClr w14:val="tx1"/>
                  </w14:solidFill>
                </w14:textFill>
              </w:rPr>
              <w:t>路面工程</w:t>
            </w:r>
            <w:r>
              <w:rPr>
                <w:rFonts w:hint="eastAsia" w:ascii="宋体" w:hAnsi="宋体" w:eastAsia="宋体" w:cs="宋体"/>
                <w:color w:val="000000" w:themeColor="text1"/>
                <w:sz w:val="24"/>
                <w:highlight w:val="none"/>
                <w14:textFill>
                  <w14:solidFill>
                    <w14:schemeClr w14:val="tx1"/>
                  </w14:solidFill>
                </w14:textFill>
              </w:rPr>
              <w:t>至少</w:t>
            </w:r>
            <w:r>
              <w:rPr>
                <w:rFonts w:hint="eastAsia" w:ascii="宋体" w:hAnsi="宋体" w:eastAsia="宋体" w:cs="宋体"/>
                <w:color w:val="000000" w:themeColor="text1"/>
                <w:sz w:val="24"/>
                <w:highlight w:val="none"/>
                <w:u w:val="single"/>
                <w14:textFill>
                  <w14:solidFill>
                    <w14:schemeClr w14:val="tx1"/>
                  </w14:solidFill>
                </w14:textFill>
              </w:rPr>
              <w:t>1个</w:t>
            </w:r>
            <w:r>
              <w:rPr>
                <w:rFonts w:hint="eastAsia" w:ascii="宋体" w:hAnsi="宋体" w:eastAsia="宋体" w:cs="宋体"/>
                <w:color w:val="000000" w:themeColor="text1"/>
                <w:sz w:val="24"/>
                <w:highlight w:val="none"/>
                <w14:textFill>
                  <w14:solidFill>
                    <w14:schemeClr w14:val="tx1"/>
                  </w14:solidFill>
                </w14:textFill>
              </w:rPr>
              <w:t>标段（其中有1个标段里程不少于</w:t>
            </w:r>
            <w:r>
              <w:rPr>
                <w:rFonts w:hint="eastAsia" w:ascii="宋体" w:hAnsi="宋体" w:cs="宋体"/>
                <w:color w:val="000000" w:themeColor="text1"/>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km），且累计里程不少于</w:t>
            </w:r>
            <w:r>
              <w:rPr>
                <w:rFonts w:hint="eastAsia" w:ascii="宋体" w:hAnsi="宋体" w:cs="宋体"/>
                <w:color w:val="000000" w:themeColor="text1"/>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km。</w:t>
            </w:r>
          </w:p>
        </w:tc>
      </w:tr>
    </w:tbl>
    <w:p w14:paraId="35DF2A23">
      <w:pPr>
        <w:spacing w:before="51" w:line="360" w:lineRule="auto"/>
        <w:ind w:left="11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487A75F7">
      <w:pPr>
        <w:spacing w:before="60" w:line="360" w:lineRule="auto"/>
        <w:ind w:left="13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1、本附录所要求的业绩仅限中华人民共和国境内业绩。</w:t>
      </w:r>
    </w:p>
    <w:p w14:paraId="0A3824C9">
      <w:pPr>
        <w:spacing w:before="65" w:line="360" w:lineRule="auto"/>
        <w:ind w:left="12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2、同一工程项目同时满足</w:t>
      </w:r>
      <w:r>
        <w:rPr>
          <w:rFonts w:hint="eastAsia" w:ascii="宋体" w:hAnsi="宋体" w:cs="宋体"/>
          <w:color w:val="000000" w:themeColor="text1"/>
          <w:spacing w:val="-34"/>
          <w:szCs w:val="21"/>
          <w:highlight w:val="none"/>
          <w14:textFill>
            <w14:solidFill>
              <w14:schemeClr w14:val="tx1"/>
            </w14:solidFill>
          </w14:textFill>
        </w:rPr>
        <w:t xml:space="preserve"> </w:t>
      </w:r>
      <w:r>
        <w:rPr>
          <w:rFonts w:hint="eastAsia" w:ascii="宋体" w:hAnsi="宋体" w:cs="宋体"/>
          <w:color w:val="000000" w:themeColor="text1"/>
          <w:spacing w:val="8"/>
          <w:szCs w:val="21"/>
          <w:highlight w:val="none"/>
          <w14:textFill>
            <w14:solidFill>
              <w14:schemeClr w14:val="tx1"/>
            </w14:solidFill>
          </w14:textFill>
        </w:rPr>
        <w:t>2</w:t>
      </w:r>
      <w:r>
        <w:rPr>
          <w:rFonts w:hint="eastAsia" w:ascii="宋体" w:hAnsi="宋体" w:cs="宋体"/>
          <w:color w:val="000000" w:themeColor="text1"/>
          <w:spacing w:val="-35"/>
          <w:szCs w:val="21"/>
          <w:highlight w:val="none"/>
          <w14:textFill>
            <w14:solidFill>
              <w14:schemeClr w14:val="tx1"/>
            </w14:solidFill>
          </w14:textFill>
        </w:rPr>
        <w:t xml:space="preserve"> </w:t>
      </w:r>
      <w:r>
        <w:rPr>
          <w:rFonts w:hint="eastAsia" w:ascii="宋体" w:hAnsi="宋体" w:cs="宋体"/>
          <w:color w:val="000000" w:themeColor="text1"/>
          <w:spacing w:val="8"/>
          <w:szCs w:val="21"/>
          <w:highlight w:val="none"/>
          <w14:textFill>
            <w14:solidFill>
              <w14:schemeClr w14:val="tx1"/>
            </w14:solidFill>
          </w14:textFill>
        </w:rPr>
        <w:t>项或多项业绩要求条件的，可分别计。</w:t>
      </w:r>
    </w:p>
    <w:p w14:paraId="2CD91A39">
      <w:pPr>
        <w:spacing w:before="65" w:line="360" w:lineRule="auto"/>
        <w:ind w:left="124"/>
        <w:rPr>
          <w:rFonts w:hint="eastAsia" w:ascii="宋体" w:hAnsi="宋体" w:cs="宋体"/>
          <w:color w:val="000000" w:themeColor="text1"/>
          <w:spacing w:val="9"/>
          <w:szCs w:val="21"/>
          <w:highlight w:val="none"/>
          <w14:textFill>
            <w14:solidFill>
              <w14:schemeClr w14:val="tx1"/>
            </w14:solidFill>
          </w14:textFill>
        </w:rPr>
      </w:pPr>
      <w:r>
        <w:rPr>
          <w:rFonts w:hint="eastAsia" w:ascii="宋体" w:hAnsi="宋体" w:cs="宋体"/>
          <w:color w:val="000000" w:themeColor="text1"/>
          <w:spacing w:val="10"/>
          <w:szCs w:val="21"/>
          <w:highlight w:val="none"/>
          <w14:textFill>
            <w14:solidFill>
              <w14:schemeClr w14:val="tx1"/>
            </w14:solidFill>
          </w14:textFill>
        </w:rPr>
        <w:t>3、本表要求业绩指由投标人承接并完成的业绩,投标人上级单位（如总公司、集团公司等）的业绩</w:t>
      </w:r>
      <w:bookmarkStart w:id="17" w:name="bookmark127"/>
      <w:bookmarkEnd w:id="17"/>
      <w:bookmarkStart w:id="18" w:name="bookmark128"/>
      <w:bookmarkEnd w:id="18"/>
      <w:r>
        <w:rPr>
          <w:rFonts w:hint="eastAsia" w:ascii="宋体" w:hAnsi="宋体" w:cs="宋体"/>
          <w:color w:val="000000" w:themeColor="text1"/>
          <w:spacing w:val="9"/>
          <w:szCs w:val="21"/>
          <w:highlight w:val="none"/>
          <w14:textFill>
            <w14:solidFill>
              <w14:schemeClr w14:val="tx1"/>
            </w14:solidFill>
          </w14:textFill>
        </w:rPr>
        <w:t>和投标人具备独立法人资格的下属机构的业绩均不予认定。</w:t>
      </w:r>
    </w:p>
    <w:p w14:paraId="211D069F">
      <w:pPr>
        <w:spacing w:before="65" w:line="360" w:lineRule="auto"/>
        <w:ind w:left="1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9"/>
          <w:szCs w:val="21"/>
          <w:highlight w:val="none"/>
          <w14:textFill>
            <w14:solidFill>
              <w14:schemeClr w14:val="tx1"/>
            </w14:solidFill>
          </w14:textFill>
        </w:rPr>
        <w:t>4、若为联合体投标，投标人业绩的资格审查条件和加分条件（如有）的认定原则如下：</w:t>
      </w:r>
      <w:r>
        <w:rPr>
          <w:rFonts w:hint="eastAsia" w:ascii="宋体" w:hAnsi="宋体" w:cs="宋体"/>
          <w:b/>
          <w:bCs/>
          <w:color w:val="000000" w:themeColor="text1"/>
          <w:szCs w:val="21"/>
          <w:highlight w:val="none"/>
          <w:u w:val="single"/>
          <w14:textFill>
            <w14:solidFill>
              <w14:schemeClr w14:val="tx1"/>
            </w14:solidFill>
          </w14:textFill>
        </w:rPr>
        <w:t>联合体成员任意一方出具的完成业绩满足业绩最低要求即视为投标人业绩满足资格审查条件和加分条件（如有）</w:t>
      </w:r>
      <w:r>
        <w:rPr>
          <w:rFonts w:hint="eastAsia" w:ascii="宋体" w:hAnsi="宋体" w:cs="宋体"/>
          <w:color w:val="000000" w:themeColor="text1"/>
          <w:szCs w:val="21"/>
          <w:highlight w:val="none"/>
          <w14:textFill>
            <w14:solidFill>
              <w14:schemeClr w14:val="tx1"/>
            </w14:solidFill>
          </w14:textFill>
        </w:rPr>
        <w:t>。</w:t>
      </w:r>
    </w:p>
    <w:p w14:paraId="6D56C80C">
      <w:pPr>
        <w:spacing w:before="65" w:line="360" w:lineRule="auto"/>
        <w:ind w:left="124"/>
        <w:rPr>
          <w:rFonts w:hint="eastAsia" w:ascii="宋体" w:hAnsi="宋体" w:cs="宋体"/>
          <w:color w:val="000000" w:themeColor="text1"/>
          <w:spacing w:val="9"/>
          <w:szCs w:val="21"/>
          <w:highlight w:val="none"/>
          <w14:textFill>
            <w14:solidFill>
              <w14:schemeClr w14:val="tx1"/>
            </w14:solidFill>
          </w14:textFill>
        </w:rPr>
      </w:pPr>
      <w:r>
        <w:rPr>
          <w:rFonts w:hint="eastAsia" w:ascii="宋体" w:hAnsi="宋体" w:cs="宋体"/>
          <w:color w:val="000000" w:themeColor="text1"/>
          <w:spacing w:val="7"/>
          <w:szCs w:val="21"/>
          <w:highlight w:val="none"/>
          <w14:textFill>
            <w14:solidFill>
              <w14:schemeClr w14:val="tx1"/>
            </w14:solidFill>
          </w14:textFill>
        </w:rPr>
        <w:t>5、若投标人提供的业绩证明为联合体业绩，则按投标人须知</w:t>
      </w:r>
      <w:r>
        <w:rPr>
          <w:rFonts w:hint="eastAsia" w:ascii="宋体" w:hAnsi="宋体" w:cs="宋体"/>
          <w:color w:val="000000" w:themeColor="text1"/>
          <w:spacing w:val="-29"/>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3.5.3</w:t>
      </w:r>
      <w:r>
        <w:rPr>
          <w:rFonts w:hint="eastAsia" w:ascii="宋体" w:hAnsi="宋体" w:cs="宋体"/>
          <w:color w:val="000000" w:themeColor="text1"/>
          <w:spacing w:val="-37"/>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项要求的证明材料体现其完成的</w:t>
      </w:r>
      <w:r>
        <w:rPr>
          <w:rFonts w:hint="eastAsia" w:ascii="宋体" w:hAnsi="宋体" w:cs="宋体"/>
          <w:color w:val="000000" w:themeColor="text1"/>
          <w:spacing w:val="10"/>
          <w:szCs w:val="21"/>
          <w:highlight w:val="none"/>
          <w14:textFill>
            <w14:solidFill>
              <w14:schemeClr w14:val="tx1"/>
            </w14:solidFill>
          </w14:textFill>
        </w:rPr>
        <w:t>相关专项工程的工程量认定，无法界定其完</w:t>
      </w:r>
      <w:r>
        <w:rPr>
          <w:rFonts w:hint="eastAsia" w:ascii="宋体" w:hAnsi="宋体" w:cs="宋体"/>
          <w:color w:val="000000" w:themeColor="text1"/>
          <w:spacing w:val="9"/>
          <w:szCs w:val="21"/>
          <w:highlight w:val="none"/>
          <w14:textFill>
            <w14:solidFill>
              <w14:schemeClr w14:val="tx1"/>
            </w14:solidFill>
          </w14:textFill>
        </w:rPr>
        <w:t>成的相关专项工程的工程量，此业绩不予认定。</w:t>
      </w:r>
    </w:p>
    <w:p w14:paraId="6736D406">
      <w:pPr>
        <w:spacing w:before="65" w:line="360" w:lineRule="auto"/>
        <w:ind w:left="124"/>
        <w:rPr>
          <w:rFonts w:hint="eastAsia" w:ascii="宋体" w:hAnsi="宋体" w:cs="宋体"/>
          <w:color w:val="000000" w:themeColor="text1"/>
          <w:spacing w:val="7"/>
          <w:szCs w:val="21"/>
          <w:highlight w:val="none"/>
          <w14:textFill>
            <w14:solidFill>
              <w14:schemeClr w14:val="tx1"/>
            </w14:solidFill>
          </w14:textFill>
        </w:rPr>
      </w:pPr>
      <w:r>
        <w:rPr>
          <w:rFonts w:hint="eastAsia" w:ascii="宋体" w:hAnsi="宋体" w:cs="宋体"/>
          <w:color w:val="000000" w:themeColor="text1"/>
          <w:spacing w:val="7"/>
          <w:szCs w:val="21"/>
          <w:highlight w:val="none"/>
          <w14:textFill>
            <w14:solidFill>
              <w14:schemeClr w14:val="tx1"/>
            </w14:solidFill>
          </w14:textFill>
        </w:rPr>
        <w:t>6、投标人应根据招标文件第二章“投标人须知</w:t>
      </w:r>
      <w:r>
        <w:rPr>
          <w:rFonts w:hint="eastAsia" w:ascii="宋体" w:hAnsi="宋体" w:cs="宋体"/>
          <w:color w:val="000000" w:themeColor="text1"/>
          <w:spacing w:val="-56"/>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”第</w:t>
      </w:r>
      <w:r>
        <w:rPr>
          <w:rFonts w:hint="eastAsia" w:ascii="宋体" w:hAnsi="宋体" w:cs="宋体"/>
          <w:color w:val="000000" w:themeColor="text1"/>
          <w:spacing w:val="-35"/>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3.5.3</w:t>
      </w:r>
      <w:r>
        <w:rPr>
          <w:rFonts w:hint="eastAsia" w:ascii="宋体" w:hAnsi="宋体" w:cs="宋体"/>
          <w:color w:val="000000" w:themeColor="text1"/>
          <w:spacing w:val="-35"/>
          <w:szCs w:val="21"/>
          <w:highlight w:val="none"/>
          <w14:textFill>
            <w14:solidFill>
              <w14:schemeClr w14:val="tx1"/>
            </w14:solidFill>
          </w14:textFill>
        </w:rPr>
        <w:t xml:space="preserve"> </w:t>
      </w:r>
      <w:r>
        <w:rPr>
          <w:rFonts w:hint="eastAsia" w:ascii="宋体" w:hAnsi="宋体" w:cs="宋体"/>
          <w:color w:val="000000" w:themeColor="text1"/>
          <w:spacing w:val="7"/>
          <w:szCs w:val="21"/>
          <w:highlight w:val="none"/>
          <w14:textFill>
            <w14:solidFill>
              <w14:schemeClr w14:val="tx1"/>
            </w14:solidFill>
          </w14:textFill>
        </w:rPr>
        <w:t>项的要求附相关证明材料。</w:t>
      </w:r>
    </w:p>
    <w:p w14:paraId="7D7094CD">
      <w:pPr>
        <w:spacing w:before="65" w:line="360" w:lineRule="auto"/>
        <w:ind w:left="1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7、近五年是指：</w:t>
      </w:r>
      <w:r>
        <w:rPr>
          <w:rFonts w:hint="eastAsia" w:ascii="宋体" w:hAnsi="宋体" w:cs="宋体"/>
          <w:color w:val="000000" w:themeColor="text1"/>
          <w:szCs w:val="21"/>
          <w:highlight w:val="none"/>
          <w:u w:val="single"/>
          <w14:textFill>
            <w14:solidFill>
              <w14:schemeClr w14:val="tx1"/>
            </w14:solidFill>
          </w14:textFill>
        </w:rPr>
        <w:t>2021年0</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u w:val="single"/>
          <w14:textFill>
            <w14:solidFill>
              <w14:schemeClr w14:val="tx1"/>
            </w14:solidFill>
          </w14:textFill>
        </w:rPr>
        <w:t>月01日至投标文件递交截止之日止</w:t>
      </w:r>
      <w:r>
        <w:rPr>
          <w:rFonts w:hint="eastAsia" w:ascii="宋体" w:hAnsi="宋体" w:cs="宋体"/>
          <w:color w:val="000000" w:themeColor="text1"/>
          <w:szCs w:val="21"/>
          <w:highlight w:val="none"/>
          <w14:textFill>
            <w14:solidFill>
              <w14:schemeClr w14:val="tx1"/>
            </w14:solidFill>
          </w14:textFill>
        </w:rPr>
        <w:t>。</w:t>
      </w:r>
    </w:p>
    <w:p w14:paraId="5F1506BB">
      <w:pPr>
        <w:spacing w:before="65" w:line="360" w:lineRule="auto"/>
        <w:ind w:left="1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8、类似工程是指：</w:t>
      </w:r>
      <w:r>
        <w:rPr>
          <w:rFonts w:hint="eastAsia" w:ascii="宋体" w:hAnsi="宋体" w:cs="宋体"/>
          <w:b/>
          <w:bCs/>
          <w:color w:val="000000" w:themeColor="text1"/>
          <w:szCs w:val="21"/>
          <w:highlight w:val="none"/>
          <w:u w:val="single"/>
          <w14:textFill>
            <w14:solidFill>
              <w14:schemeClr w14:val="tx1"/>
            </w14:solidFill>
          </w14:textFill>
        </w:rPr>
        <w:t>新建、改建、扩建、改造</w:t>
      </w:r>
      <w:r>
        <w:rPr>
          <w:rFonts w:hint="eastAsia" w:ascii="宋体" w:hAnsi="宋体" w:cs="宋体"/>
          <w:b/>
          <w:bCs/>
          <w:color w:val="000000" w:themeColor="text1"/>
          <w:szCs w:val="21"/>
          <w:highlight w:val="none"/>
          <w:u w:val="single"/>
          <w:lang w:val="en-US" w:eastAsia="zh-CN"/>
          <w14:textFill>
            <w14:solidFill>
              <w14:schemeClr w14:val="tx1"/>
            </w14:solidFill>
          </w14:textFill>
        </w:rPr>
        <w:t>二</w:t>
      </w:r>
      <w:r>
        <w:rPr>
          <w:rFonts w:hint="eastAsia" w:ascii="宋体" w:hAnsi="宋体" w:cs="宋体"/>
          <w:b/>
          <w:bCs/>
          <w:color w:val="000000" w:themeColor="text1"/>
          <w:szCs w:val="21"/>
          <w:highlight w:val="none"/>
          <w:u w:val="single"/>
          <w14:textFill>
            <w14:solidFill>
              <w14:schemeClr w14:val="tx1"/>
            </w14:solidFill>
          </w14:textFill>
        </w:rPr>
        <w:t>级以上（含</w:t>
      </w:r>
      <w:r>
        <w:rPr>
          <w:rFonts w:hint="eastAsia" w:ascii="宋体" w:hAnsi="宋体" w:cs="宋体"/>
          <w:b/>
          <w:bCs/>
          <w:color w:val="000000" w:themeColor="text1"/>
          <w:szCs w:val="21"/>
          <w:highlight w:val="none"/>
          <w:u w:val="single"/>
          <w:lang w:val="en-US" w:eastAsia="zh-CN"/>
          <w14:textFill>
            <w14:solidFill>
              <w14:schemeClr w14:val="tx1"/>
            </w14:solidFill>
          </w14:textFill>
        </w:rPr>
        <w:t>二</w:t>
      </w:r>
      <w:r>
        <w:rPr>
          <w:rFonts w:hint="eastAsia" w:ascii="宋体" w:hAnsi="宋体" w:cs="宋体"/>
          <w:b/>
          <w:bCs/>
          <w:color w:val="000000" w:themeColor="text1"/>
          <w:szCs w:val="21"/>
          <w:highlight w:val="none"/>
          <w:u w:val="single"/>
          <w14:textFill>
            <w14:solidFill>
              <w14:schemeClr w14:val="tx1"/>
            </w14:solidFill>
          </w14:textFill>
        </w:rPr>
        <w:t>级）公路施工项目。在采用新建公路项目完工业绩时，对于同公路等级改、扩建中的新建桥梁或隧道工程业绩也应认可。</w:t>
      </w:r>
    </w:p>
    <w:p w14:paraId="45B54465">
      <w:pPr>
        <w:rPr>
          <w:rFonts w:hint="eastAsia" w:ascii="宋体" w:hAnsi="宋体"/>
          <w:color w:val="000000" w:themeColor="text1"/>
          <w:sz w:val="22"/>
          <w:szCs w:val="22"/>
          <w:highlight w:val="none"/>
          <w14:textFill>
            <w14:solidFill>
              <w14:schemeClr w14:val="tx1"/>
            </w14:solidFill>
          </w14:textFill>
        </w:rPr>
      </w:pPr>
    </w:p>
    <w:p w14:paraId="4048CE03">
      <w:pPr>
        <w:rPr>
          <w:color w:val="000000" w:themeColor="text1"/>
          <w:highlight w:val="none"/>
          <w14:textFill>
            <w14:solidFill>
              <w14:schemeClr w14:val="tx1"/>
            </w14:solidFill>
          </w14:textFill>
        </w:rPr>
      </w:pPr>
    </w:p>
    <w:p w14:paraId="4E9ADB14">
      <w:pPr>
        <w:pStyle w:val="6"/>
        <w:spacing w:before="168" w:after="120"/>
        <w:jc w:val="center"/>
        <w:rPr>
          <w:rFonts w:hint="eastAsia" w:ascii="宋体" w:hAnsi="宋体" w:cs="宋体"/>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19" w:name="_Toc10576"/>
      <w:r>
        <w:rPr>
          <w:rFonts w:hint="eastAsia"/>
          <w:color w:val="000000" w:themeColor="text1"/>
          <w:sz w:val="28"/>
          <w:szCs w:val="36"/>
          <w:highlight w:val="none"/>
          <w14:textFill>
            <w14:solidFill>
              <w14:schemeClr w14:val="tx1"/>
            </w14:solidFill>
          </w14:textFill>
        </w:rPr>
        <w:t xml:space="preserve">附录4   </w:t>
      </w:r>
      <w:r>
        <w:rPr>
          <w:rFonts w:hint="eastAsia" w:ascii="宋体" w:hAnsi="宋体" w:cs="宋体"/>
          <w:color w:val="000000" w:themeColor="text1"/>
          <w:sz w:val="28"/>
          <w:szCs w:val="36"/>
          <w:highlight w:val="none"/>
          <w14:textFill>
            <w14:solidFill>
              <w14:schemeClr w14:val="tx1"/>
            </w14:solidFill>
          </w14:textFill>
        </w:rPr>
        <w:t>资格审查条件(信誉最低要求)</w:t>
      </w:r>
      <w:bookmarkEnd w:id="19"/>
    </w:p>
    <w:p w14:paraId="3C0E8A9E">
      <w:pPr>
        <w:spacing w:line="160" w:lineRule="exact"/>
        <w:rPr>
          <w:color w:val="000000" w:themeColor="text1"/>
          <w:highlight w:val="none"/>
          <w14:textFill>
            <w14:solidFill>
              <w14:schemeClr w14:val="tx1"/>
            </w14:solidFill>
          </w14:textFill>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73"/>
      </w:tblGrid>
      <w:tr w14:paraId="7D8268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exact"/>
          <w:jc w:val="center"/>
        </w:trPr>
        <w:tc>
          <w:tcPr>
            <w:tcW w:w="9273" w:type="dxa"/>
            <w:vAlign w:val="center"/>
          </w:tcPr>
          <w:p w14:paraId="7E6CEDF9">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信 誉 要 求</w:t>
            </w:r>
          </w:p>
        </w:tc>
      </w:tr>
      <w:tr w14:paraId="6BAB93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94" w:hRule="exact"/>
          <w:jc w:val="center"/>
        </w:trPr>
        <w:tc>
          <w:tcPr>
            <w:tcW w:w="9273" w:type="dxa"/>
            <w:vAlign w:val="center"/>
          </w:tcPr>
          <w:p w14:paraId="66A490F7">
            <w:pPr>
              <w:topLinePunct/>
              <w:adjustRightInd w:val="0"/>
              <w:spacing w:line="48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在最新年度广东省公路工程从业单位（</w:t>
            </w:r>
            <w:r>
              <w:rPr>
                <w:rFonts w:hint="eastAsia" w:ascii="宋体" w:hAnsi="宋体" w:cs="宋体"/>
                <w:color w:val="000000" w:themeColor="text1"/>
                <w:sz w:val="24"/>
                <w:highlight w:val="none"/>
                <w:u w:val="single"/>
                <w14:textFill>
                  <w14:solidFill>
                    <w14:schemeClr w14:val="tx1"/>
                  </w14:solidFill>
                </w14:textFill>
              </w:rPr>
              <w:t>土建工程施工单位</w:t>
            </w:r>
            <w:r>
              <w:rPr>
                <w:rFonts w:hint="eastAsia" w:ascii="宋体" w:hAnsi="宋体" w:cs="宋体"/>
                <w:color w:val="000000" w:themeColor="text1"/>
                <w:sz w:val="24"/>
                <w:highlight w:val="none"/>
                <w14:textFill>
                  <w14:solidFill>
                    <w14:schemeClr w14:val="tx1"/>
                  </w14:solidFill>
                </w14:textFill>
              </w:rPr>
              <w:t>）信用评价（含无最新年度而上一年度有信用评价）中，信用等级未被评为 D 级；</w:t>
            </w:r>
          </w:p>
          <w:p w14:paraId="2557CC68">
            <w:pPr>
              <w:topLinePunct/>
              <w:adjustRightInd w:val="0"/>
              <w:spacing w:line="48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初次进入广东省的投标人，在最新年度的全国公路从业单位（施工单位）信用评价结果中未被评为 D 级。</w:t>
            </w:r>
          </w:p>
        </w:tc>
      </w:tr>
    </w:tbl>
    <w:p w14:paraId="7953C1D1">
      <w:pPr>
        <w:spacing w:before="70" w:line="360" w:lineRule="auto"/>
        <w:ind w:left="415"/>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w:t>
      </w:r>
    </w:p>
    <w:p w14:paraId="22287065">
      <w:pPr>
        <w:spacing w:before="70"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1、信用等级的确定原则遵遁投标人须知前附表 10.2 款的规定。</w:t>
      </w:r>
    </w:p>
    <w:p w14:paraId="475CE1DE">
      <w:pPr>
        <w:spacing w:before="70"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2、投标人应根据第九章“投标文件格式”中“七、资格审查资料 （五）投标人的信誉情况表”填写情况说明。</w:t>
      </w:r>
    </w:p>
    <w:p w14:paraId="27356E76">
      <w:pPr>
        <w:pStyle w:val="70"/>
        <w:rPr>
          <w:color w:val="000000" w:themeColor="text1"/>
          <w:highlight w:val="none"/>
          <w14:textFill>
            <w14:solidFill>
              <w14:schemeClr w14:val="tx1"/>
            </w14:solidFill>
          </w14:textFill>
        </w:rPr>
      </w:pPr>
    </w:p>
    <w:p w14:paraId="48FA1232">
      <w:pPr>
        <w:rPr>
          <w:color w:val="000000" w:themeColor="text1"/>
          <w:highlight w:val="none"/>
          <w14:textFill>
            <w14:solidFill>
              <w14:schemeClr w14:val="tx1"/>
            </w14:solidFill>
          </w14:textFill>
        </w:rPr>
      </w:pPr>
    </w:p>
    <w:p w14:paraId="5EC0CEF8">
      <w:pPr>
        <w:pStyle w:val="70"/>
        <w:rPr>
          <w:color w:val="000000" w:themeColor="text1"/>
          <w:highlight w:val="none"/>
          <w14:textFill>
            <w14:solidFill>
              <w14:schemeClr w14:val="tx1"/>
            </w14:solidFill>
          </w14:textFill>
        </w:rPr>
      </w:pPr>
    </w:p>
    <w:p w14:paraId="47E7FAD1">
      <w:pPr>
        <w:rPr>
          <w:color w:val="000000" w:themeColor="text1"/>
          <w:highlight w:val="none"/>
          <w14:textFill>
            <w14:solidFill>
              <w14:schemeClr w14:val="tx1"/>
            </w14:solidFill>
          </w14:textFill>
        </w:rPr>
      </w:pPr>
    </w:p>
    <w:p w14:paraId="75F4AA53">
      <w:pPr>
        <w:pStyle w:val="70"/>
        <w:rPr>
          <w:color w:val="000000" w:themeColor="text1"/>
          <w:highlight w:val="none"/>
          <w14:textFill>
            <w14:solidFill>
              <w14:schemeClr w14:val="tx1"/>
            </w14:solidFill>
          </w14:textFill>
        </w:rPr>
      </w:pPr>
    </w:p>
    <w:p w14:paraId="23F5C0AC">
      <w:pPr>
        <w:pStyle w:val="70"/>
        <w:rPr>
          <w:color w:val="000000" w:themeColor="text1"/>
          <w:highlight w:val="none"/>
          <w14:textFill>
            <w14:solidFill>
              <w14:schemeClr w14:val="tx1"/>
            </w14:solidFill>
          </w14:textFill>
        </w:rPr>
      </w:pPr>
    </w:p>
    <w:p w14:paraId="5E8573EB">
      <w:pPr>
        <w:rPr>
          <w:color w:val="000000" w:themeColor="text1"/>
          <w:highlight w:val="none"/>
          <w14:textFill>
            <w14:solidFill>
              <w14:schemeClr w14:val="tx1"/>
            </w14:solidFill>
          </w14:textFill>
        </w:rPr>
      </w:pPr>
    </w:p>
    <w:p w14:paraId="58807E36">
      <w:pPr>
        <w:rPr>
          <w:color w:val="000000" w:themeColor="text1"/>
          <w:highlight w:val="none"/>
          <w14:textFill>
            <w14:solidFill>
              <w14:schemeClr w14:val="tx1"/>
            </w14:solidFill>
          </w14:textFill>
        </w:rPr>
      </w:pPr>
    </w:p>
    <w:p w14:paraId="2EA311AA">
      <w:pPr>
        <w:pStyle w:val="6"/>
        <w:spacing w:before="168" w:after="120"/>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br w:type="page"/>
      </w:r>
      <w:bookmarkStart w:id="20" w:name="_Toc8990"/>
      <w:r>
        <w:rPr>
          <w:rFonts w:hint="eastAsia"/>
          <w:color w:val="000000" w:themeColor="text1"/>
          <w:sz w:val="28"/>
          <w:szCs w:val="36"/>
          <w:highlight w:val="none"/>
          <w14:textFill>
            <w14:solidFill>
              <w14:schemeClr w14:val="tx1"/>
            </w14:solidFill>
          </w14:textFill>
        </w:rPr>
        <w:t xml:space="preserve">附录5   </w:t>
      </w:r>
      <w:r>
        <w:rPr>
          <w:rFonts w:hint="eastAsia" w:ascii="宋体" w:hAnsi="宋体" w:cs="宋体"/>
          <w:color w:val="000000" w:themeColor="text1"/>
          <w:sz w:val="28"/>
          <w:szCs w:val="36"/>
          <w:highlight w:val="none"/>
          <w14:textFill>
            <w14:solidFill>
              <w14:schemeClr w14:val="tx1"/>
            </w14:solidFill>
          </w14:textFill>
        </w:rPr>
        <w:t>资格审查条件(项目经理和项目总工等主要管理人员最低要求)</w:t>
      </w:r>
      <w:bookmarkEnd w:id="20"/>
    </w:p>
    <w:p w14:paraId="46BCC3FC">
      <w:pPr>
        <w:spacing w:line="160" w:lineRule="exact"/>
        <w:rPr>
          <w:color w:val="000000" w:themeColor="text1"/>
          <w:highlight w:val="none"/>
          <w14:textFill>
            <w14:solidFill>
              <w14:schemeClr w14:val="tx1"/>
            </w14:solidFill>
          </w14:textFill>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720"/>
        <w:gridCol w:w="5760"/>
        <w:gridCol w:w="1980"/>
      </w:tblGrid>
      <w:tr w14:paraId="275A4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4" w:type="dxa"/>
            <w:tcBorders>
              <w:tl2br w:val="nil"/>
              <w:tr2bl w:val="nil"/>
            </w:tcBorders>
            <w:vAlign w:val="center"/>
          </w:tcPr>
          <w:p w14:paraId="4A46DB3A">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人  员</w:t>
            </w:r>
          </w:p>
        </w:tc>
        <w:tc>
          <w:tcPr>
            <w:tcW w:w="720" w:type="dxa"/>
            <w:tcBorders>
              <w:tl2br w:val="nil"/>
              <w:tr2bl w:val="nil"/>
            </w:tcBorders>
            <w:vAlign w:val="center"/>
          </w:tcPr>
          <w:p w14:paraId="2EF53847">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5760" w:type="dxa"/>
            <w:tcBorders>
              <w:tl2br w:val="nil"/>
              <w:tr2bl w:val="nil"/>
            </w:tcBorders>
            <w:vAlign w:val="center"/>
          </w:tcPr>
          <w:p w14:paraId="312CAA01">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资 格 要 求</w:t>
            </w:r>
          </w:p>
        </w:tc>
        <w:tc>
          <w:tcPr>
            <w:tcW w:w="1980" w:type="dxa"/>
            <w:tcBorders>
              <w:tl2br w:val="nil"/>
              <w:tr2bl w:val="nil"/>
            </w:tcBorders>
            <w:vAlign w:val="center"/>
          </w:tcPr>
          <w:p w14:paraId="15797ED6">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 岗 要 求</w:t>
            </w:r>
          </w:p>
        </w:tc>
      </w:tr>
      <w:tr w14:paraId="765F56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184" w:type="dxa"/>
            <w:tcBorders>
              <w:tl2br w:val="nil"/>
              <w:tr2bl w:val="nil"/>
            </w:tcBorders>
            <w:vAlign w:val="center"/>
          </w:tcPr>
          <w:p w14:paraId="7051D326">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项目经理</w:t>
            </w:r>
          </w:p>
        </w:tc>
        <w:tc>
          <w:tcPr>
            <w:tcW w:w="720" w:type="dxa"/>
            <w:tcBorders>
              <w:tl2br w:val="nil"/>
              <w:tr2bl w:val="nil"/>
            </w:tcBorders>
            <w:vAlign w:val="center"/>
          </w:tcPr>
          <w:p w14:paraId="3189FCE4">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5760" w:type="dxa"/>
            <w:tcBorders>
              <w:tl2br w:val="nil"/>
              <w:tr2bl w:val="nil"/>
            </w:tcBorders>
            <w:vAlign w:val="center"/>
          </w:tcPr>
          <w:p w14:paraId="545196EF">
            <w:pPr>
              <w:spacing w:line="360" w:lineRule="auto"/>
              <w:ind w:right="6" w:rightChars="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路桥相关专业工程师</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担任类似工程项目经理（或项目副经理或项目总工）岗位累计6个月，</w:t>
            </w:r>
            <w:r>
              <w:rPr>
                <w:rFonts w:hint="eastAsia" w:ascii="宋体" w:hAnsi="宋体" w:cs="宋体"/>
                <w:color w:val="000000" w:themeColor="text1"/>
                <w:sz w:val="24"/>
                <w:highlight w:val="none"/>
                <w14:textFill>
                  <w14:solidFill>
                    <w14:schemeClr w14:val="tx1"/>
                  </w14:solidFill>
                </w14:textFill>
              </w:rPr>
              <w:t>并持有住房和城乡建设主管部门颁发的公路工程专业</w:t>
            </w:r>
            <w:r>
              <w:rPr>
                <w:rFonts w:hint="eastAsia" w:ascii="宋体" w:hAnsi="宋体" w:cs="宋体"/>
                <w:color w:val="000000" w:themeColor="text1"/>
                <w:sz w:val="24"/>
                <w:highlight w:val="none"/>
                <w:u w:val="single"/>
                <w:lang w:val="en-US" w:eastAsia="zh-CN"/>
                <w14:textFill>
                  <w14:solidFill>
                    <w14:schemeClr w14:val="tx1"/>
                  </w14:solidFill>
                </w14:textFill>
              </w:rPr>
              <w:t>二</w:t>
            </w:r>
            <w:r>
              <w:rPr>
                <w:rFonts w:hint="eastAsia" w:ascii="宋体" w:hAnsi="宋体" w:cs="宋体"/>
                <w:color w:val="000000" w:themeColor="text1"/>
                <w:sz w:val="24"/>
                <w:highlight w:val="none"/>
                <w:u w:val="single"/>
                <w14:textFill>
                  <w14:solidFill>
                    <w14:schemeClr w14:val="tx1"/>
                  </w14:solidFill>
                </w14:textFill>
              </w:rPr>
              <w:t>级</w:t>
            </w:r>
            <w:r>
              <w:rPr>
                <w:rFonts w:hint="eastAsia" w:ascii="宋体" w:hAnsi="宋体" w:cs="宋体"/>
                <w:color w:val="000000" w:themeColor="text1"/>
                <w:sz w:val="24"/>
                <w:highlight w:val="none"/>
                <w14:textFill>
                  <w14:solidFill>
                    <w14:schemeClr w14:val="tx1"/>
                  </w14:solidFill>
                </w14:textFill>
              </w:rPr>
              <w:t>建造师注册证书，具有交通主管部门颁发的有效安全生产“三类人员”B类证书。</w:t>
            </w:r>
          </w:p>
        </w:tc>
        <w:tc>
          <w:tcPr>
            <w:tcW w:w="1980" w:type="dxa"/>
            <w:vMerge w:val="restart"/>
            <w:tcBorders>
              <w:tl2br w:val="nil"/>
              <w:tr2bl w:val="nil"/>
            </w:tcBorders>
            <w:vAlign w:val="center"/>
          </w:tcPr>
          <w:p w14:paraId="237C5EAF">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无在岗项目（指目前未在其他项目上任职，或虽在其他项目上任职但本项目中标后能够从该项目撤离）</w:t>
            </w:r>
          </w:p>
        </w:tc>
      </w:tr>
      <w:tr w14:paraId="36FAA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184" w:type="dxa"/>
            <w:tcBorders>
              <w:tl2br w:val="nil"/>
              <w:tr2bl w:val="nil"/>
            </w:tcBorders>
            <w:vAlign w:val="center"/>
          </w:tcPr>
          <w:p w14:paraId="00965A6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项目总工</w:t>
            </w:r>
          </w:p>
        </w:tc>
        <w:tc>
          <w:tcPr>
            <w:tcW w:w="720" w:type="dxa"/>
            <w:tcBorders>
              <w:tl2br w:val="nil"/>
              <w:tr2bl w:val="nil"/>
            </w:tcBorders>
            <w:vAlign w:val="center"/>
          </w:tcPr>
          <w:p w14:paraId="524488B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5760" w:type="dxa"/>
            <w:tcBorders>
              <w:tl2br w:val="nil"/>
              <w:tr2bl w:val="nil"/>
            </w:tcBorders>
            <w:vAlign w:val="center"/>
          </w:tcPr>
          <w:p w14:paraId="56B27746">
            <w:pPr>
              <w:spacing w:line="360" w:lineRule="auto"/>
              <w:ind w:right="6" w:rightChars="3"/>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路桥相关专业工程师</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主管类似工程技术工作岗位累计6个月。</w:t>
            </w:r>
          </w:p>
        </w:tc>
        <w:tc>
          <w:tcPr>
            <w:tcW w:w="1980" w:type="dxa"/>
            <w:vMerge w:val="continue"/>
            <w:tcBorders>
              <w:tl2br w:val="nil"/>
              <w:tr2bl w:val="nil"/>
            </w:tcBorders>
            <w:vAlign w:val="center"/>
          </w:tcPr>
          <w:p w14:paraId="36C2830A">
            <w:pPr>
              <w:spacing w:line="360" w:lineRule="auto"/>
              <w:rPr>
                <w:rFonts w:hint="eastAsia" w:ascii="宋体" w:hAnsi="宋体" w:cs="宋体"/>
                <w:color w:val="000000" w:themeColor="text1"/>
                <w:sz w:val="24"/>
                <w:highlight w:val="none"/>
                <w14:textFill>
                  <w14:solidFill>
                    <w14:schemeClr w14:val="tx1"/>
                  </w14:solidFill>
                </w14:textFill>
              </w:rPr>
            </w:pPr>
          </w:p>
        </w:tc>
      </w:tr>
    </w:tbl>
    <w:p w14:paraId="4B2F27E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44B5E65C">
      <w:pPr>
        <w:spacing w:line="36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1、资格要求的人员建造师注册证书、安全生产“三类人员”B 类证书均应在投标人所在单位，否则视为无效</w:t>
      </w:r>
      <w:r>
        <w:rPr>
          <w:rFonts w:hint="eastAsia" w:ascii="宋体" w:hAnsi="宋体" w:cs="宋体"/>
          <w:bCs/>
          <w:color w:val="000000" w:themeColor="text1"/>
          <w:szCs w:val="21"/>
          <w:highlight w:val="none"/>
          <w14:textFill>
            <w14:solidFill>
              <w14:schemeClr w14:val="tx1"/>
            </w14:solidFill>
          </w14:textFill>
        </w:rPr>
        <w:t>。</w:t>
      </w:r>
    </w:p>
    <w:p w14:paraId="0A8FF92D">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主管技术工作指：担任过项目经理、项目副经理、总工程师、质检部门负责人、工程部门负责人。担任类似工程项目经理（或项目副经理或项目总工）岗位经验累计时间、主管类似工程技术工作岗位经验累计时间统计至月，计算时尾数如不少于 15 天的按 1 个月计，不足 15 天部分不计。</w:t>
      </w:r>
    </w:p>
    <w:p w14:paraId="4278F59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.路桥相关专业包括公路工程、桥梁工程、道路工程、道路与桥梁、桥隧工程、路桥工程、交通土建、道桥、公路与城市道路、市政路桥、公路与桥梁、隧道（地下结构）工程、交通工程等专业职称。</w:t>
      </w:r>
    </w:p>
    <w:p w14:paraId="287AA3BB">
      <w:pPr>
        <w:spacing w:line="36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4</w:t>
      </w:r>
      <w:r>
        <w:rPr>
          <w:rFonts w:hint="eastAsia" w:ascii="宋体" w:hAnsi="宋体" w:cs="宋体"/>
          <w:bCs/>
          <w:color w:val="000000" w:themeColor="text1"/>
          <w:szCs w:val="21"/>
          <w:highlight w:val="none"/>
          <w14:textFill>
            <w14:solidFill>
              <w14:schemeClr w14:val="tx1"/>
            </w14:solidFill>
          </w14:textFill>
        </w:rPr>
        <w:t>、投标人应根据招标文件第二章“投标人须知”第3.5.5项的要求附相关证明材料。</w:t>
      </w:r>
    </w:p>
    <w:p w14:paraId="05B4D997">
      <w:pPr>
        <w:spacing w:line="360" w:lineRule="auto"/>
        <w:rPr>
          <w:rFonts w:hint="eastAsia" w:ascii="宋体" w:hAnsi="宋体" w:cs="宋体"/>
          <w:color w:val="000000" w:themeColor="text1"/>
          <w:kern w:val="0"/>
          <w:szCs w:val="21"/>
          <w:highlight w:val="none"/>
          <w:lang w:val="en-US" w:eastAsia="zh-CN" w:bidi="ar"/>
          <w14:textFill>
            <w14:solidFill>
              <w14:schemeClr w14:val="tx1"/>
            </w14:solidFill>
          </w14:textFill>
        </w:rPr>
      </w:pPr>
      <w:r>
        <w:rPr>
          <w:rFonts w:hint="eastAsia" w:ascii="宋体" w:hAnsi="宋体" w:cs="宋体"/>
          <w:color w:val="000000" w:themeColor="text1"/>
          <w:kern w:val="0"/>
          <w:szCs w:val="21"/>
          <w:highlight w:val="none"/>
          <w:lang w:val="en-US" w:eastAsia="zh-CN" w:bidi="ar"/>
          <w14:textFill>
            <w14:solidFill>
              <w14:schemeClr w14:val="tx1"/>
            </w14:solidFill>
          </w14:textFill>
        </w:rPr>
        <w:t>5</w:t>
      </w:r>
      <w:r>
        <w:rPr>
          <w:rFonts w:hint="eastAsia" w:ascii="宋体" w:hAnsi="宋体" w:cs="宋体"/>
          <w:color w:val="000000" w:themeColor="text1"/>
          <w:kern w:val="0"/>
          <w:szCs w:val="21"/>
          <w:highlight w:val="none"/>
          <w:lang w:bidi="ar"/>
          <w14:textFill>
            <w14:solidFill>
              <w14:schemeClr w14:val="tx1"/>
            </w14:solidFill>
          </w14:textFill>
        </w:rPr>
        <w:t>、组成联合体投标的，由联合体成员</w:t>
      </w:r>
      <w:r>
        <w:rPr>
          <w:rFonts w:hint="eastAsia" w:ascii="宋体" w:hAnsi="宋体" w:cs="宋体"/>
          <w:b/>
          <w:bCs/>
          <w:color w:val="000000" w:themeColor="text1"/>
          <w:kern w:val="0"/>
          <w:szCs w:val="21"/>
          <w:highlight w:val="none"/>
          <w:lang w:bidi="ar"/>
          <w14:textFill>
            <w14:solidFill>
              <w14:schemeClr w14:val="tx1"/>
            </w14:solidFill>
          </w14:textFill>
        </w:rPr>
        <w:t>任意一方提供</w:t>
      </w:r>
      <w:r>
        <w:rPr>
          <w:rFonts w:hint="eastAsia" w:ascii="宋体" w:hAnsi="宋体" w:cs="宋体"/>
          <w:color w:val="000000" w:themeColor="text1"/>
          <w:kern w:val="0"/>
          <w:szCs w:val="21"/>
          <w:highlight w:val="none"/>
          <w:lang w:bidi="ar"/>
          <w14:textFill>
            <w14:solidFill>
              <w14:schemeClr w14:val="tx1"/>
            </w14:solidFill>
          </w14:textFill>
        </w:rPr>
        <w:t>。</w:t>
      </w:r>
    </w:p>
    <w:p w14:paraId="72AD2B0C">
      <w:pPr>
        <w:spacing w:line="360" w:lineRule="auto"/>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val="en-US" w:eastAsia="zh-CN" w:bidi="ar"/>
          <w14:textFill>
            <w14:solidFill>
              <w14:schemeClr w14:val="tx1"/>
            </w14:solidFill>
          </w14:textFill>
        </w:rPr>
        <w:t>6</w:t>
      </w:r>
      <w:r>
        <w:rPr>
          <w:rFonts w:hint="eastAsia" w:ascii="宋体" w:hAnsi="宋体" w:cs="宋体"/>
          <w:color w:val="000000" w:themeColor="text1"/>
          <w:kern w:val="0"/>
          <w:szCs w:val="21"/>
          <w:highlight w:val="none"/>
          <w:lang w:bidi="ar"/>
          <w14:textFill>
            <w14:solidFill>
              <w14:schemeClr w14:val="tx1"/>
            </w14:solidFill>
          </w14:textFill>
        </w:rPr>
        <w:t>、本表所列的人员资格或职称为满足要求的最低资格或职称，其相对应的以上级别的资格或职称均符合资格审查条件。</w:t>
      </w:r>
    </w:p>
    <w:p w14:paraId="3614B4D6">
      <w:pPr>
        <w:rPr>
          <w:rFonts w:hint="eastAsia" w:ascii="宋体" w:hAnsi="宋体" w:cs="宋体"/>
          <w:bCs/>
          <w:color w:val="000000" w:themeColor="text1"/>
          <w:szCs w:val="21"/>
          <w:highlight w:val="none"/>
          <w14:textFill>
            <w14:solidFill>
              <w14:schemeClr w14:val="tx1"/>
            </w14:solidFill>
          </w14:textFill>
        </w:rPr>
      </w:pPr>
    </w:p>
    <w:p w14:paraId="5DC09788">
      <w:pPr>
        <w:pStyle w:val="70"/>
        <w:rPr>
          <w:color w:val="000000" w:themeColor="text1"/>
          <w:highlight w:val="none"/>
          <w14:textFill>
            <w14:solidFill>
              <w14:schemeClr w14:val="tx1"/>
            </w14:solidFill>
          </w14:textFill>
        </w:rPr>
      </w:pPr>
    </w:p>
    <w:p w14:paraId="0FEF09BA">
      <w:pPr>
        <w:rPr>
          <w:color w:val="000000" w:themeColor="text1"/>
          <w:highlight w:val="none"/>
          <w14:textFill>
            <w14:solidFill>
              <w14:schemeClr w14:val="tx1"/>
            </w14:solidFill>
          </w14:textFill>
        </w:rPr>
      </w:pPr>
    </w:p>
    <w:p w14:paraId="3242AC18">
      <w:pPr>
        <w:pStyle w:val="70"/>
        <w:rPr>
          <w:color w:val="000000" w:themeColor="text1"/>
          <w:highlight w:val="none"/>
          <w14:textFill>
            <w14:solidFill>
              <w14:schemeClr w14:val="tx1"/>
            </w14:solidFill>
          </w14:textFill>
        </w:rPr>
      </w:pPr>
    </w:p>
    <w:p w14:paraId="55B3A80D">
      <w:pPr>
        <w:pStyle w:val="70"/>
        <w:rPr>
          <w:color w:val="000000" w:themeColor="text1"/>
          <w:highlight w:val="none"/>
          <w14:textFill>
            <w14:solidFill>
              <w14:schemeClr w14:val="tx1"/>
            </w14:solidFill>
          </w14:textFill>
        </w:rPr>
      </w:pPr>
    </w:p>
    <w:p w14:paraId="60906D5A">
      <w:pPr>
        <w:rPr>
          <w:color w:val="000000" w:themeColor="text1"/>
          <w:highlight w:val="none"/>
          <w14:textFill>
            <w14:solidFill>
              <w14:schemeClr w14:val="tx1"/>
            </w14:solidFill>
          </w14:textFill>
        </w:rPr>
      </w:pPr>
    </w:p>
    <w:p w14:paraId="18786BBC">
      <w:pPr>
        <w:pStyle w:val="70"/>
        <w:rPr>
          <w:color w:val="000000" w:themeColor="text1"/>
          <w:highlight w:val="none"/>
          <w14:textFill>
            <w14:solidFill>
              <w14:schemeClr w14:val="tx1"/>
            </w14:solidFill>
          </w14:textFill>
        </w:rPr>
      </w:pPr>
    </w:p>
    <w:p w14:paraId="0F30017C">
      <w:pPr>
        <w:rPr>
          <w:color w:val="000000" w:themeColor="text1"/>
          <w:highlight w:val="none"/>
          <w14:textFill>
            <w14:solidFill>
              <w14:schemeClr w14:val="tx1"/>
            </w14:solidFill>
          </w14:textFill>
        </w:rPr>
      </w:pPr>
    </w:p>
    <w:p w14:paraId="094FAFB7">
      <w:pPr>
        <w:pStyle w:val="70"/>
        <w:rPr>
          <w:color w:val="000000" w:themeColor="text1"/>
          <w:highlight w:val="none"/>
          <w14:textFill>
            <w14:solidFill>
              <w14:schemeClr w14:val="tx1"/>
            </w14:solidFill>
          </w14:textFill>
        </w:rPr>
      </w:pPr>
    </w:p>
    <w:p w14:paraId="5F0E07DB">
      <w:pPr>
        <w:rPr>
          <w:color w:val="000000" w:themeColor="text1"/>
          <w:highlight w:val="none"/>
          <w14:textFill>
            <w14:solidFill>
              <w14:schemeClr w14:val="tx1"/>
            </w14:solidFill>
          </w14:textFill>
        </w:rPr>
      </w:pPr>
    </w:p>
    <w:p w14:paraId="31C7D437">
      <w:pPr>
        <w:pStyle w:val="70"/>
        <w:rPr>
          <w:color w:val="000000" w:themeColor="text1"/>
          <w:highlight w:val="none"/>
          <w14:textFill>
            <w14:solidFill>
              <w14:schemeClr w14:val="tx1"/>
            </w14:solidFill>
          </w14:textFill>
        </w:rPr>
      </w:pPr>
    </w:p>
    <w:p w14:paraId="4201DA44">
      <w:pPr>
        <w:rPr>
          <w:color w:val="000000" w:themeColor="text1"/>
          <w:highlight w:val="none"/>
          <w14:textFill>
            <w14:solidFill>
              <w14:schemeClr w14:val="tx1"/>
            </w14:solidFill>
          </w14:textFill>
        </w:rPr>
      </w:pPr>
    </w:p>
    <w:p w14:paraId="150B9447">
      <w:pPr>
        <w:pStyle w:val="70"/>
        <w:rPr>
          <w:color w:val="000000" w:themeColor="text1"/>
          <w:highlight w:val="none"/>
          <w14:textFill>
            <w14:solidFill>
              <w14:schemeClr w14:val="tx1"/>
            </w14:solidFill>
          </w14:textFill>
        </w:rPr>
      </w:pPr>
    </w:p>
    <w:p w14:paraId="2D21F990">
      <w:pPr>
        <w:rPr>
          <w:color w:val="000000" w:themeColor="text1"/>
          <w:highlight w:val="none"/>
          <w14:textFill>
            <w14:solidFill>
              <w14:schemeClr w14:val="tx1"/>
            </w14:solidFill>
          </w14:textFill>
        </w:rPr>
      </w:pPr>
    </w:p>
    <w:p w14:paraId="484A5A6E">
      <w:pPr>
        <w:pStyle w:val="70"/>
        <w:rPr>
          <w:color w:val="000000" w:themeColor="text1"/>
          <w:highlight w:val="none"/>
          <w14:textFill>
            <w14:solidFill>
              <w14:schemeClr w14:val="tx1"/>
            </w14:solidFill>
          </w14:textFill>
        </w:rPr>
      </w:pPr>
    </w:p>
    <w:p w14:paraId="202010A7">
      <w:pPr>
        <w:pStyle w:val="6"/>
        <w:spacing w:before="168" w:after="120"/>
        <w:jc w:val="center"/>
        <w:rPr>
          <w:color w:val="000000" w:themeColor="text1"/>
          <w:sz w:val="28"/>
          <w:szCs w:val="36"/>
          <w:highlight w:val="none"/>
          <w14:textFill>
            <w14:solidFill>
              <w14:schemeClr w14:val="tx1"/>
            </w14:solidFill>
          </w14:textFill>
        </w:rPr>
      </w:pPr>
      <w:bookmarkStart w:id="21" w:name="_Toc26868"/>
      <w:r>
        <w:rPr>
          <w:rFonts w:hint="eastAsia"/>
          <w:color w:val="000000" w:themeColor="text1"/>
          <w:sz w:val="28"/>
          <w:szCs w:val="36"/>
          <w:highlight w:val="none"/>
          <w14:textFill>
            <w14:solidFill>
              <w14:schemeClr w14:val="tx1"/>
            </w14:solidFill>
          </w14:textFill>
        </w:rPr>
        <w:t>附录6  资格审查条件（其他管理人员和技术人员最低要求）</w:t>
      </w:r>
      <w:bookmarkEnd w:id="21"/>
    </w:p>
    <w:p w14:paraId="12C29942">
      <w:pPr>
        <w:pStyle w:val="70"/>
        <w:rPr>
          <w:color w:val="000000" w:themeColor="text1"/>
          <w:highlight w:val="none"/>
          <w14:textFill>
            <w14:solidFill>
              <w14:schemeClr w14:val="tx1"/>
            </w14:solidFill>
          </w14:textFill>
        </w:rPr>
      </w:pPr>
    </w:p>
    <w:tbl>
      <w:tblPr>
        <w:tblStyle w:val="45"/>
        <w:tblW w:w="0" w:type="auto"/>
        <w:tblInd w:w="10" w:type="dxa"/>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Layout w:type="fixed"/>
        <w:tblCellMar>
          <w:top w:w="0" w:type="dxa"/>
          <w:left w:w="0" w:type="dxa"/>
          <w:bottom w:w="0" w:type="dxa"/>
          <w:right w:w="0" w:type="dxa"/>
        </w:tblCellMar>
      </w:tblPr>
      <w:tblGrid>
        <w:gridCol w:w="2634"/>
        <w:gridCol w:w="990"/>
        <w:gridCol w:w="5953"/>
      </w:tblGrid>
      <w:tr w14:paraId="0F7C65C8">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2634" w:type="dxa"/>
            <w:vAlign w:val="center"/>
          </w:tcPr>
          <w:p w14:paraId="67EEA16F">
            <w:pPr>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人  员</w:t>
            </w:r>
          </w:p>
        </w:tc>
        <w:tc>
          <w:tcPr>
            <w:tcW w:w="990" w:type="dxa"/>
            <w:vAlign w:val="center"/>
          </w:tcPr>
          <w:p w14:paraId="2C159644">
            <w:pPr>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数量</w:t>
            </w:r>
          </w:p>
        </w:tc>
        <w:tc>
          <w:tcPr>
            <w:tcW w:w="5953" w:type="dxa"/>
            <w:vAlign w:val="center"/>
          </w:tcPr>
          <w:p w14:paraId="2B6448C6">
            <w:pPr>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资 格 要 求</w:t>
            </w:r>
          </w:p>
        </w:tc>
      </w:tr>
      <w:tr w14:paraId="0ADF1FDD">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211915EC">
            <w:pPr>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2"/>
                <w:szCs w:val="21"/>
                <w:highlight w:val="none"/>
                <w14:textFill>
                  <w14:solidFill>
                    <w14:schemeClr w14:val="tx1"/>
                  </w14:solidFill>
                </w14:textFill>
              </w:rPr>
              <w:t>质</w:t>
            </w:r>
            <w:r>
              <w:rPr>
                <w:rFonts w:ascii="宋体" w:hAnsi="宋体" w:cs="宋体"/>
                <w:color w:val="000000" w:themeColor="text1"/>
                <w:spacing w:val="-1"/>
                <w:szCs w:val="21"/>
                <w:highlight w:val="none"/>
                <w14:textFill>
                  <w14:solidFill>
                    <w14:schemeClr w14:val="tx1"/>
                  </w14:solidFill>
                </w14:textFill>
              </w:rPr>
              <w:t>检</w:t>
            </w:r>
            <w:r>
              <w:rPr>
                <w:rFonts w:hint="eastAsia" w:ascii="宋体" w:hAnsi="宋体" w:cs="宋体"/>
                <w:color w:val="000000" w:themeColor="text1"/>
                <w:spacing w:val="-1"/>
                <w:szCs w:val="21"/>
                <w:highlight w:val="none"/>
                <w14:textFill>
                  <w14:solidFill>
                    <w14:schemeClr w14:val="tx1"/>
                  </w14:solidFill>
                </w14:textFill>
              </w:rPr>
              <w:t>工程师</w:t>
            </w:r>
          </w:p>
        </w:tc>
        <w:tc>
          <w:tcPr>
            <w:tcW w:w="990" w:type="dxa"/>
            <w:vAlign w:val="center"/>
          </w:tcPr>
          <w:p w14:paraId="2AB02D3B">
            <w:pPr>
              <w:jc w:val="center"/>
              <w:rPr>
                <w:rFonts w:hint="eastAsia" w:ascii="宋体" w:hAnsi="宋体" w:cs="宋体"/>
                <w:color w:val="000000" w:themeColor="text1"/>
                <w:spacing w:val="-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1</w:t>
            </w:r>
          </w:p>
        </w:tc>
        <w:tc>
          <w:tcPr>
            <w:tcW w:w="5953" w:type="dxa"/>
            <w:vAlign w:val="center"/>
          </w:tcPr>
          <w:p w14:paraId="6D2F8B0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路桥相关专业工程师，累计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10D2601B">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4E702A84">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计划工程师</w:t>
            </w:r>
          </w:p>
        </w:tc>
        <w:tc>
          <w:tcPr>
            <w:tcW w:w="990" w:type="dxa"/>
            <w:vAlign w:val="center"/>
          </w:tcPr>
          <w:p w14:paraId="768E111B">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5953" w:type="dxa"/>
            <w:vAlign w:val="center"/>
          </w:tcPr>
          <w:p w14:paraId="796BF529">
            <w:pPr>
              <w:spacing w:line="360" w:lineRule="auto"/>
              <w:jc w:val="left"/>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路桥相关专业工程师</w:t>
            </w:r>
            <w:r>
              <w:rPr>
                <w:rFonts w:hint="eastAsia" w:ascii="宋体" w:hAnsi="宋体" w:cs="宋体"/>
                <w:color w:val="000000" w:themeColor="text1"/>
                <w:spacing w:val="-2"/>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r>
              <w:rPr>
                <w:rFonts w:hint="eastAsia" w:ascii="宋体" w:hAnsi="宋体" w:cs="宋体"/>
                <w:color w:val="000000" w:themeColor="text1"/>
                <w:spacing w:val="-2"/>
                <w:szCs w:val="21"/>
                <w:highlight w:val="none"/>
                <w14:textFill>
                  <w14:solidFill>
                    <w14:schemeClr w14:val="tx1"/>
                  </w14:solidFill>
                </w14:textFill>
              </w:rPr>
              <w:t>具有二级造价工程师注册证（交通运输工程专业，类别为公路）或交通运输主管部门颁发的乙级造价人员证书。</w:t>
            </w:r>
          </w:p>
        </w:tc>
      </w:tr>
      <w:tr w14:paraId="2A3C5F11">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59E55ECA">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道路工程师</w:t>
            </w:r>
          </w:p>
        </w:tc>
        <w:tc>
          <w:tcPr>
            <w:tcW w:w="990" w:type="dxa"/>
            <w:vAlign w:val="center"/>
          </w:tcPr>
          <w:p w14:paraId="5280FEBE">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5953" w:type="dxa"/>
            <w:vAlign w:val="center"/>
          </w:tcPr>
          <w:p w14:paraId="312F9D58">
            <w:pPr>
              <w:spacing w:line="360" w:lineRule="auto"/>
              <w:jc w:val="left"/>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路桥相关专业工程师，累计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701F0D38">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634" w:type="dxa"/>
            <w:vAlign w:val="center"/>
          </w:tcPr>
          <w:p w14:paraId="2B5948F9">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测量工程师</w:t>
            </w:r>
          </w:p>
        </w:tc>
        <w:tc>
          <w:tcPr>
            <w:tcW w:w="990" w:type="dxa"/>
            <w:vAlign w:val="center"/>
          </w:tcPr>
          <w:p w14:paraId="6C1D9E93">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5953" w:type="dxa"/>
            <w:vAlign w:val="center"/>
          </w:tcPr>
          <w:p w14:paraId="0C06575F">
            <w:pPr>
              <w:spacing w:line="360" w:lineRule="auto"/>
              <w:jc w:val="left"/>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工程师，</w:t>
            </w: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70C7D345">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634" w:type="dxa"/>
            <w:vAlign w:val="center"/>
          </w:tcPr>
          <w:p w14:paraId="591D3E1B">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试验工程师</w:t>
            </w:r>
          </w:p>
        </w:tc>
        <w:tc>
          <w:tcPr>
            <w:tcW w:w="990" w:type="dxa"/>
            <w:vAlign w:val="center"/>
          </w:tcPr>
          <w:p w14:paraId="065F561F">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5953" w:type="dxa"/>
            <w:vAlign w:val="center"/>
          </w:tcPr>
          <w:p w14:paraId="5971950B">
            <w:pPr>
              <w:spacing w:line="360" w:lineRule="auto"/>
              <w:jc w:val="left"/>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持有行政主管部门核发的公路工程试验检测师资格证书或试验检测工程师资格证书，</w:t>
            </w: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5D0E0996">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2634" w:type="dxa"/>
            <w:vAlign w:val="center"/>
          </w:tcPr>
          <w:p w14:paraId="0E96AD1F">
            <w:pPr>
              <w:jc w:val="center"/>
              <w:rPr>
                <w:rFonts w:hint="eastAsia"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财务负责人</w:t>
            </w:r>
          </w:p>
        </w:tc>
        <w:tc>
          <w:tcPr>
            <w:tcW w:w="990" w:type="dxa"/>
            <w:vAlign w:val="center"/>
          </w:tcPr>
          <w:p w14:paraId="6FBABE24">
            <w:pPr>
              <w:jc w:val="center"/>
              <w:rPr>
                <w:rFonts w:hint="eastAsia" w:ascii="宋体" w:hAnsi="宋体" w:cs="宋体"/>
                <w:color w:val="000000" w:themeColor="text1"/>
                <w:spacing w:val="-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1</w:t>
            </w:r>
          </w:p>
        </w:tc>
        <w:tc>
          <w:tcPr>
            <w:tcW w:w="5953" w:type="dxa"/>
            <w:vAlign w:val="center"/>
          </w:tcPr>
          <w:p w14:paraId="56B338F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p>
        </w:tc>
      </w:tr>
      <w:tr w14:paraId="366649E0">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2634" w:type="dxa"/>
            <w:vAlign w:val="center"/>
          </w:tcPr>
          <w:p w14:paraId="34CE070B">
            <w:pPr>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1"/>
                <w:szCs w:val="21"/>
                <w:highlight w:val="none"/>
                <w14:textFill>
                  <w14:solidFill>
                    <w14:schemeClr w14:val="tx1"/>
                  </w14:solidFill>
                </w14:textFill>
              </w:rPr>
              <w:t>专职安全生产管理</w:t>
            </w:r>
            <w:r>
              <w:rPr>
                <w:rFonts w:ascii="宋体" w:hAnsi="宋体" w:cs="宋体"/>
                <w:color w:val="000000" w:themeColor="text1"/>
                <w:szCs w:val="21"/>
                <w:highlight w:val="none"/>
                <w14:textFill>
                  <w14:solidFill>
                    <w14:schemeClr w14:val="tx1"/>
                  </w14:solidFill>
                </w14:textFill>
              </w:rPr>
              <w:t>人员</w:t>
            </w:r>
          </w:p>
        </w:tc>
        <w:tc>
          <w:tcPr>
            <w:tcW w:w="990" w:type="dxa"/>
            <w:vAlign w:val="center"/>
          </w:tcPr>
          <w:p w14:paraId="7C8DAD91">
            <w:pPr>
              <w:jc w:val="center"/>
              <w:rPr>
                <w:rFonts w:hint="eastAsia" w:ascii="宋体" w:hAnsi="宋体" w:cs="宋体"/>
                <w:color w:val="000000" w:themeColor="text1"/>
                <w:spacing w:val="-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1</w:t>
            </w:r>
          </w:p>
        </w:tc>
        <w:tc>
          <w:tcPr>
            <w:tcW w:w="5953" w:type="dxa"/>
            <w:vAlign w:val="center"/>
          </w:tcPr>
          <w:p w14:paraId="299E688D">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具有交通运输主管部门颁发的安全生产“三类人员”C类证书，</w:t>
            </w:r>
            <w:r>
              <w:rPr>
                <w:rFonts w:hint="eastAsia" w:ascii="宋体" w:hAnsi="宋体" w:cs="宋体"/>
                <w:color w:val="000000" w:themeColor="text1"/>
                <w:szCs w:val="21"/>
                <w:highlight w:val="none"/>
                <w14:textFill>
                  <w14:solidFill>
                    <w14:schemeClr w14:val="tx1"/>
                  </w14:solidFill>
                </w14:textFill>
              </w:rPr>
              <w:t>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年从事类似工程经验</w:t>
            </w:r>
            <w:r>
              <w:rPr>
                <w:rFonts w:hint="eastAsia" w:ascii="宋体" w:hAnsi="宋体" w:cs="宋体"/>
                <w:color w:val="000000" w:themeColor="text1"/>
                <w:spacing w:val="-1"/>
                <w:szCs w:val="21"/>
                <w:highlight w:val="none"/>
                <w14:textFill>
                  <w14:solidFill>
                    <w14:schemeClr w14:val="tx1"/>
                  </w14:solidFill>
                </w14:textFill>
              </w:rPr>
              <w:t>。</w:t>
            </w:r>
          </w:p>
        </w:tc>
      </w:tr>
      <w:tr w14:paraId="0F300648">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634" w:type="dxa"/>
            <w:vAlign w:val="center"/>
          </w:tcPr>
          <w:p w14:paraId="77E493AB">
            <w:pPr>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5"/>
                <w:szCs w:val="21"/>
                <w:highlight w:val="none"/>
                <w14:textFill>
                  <w14:solidFill>
                    <w14:schemeClr w14:val="tx1"/>
                  </w14:solidFill>
                </w14:textFill>
              </w:rPr>
              <w:t>资</w:t>
            </w:r>
            <w:r>
              <w:rPr>
                <w:rFonts w:ascii="宋体" w:hAnsi="宋体" w:cs="宋体"/>
                <w:color w:val="000000" w:themeColor="text1"/>
                <w:spacing w:val="-3"/>
                <w:szCs w:val="21"/>
                <w:highlight w:val="none"/>
                <w14:textFill>
                  <w14:solidFill>
                    <w14:schemeClr w14:val="tx1"/>
                  </w14:solidFill>
                </w14:textFill>
              </w:rPr>
              <w:t>料员</w:t>
            </w:r>
          </w:p>
        </w:tc>
        <w:tc>
          <w:tcPr>
            <w:tcW w:w="990" w:type="dxa"/>
            <w:vAlign w:val="center"/>
          </w:tcPr>
          <w:p w14:paraId="4867C495">
            <w:pPr>
              <w:jc w:val="center"/>
              <w:rPr>
                <w:rFonts w:hint="eastAsia" w:ascii="宋体" w:hAnsi="宋体" w:cs="宋体"/>
                <w:color w:val="000000" w:themeColor="text1"/>
                <w:spacing w:val="-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1</w:t>
            </w:r>
          </w:p>
        </w:tc>
        <w:tc>
          <w:tcPr>
            <w:tcW w:w="5953" w:type="dxa"/>
            <w:vAlign w:val="center"/>
          </w:tcPr>
          <w:p w14:paraId="59FBAB2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资料员，累计</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年从事类似工作经验。</w:t>
            </w:r>
          </w:p>
        </w:tc>
      </w:tr>
    </w:tbl>
    <w:p w14:paraId="1B81205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1E8F33E0">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1、附录 6 所要求人员须按投标文件投标函的格式承诺，中标人在进场前向招标人提交实际投入的人员。</w:t>
      </w:r>
    </w:p>
    <w:p w14:paraId="129575D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2、投标人中标后专职安全生产管理人员的配备应按照交通部《公路水运工程安全生产监督管理办法》的要求执行。招标人可根据项目的工期和进度，按规定设置最低的专职安全生产管理人员数量要求。</w:t>
      </w:r>
    </w:p>
    <w:p w14:paraId="4274BC2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3、计划工程师的造价人员证书的等级结合项目属性按规定合理设定。</w:t>
      </w:r>
    </w:p>
    <w:p w14:paraId="70D83E29">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4、试验相关人员的配备应符合《广东省公路工程施工标准化指南》的要求。</w:t>
      </w:r>
    </w:p>
    <w:p w14:paraId="66888EBB">
      <w:pPr>
        <w:spacing w:line="360" w:lineRule="auto"/>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5、本表所列的人员资格或职称为满足要求的最低资格或职称，其相对应的以上级别的资格或职称均符合要求。</w:t>
      </w:r>
    </w:p>
    <w:p w14:paraId="23E7A8A4">
      <w:pPr>
        <w:pStyle w:val="6"/>
        <w:spacing w:before="168" w:after="120"/>
        <w:jc w:val="center"/>
        <w:rPr>
          <w:rFonts w:ascii="宋体" w:cs="黑体"/>
          <w:color w:val="000000" w:themeColor="text1"/>
          <w:sz w:val="30"/>
          <w:szCs w:val="30"/>
          <w:highlight w:val="none"/>
          <w14:textFill>
            <w14:solidFill>
              <w14:schemeClr w14:val="tx1"/>
            </w14:solidFill>
          </w14:textFill>
        </w:rPr>
      </w:pPr>
      <w:r>
        <w:rPr>
          <w:rFonts w:hint="eastAsia" w:ascii="宋体" w:hAnsi="宋体" w:cs="宋体"/>
          <w:color w:val="000000" w:themeColor="text1"/>
          <w:spacing w:val="-9"/>
          <w:sz w:val="21"/>
          <w:highlight w:val="none"/>
          <w14:textFill>
            <w14:solidFill>
              <w14:schemeClr w14:val="tx1"/>
            </w14:solidFill>
          </w14:textFill>
        </w:rPr>
        <w:br w:type="page"/>
      </w:r>
      <w:bookmarkStart w:id="22" w:name="_Toc26147"/>
      <w:bookmarkStart w:id="23" w:name="_Toc43475669"/>
      <w:r>
        <w:rPr>
          <w:rFonts w:hint="eastAsia"/>
          <w:color w:val="000000" w:themeColor="text1"/>
          <w:sz w:val="28"/>
          <w:szCs w:val="36"/>
          <w:highlight w:val="none"/>
          <w14:textFill>
            <w14:solidFill>
              <w14:schemeClr w14:val="tx1"/>
            </w14:solidFill>
          </w14:textFill>
        </w:rPr>
        <w:t>附录7  资格审查条件（主要设备最低要求）</w:t>
      </w:r>
      <w:bookmarkEnd w:id="22"/>
      <w:bookmarkEnd w:id="23"/>
    </w:p>
    <w:tbl>
      <w:tblPr>
        <w:tblStyle w:val="45"/>
        <w:tblW w:w="9197" w:type="dxa"/>
        <w:jc w:val="center"/>
        <w:tblLayout w:type="fixed"/>
        <w:tblCellMar>
          <w:top w:w="0" w:type="dxa"/>
          <w:left w:w="0" w:type="dxa"/>
          <w:bottom w:w="0" w:type="dxa"/>
          <w:right w:w="0" w:type="dxa"/>
        </w:tblCellMar>
      </w:tblPr>
      <w:tblGrid>
        <w:gridCol w:w="542"/>
        <w:gridCol w:w="3107"/>
        <w:gridCol w:w="3666"/>
        <w:gridCol w:w="698"/>
        <w:gridCol w:w="1184"/>
      </w:tblGrid>
      <w:tr w14:paraId="7C42D08C">
        <w:tblPrEx>
          <w:tblCellMar>
            <w:top w:w="0" w:type="dxa"/>
            <w:left w:w="0" w:type="dxa"/>
            <w:bottom w:w="0" w:type="dxa"/>
            <w:right w:w="0" w:type="dxa"/>
          </w:tblCellMar>
        </w:tblPrEx>
        <w:trPr>
          <w:trHeight w:val="521" w:hRule="exact"/>
          <w:jc w:val="center"/>
        </w:trPr>
        <w:tc>
          <w:tcPr>
            <w:tcW w:w="542" w:type="dxa"/>
            <w:tcBorders>
              <w:top w:val="single" w:color="000000" w:sz="12" w:space="0"/>
              <w:left w:val="single" w:color="000000" w:sz="12" w:space="0"/>
              <w:bottom w:val="single" w:color="000000" w:sz="8" w:space="0"/>
              <w:right w:val="single" w:color="000000" w:sz="8" w:space="0"/>
            </w:tcBorders>
            <w:vAlign w:val="center"/>
          </w:tcPr>
          <w:p w14:paraId="4603C7C8">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3107" w:type="dxa"/>
            <w:tcBorders>
              <w:top w:val="single" w:color="000000" w:sz="12" w:space="0"/>
              <w:left w:val="single" w:color="000000" w:sz="8" w:space="0"/>
              <w:bottom w:val="single" w:color="000000" w:sz="8" w:space="0"/>
              <w:right w:val="single" w:color="000000" w:sz="8" w:space="0"/>
            </w:tcBorders>
            <w:vAlign w:val="center"/>
          </w:tcPr>
          <w:p w14:paraId="4E42796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3666" w:type="dxa"/>
            <w:tcBorders>
              <w:top w:val="single" w:color="000000" w:sz="12" w:space="0"/>
              <w:left w:val="single" w:color="000000" w:sz="8" w:space="0"/>
              <w:bottom w:val="single" w:color="000000" w:sz="8" w:space="0"/>
              <w:right w:val="single" w:color="000000" w:sz="8" w:space="0"/>
            </w:tcBorders>
            <w:vAlign w:val="center"/>
          </w:tcPr>
          <w:p w14:paraId="12C6959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规格、功率及容量</w:t>
            </w:r>
          </w:p>
        </w:tc>
        <w:tc>
          <w:tcPr>
            <w:tcW w:w="698" w:type="dxa"/>
            <w:tcBorders>
              <w:top w:val="single" w:color="000000" w:sz="12" w:space="0"/>
              <w:left w:val="single" w:color="000000" w:sz="8" w:space="0"/>
              <w:bottom w:val="single" w:color="000000" w:sz="8" w:space="0"/>
              <w:right w:val="single" w:color="000000" w:sz="8" w:space="0"/>
            </w:tcBorders>
            <w:vAlign w:val="center"/>
          </w:tcPr>
          <w:p w14:paraId="540BDBC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w:t>
            </w:r>
          </w:p>
        </w:tc>
        <w:tc>
          <w:tcPr>
            <w:tcW w:w="1184" w:type="dxa"/>
            <w:tcBorders>
              <w:top w:val="single" w:color="000000" w:sz="12" w:space="0"/>
              <w:left w:val="single" w:color="000000" w:sz="8" w:space="0"/>
              <w:bottom w:val="single" w:color="000000" w:sz="8" w:space="0"/>
              <w:right w:val="single" w:color="000000" w:sz="12" w:space="0"/>
            </w:tcBorders>
            <w:vAlign w:val="center"/>
          </w:tcPr>
          <w:p w14:paraId="664CACFA">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最低数量</w:t>
            </w:r>
          </w:p>
        </w:tc>
      </w:tr>
      <w:tr w14:paraId="45F4A59E">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06569D18">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3107" w:type="dxa"/>
            <w:tcBorders>
              <w:top w:val="single" w:color="000000" w:sz="8" w:space="0"/>
              <w:left w:val="single" w:color="000000" w:sz="8" w:space="0"/>
              <w:bottom w:val="single" w:color="000000" w:sz="8" w:space="0"/>
              <w:right w:val="single" w:color="000000" w:sz="8" w:space="0"/>
            </w:tcBorders>
            <w:vAlign w:val="center"/>
          </w:tcPr>
          <w:p w14:paraId="62BEBFF0">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平地机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4F0534D8">
            <w:pPr>
              <w:pStyle w:val="39"/>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≥180KW</w:t>
            </w:r>
          </w:p>
        </w:tc>
        <w:tc>
          <w:tcPr>
            <w:tcW w:w="698" w:type="dxa"/>
            <w:tcBorders>
              <w:top w:val="single" w:color="000000" w:sz="8" w:space="0"/>
              <w:left w:val="single" w:color="000000" w:sz="8" w:space="0"/>
              <w:bottom w:val="single" w:color="000000" w:sz="8" w:space="0"/>
              <w:right w:val="single" w:color="000000" w:sz="8" w:space="0"/>
            </w:tcBorders>
            <w:vAlign w:val="center"/>
          </w:tcPr>
          <w:p w14:paraId="380D38C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528238F1">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21BB4409">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56E866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3107" w:type="dxa"/>
            <w:tcBorders>
              <w:top w:val="single" w:color="000000" w:sz="8" w:space="0"/>
              <w:left w:val="single" w:color="000000" w:sz="8" w:space="0"/>
              <w:bottom w:val="single" w:color="000000" w:sz="8" w:space="0"/>
              <w:right w:val="single" w:color="000000" w:sz="8" w:space="0"/>
            </w:tcBorders>
            <w:vAlign w:val="center"/>
          </w:tcPr>
          <w:p w14:paraId="08E45F1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振动压路机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7CBAD69D">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≥25T</w:t>
            </w:r>
          </w:p>
        </w:tc>
        <w:tc>
          <w:tcPr>
            <w:tcW w:w="698" w:type="dxa"/>
            <w:tcBorders>
              <w:top w:val="single" w:color="000000" w:sz="8" w:space="0"/>
              <w:left w:val="single" w:color="000000" w:sz="8" w:space="0"/>
              <w:bottom w:val="single" w:color="000000" w:sz="8" w:space="0"/>
              <w:right w:val="single" w:color="000000" w:sz="8" w:space="0"/>
            </w:tcBorders>
            <w:vAlign w:val="center"/>
          </w:tcPr>
          <w:p w14:paraId="2570729D">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68C0D4B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21E29D8B">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3A9E7F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3107" w:type="dxa"/>
            <w:tcBorders>
              <w:top w:val="single" w:color="000000" w:sz="8" w:space="0"/>
              <w:left w:val="single" w:color="000000" w:sz="8" w:space="0"/>
              <w:bottom w:val="single" w:color="000000" w:sz="8" w:space="0"/>
              <w:right w:val="single" w:color="000000" w:sz="8" w:space="0"/>
            </w:tcBorders>
            <w:vAlign w:val="center"/>
          </w:tcPr>
          <w:p w14:paraId="7A22BE3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装载机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40FB911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≥2m3</w:t>
            </w:r>
          </w:p>
        </w:tc>
        <w:tc>
          <w:tcPr>
            <w:tcW w:w="698" w:type="dxa"/>
            <w:tcBorders>
              <w:top w:val="single" w:color="000000" w:sz="8" w:space="0"/>
              <w:left w:val="single" w:color="000000" w:sz="8" w:space="0"/>
              <w:bottom w:val="single" w:color="000000" w:sz="8" w:space="0"/>
              <w:right w:val="single" w:color="000000" w:sz="8" w:space="0"/>
            </w:tcBorders>
            <w:vAlign w:val="center"/>
          </w:tcPr>
          <w:p w14:paraId="420ACD6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318A4A4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28A998A5">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28C7AC3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3107" w:type="dxa"/>
            <w:tcBorders>
              <w:top w:val="single" w:color="000000" w:sz="8" w:space="0"/>
              <w:left w:val="single" w:color="000000" w:sz="8" w:space="0"/>
              <w:bottom w:val="single" w:color="000000" w:sz="8" w:space="0"/>
              <w:right w:val="single" w:color="000000" w:sz="8" w:space="0"/>
            </w:tcBorders>
            <w:vAlign w:val="center"/>
          </w:tcPr>
          <w:p w14:paraId="3D1D0ABE">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挖掘机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ECA4B5D">
            <w:pPr>
              <w:pStyle w:val="39"/>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 .0m</w:t>
            </w:r>
            <w:r>
              <w:rPr>
                <w:rFonts w:hint="eastAsia" w:ascii="宋体" w:hAnsi="宋体" w:cs="宋体"/>
                <w:color w:val="000000" w:themeColor="text1"/>
                <w:highlight w:val="none"/>
                <w:vertAlign w:val="superscript"/>
                <w14:textFill>
                  <w14:solidFill>
                    <w14:schemeClr w14:val="tx1"/>
                  </w14:solidFill>
                </w14:textFill>
              </w:rPr>
              <w:t>3</w:t>
            </w:r>
          </w:p>
        </w:tc>
        <w:tc>
          <w:tcPr>
            <w:tcW w:w="698" w:type="dxa"/>
            <w:tcBorders>
              <w:top w:val="single" w:color="000000" w:sz="8" w:space="0"/>
              <w:left w:val="single" w:color="000000" w:sz="8" w:space="0"/>
              <w:bottom w:val="single" w:color="000000" w:sz="8" w:space="0"/>
              <w:right w:val="single" w:color="000000" w:sz="8" w:space="0"/>
            </w:tcBorders>
            <w:vAlign w:val="center"/>
          </w:tcPr>
          <w:p w14:paraId="5A27D984">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1AAF430A">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r>
      <w:tr w14:paraId="335AD48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431E4B7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3107" w:type="dxa"/>
            <w:tcBorders>
              <w:top w:val="single" w:color="000000" w:sz="8" w:space="0"/>
              <w:left w:val="single" w:color="000000" w:sz="8" w:space="0"/>
              <w:bottom w:val="single" w:color="000000" w:sz="8" w:space="0"/>
              <w:right w:val="single" w:color="000000" w:sz="8" w:space="0"/>
            </w:tcBorders>
            <w:vAlign w:val="center"/>
          </w:tcPr>
          <w:p w14:paraId="11CA3284">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推土机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55116E25">
            <w:pPr>
              <w:pStyle w:val="39"/>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≥165 kw</w:t>
            </w:r>
          </w:p>
        </w:tc>
        <w:tc>
          <w:tcPr>
            <w:tcW w:w="698" w:type="dxa"/>
            <w:tcBorders>
              <w:top w:val="single" w:color="000000" w:sz="8" w:space="0"/>
              <w:left w:val="single" w:color="000000" w:sz="8" w:space="0"/>
              <w:bottom w:val="single" w:color="000000" w:sz="8" w:space="0"/>
              <w:right w:val="single" w:color="000000" w:sz="8" w:space="0"/>
            </w:tcBorders>
            <w:vAlign w:val="center"/>
          </w:tcPr>
          <w:p w14:paraId="5EC554EF">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EA0658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25304D5F">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8DE6B2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3107" w:type="dxa"/>
            <w:tcBorders>
              <w:top w:val="single" w:color="000000" w:sz="8" w:space="0"/>
              <w:left w:val="single" w:color="000000" w:sz="8" w:space="0"/>
              <w:bottom w:val="single" w:color="000000" w:sz="8" w:space="0"/>
              <w:right w:val="single" w:color="000000" w:sz="8" w:space="0"/>
            </w:tcBorders>
            <w:vAlign w:val="center"/>
          </w:tcPr>
          <w:p w14:paraId="072D1370">
            <w:pPr>
              <w:pStyle w:val="39"/>
              <w:widowControl/>
              <w:jc w:val="center"/>
              <w:textAlignment w:val="center"/>
              <w:rPr>
                <w:rFonts w:hint="eastAsia" w:ascii="宋体" w:hAnsi="宋体" w:cs="宋体"/>
                <w:color w:val="000000" w:themeColor="text1"/>
                <w:kern w:val="2"/>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载重汽车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188EE2D7">
            <w:pPr>
              <w:pStyle w:val="39"/>
              <w:widowControl/>
              <w:spacing w:beforeAutospacing="0" w:afterAutospacing="0"/>
              <w:jc w:val="center"/>
              <w:textAlignment w:val="center"/>
              <w:rPr>
                <w:rFonts w:hint="eastAsia" w:ascii="宋体" w:hAnsi="宋体" w:cs="宋体"/>
                <w:color w:val="000000" w:themeColor="text1"/>
                <w:kern w:val="2"/>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15t 以上</w:t>
            </w:r>
          </w:p>
        </w:tc>
        <w:tc>
          <w:tcPr>
            <w:tcW w:w="698" w:type="dxa"/>
            <w:tcBorders>
              <w:top w:val="single" w:color="000000" w:sz="8" w:space="0"/>
              <w:left w:val="single" w:color="000000" w:sz="8" w:space="0"/>
              <w:bottom w:val="single" w:color="000000" w:sz="8" w:space="0"/>
              <w:right w:val="single" w:color="000000" w:sz="8" w:space="0"/>
            </w:tcBorders>
            <w:vAlign w:val="center"/>
          </w:tcPr>
          <w:p w14:paraId="589A5B4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112A449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0F000376">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9901F0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3107" w:type="dxa"/>
            <w:tcBorders>
              <w:top w:val="single" w:color="000000" w:sz="8" w:space="0"/>
              <w:left w:val="single" w:color="000000" w:sz="8" w:space="0"/>
              <w:bottom w:val="single" w:color="000000" w:sz="8" w:space="0"/>
              <w:right w:val="single" w:color="000000" w:sz="8" w:space="0"/>
            </w:tcBorders>
            <w:vAlign w:val="center"/>
          </w:tcPr>
          <w:p w14:paraId="08A4164C">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冲击钻</w:t>
            </w:r>
          </w:p>
        </w:tc>
        <w:tc>
          <w:tcPr>
            <w:tcW w:w="3666" w:type="dxa"/>
            <w:tcBorders>
              <w:top w:val="single" w:color="000000" w:sz="8" w:space="0"/>
              <w:left w:val="single" w:color="000000" w:sz="8" w:space="0"/>
              <w:bottom w:val="single" w:color="000000" w:sz="8" w:space="0"/>
              <w:right w:val="single" w:color="000000" w:sz="8" w:space="0"/>
            </w:tcBorders>
          </w:tcPr>
          <w:p w14:paraId="1BAE337D">
            <w:pPr>
              <w:jc w:val="left"/>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29E94B5A">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8B7D8F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73B73C3C">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39C6D47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3107" w:type="dxa"/>
            <w:tcBorders>
              <w:top w:val="single" w:color="000000" w:sz="8" w:space="0"/>
              <w:left w:val="single" w:color="000000" w:sz="8" w:space="0"/>
              <w:bottom w:val="single" w:color="000000" w:sz="8" w:space="0"/>
              <w:right w:val="single" w:color="000000" w:sz="8" w:space="0"/>
            </w:tcBorders>
            <w:vAlign w:val="center"/>
          </w:tcPr>
          <w:p w14:paraId="5A8EB474">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混凝土搅拌运输车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107C03CA">
            <w:pPr>
              <w:pStyle w:val="39"/>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≥6m</w:t>
            </w:r>
            <w:r>
              <w:rPr>
                <w:rFonts w:hint="eastAsia" w:ascii="宋体" w:hAnsi="宋体" w:cs="宋体"/>
                <w:color w:val="000000" w:themeColor="text1"/>
                <w:highlight w:val="none"/>
                <w:vertAlign w:val="superscript"/>
                <w14:textFill>
                  <w14:solidFill>
                    <w14:schemeClr w14:val="tx1"/>
                  </w14:solidFill>
                </w14:textFill>
              </w:rPr>
              <w:t>3</w:t>
            </w:r>
          </w:p>
        </w:tc>
        <w:tc>
          <w:tcPr>
            <w:tcW w:w="698" w:type="dxa"/>
            <w:tcBorders>
              <w:top w:val="single" w:color="000000" w:sz="8" w:space="0"/>
              <w:left w:val="single" w:color="000000" w:sz="8" w:space="0"/>
              <w:bottom w:val="single" w:color="000000" w:sz="8" w:space="0"/>
              <w:right w:val="single" w:color="000000" w:sz="8" w:space="0"/>
            </w:tcBorders>
            <w:vAlign w:val="center"/>
          </w:tcPr>
          <w:p w14:paraId="3AD02E91">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辆</w:t>
            </w:r>
          </w:p>
        </w:tc>
        <w:tc>
          <w:tcPr>
            <w:tcW w:w="1184" w:type="dxa"/>
            <w:tcBorders>
              <w:top w:val="single" w:color="000000" w:sz="8" w:space="0"/>
              <w:left w:val="single" w:color="000000" w:sz="8" w:space="0"/>
              <w:bottom w:val="single" w:color="000000" w:sz="8" w:space="0"/>
              <w:right w:val="single" w:color="000000" w:sz="12" w:space="0"/>
            </w:tcBorders>
            <w:vAlign w:val="center"/>
          </w:tcPr>
          <w:p w14:paraId="4AF0AFC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r>
      <w:tr w14:paraId="55AD885E">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24CCF8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p>
        </w:tc>
        <w:tc>
          <w:tcPr>
            <w:tcW w:w="3107" w:type="dxa"/>
            <w:tcBorders>
              <w:top w:val="single" w:color="000000" w:sz="8" w:space="0"/>
              <w:left w:val="single" w:color="000000" w:sz="8" w:space="0"/>
              <w:bottom w:val="single" w:color="000000" w:sz="8" w:space="0"/>
              <w:right w:val="single" w:color="000000" w:sz="8" w:space="0"/>
            </w:tcBorders>
            <w:vAlign w:val="center"/>
          </w:tcPr>
          <w:p w14:paraId="7A46DA47">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水泥混凝土自动计量拌合楼</w:t>
            </w:r>
          </w:p>
        </w:tc>
        <w:tc>
          <w:tcPr>
            <w:tcW w:w="3666" w:type="dxa"/>
            <w:tcBorders>
              <w:top w:val="single" w:color="000000" w:sz="8" w:space="0"/>
              <w:left w:val="single" w:color="000000" w:sz="8" w:space="0"/>
              <w:bottom w:val="single" w:color="000000" w:sz="8" w:space="0"/>
              <w:right w:val="single" w:color="000000" w:sz="8" w:space="0"/>
            </w:tcBorders>
            <w:vAlign w:val="center"/>
          </w:tcPr>
          <w:p w14:paraId="57140EB1">
            <w:pPr>
              <w:pStyle w:val="39"/>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≥120m3/h</w:t>
            </w:r>
          </w:p>
        </w:tc>
        <w:tc>
          <w:tcPr>
            <w:tcW w:w="698" w:type="dxa"/>
            <w:tcBorders>
              <w:top w:val="single" w:color="000000" w:sz="8" w:space="0"/>
              <w:left w:val="single" w:color="000000" w:sz="8" w:space="0"/>
              <w:bottom w:val="single" w:color="000000" w:sz="8" w:space="0"/>
              <w:right w:val="single" w:color="000000" w:sz="8" w:space="0"/>
            </w:tcBorders>
            <w:vAlign w:val="center"/>
          </w:tcPr>
          <w:p w14:paraId="1F6EDC98">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套</w:t>
            </w:r>
          </w:p>
        </w:tc>
        <w:tc>
          <w:tcPr>
            <w:tcW w:w="1184" w:type="dxa"/>
            <w:tcBorders>
              <w:top w:val="single" w:color="000000" w:sz="8" w:space="0"/>
              <w:left w:val="single" w:color="000000" w:sz="8" w:space="0"/>
              <w:bottom w:val="single" w:color="000000" w:sz="8" w:space="0"/>
              <w:right w:val="single" w:color="000000" w:sz="12" w:space="0"/>
            </w:tcBorders>
            <w:vAlign w:val="center"/>
          </w:tcPr>
          <w:p w14:paraId="5101F86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3C0A7449">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46D5090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3107" w:type="dxa"/>
            <w:tcBorders>
              <w:top w:val="single" w:color="000000" w:sz="8" w:space="0"/>
              <w:left w:val="single" w:color="000000" w:sz="8" w:space="0"/>
              <w:bottom w:val="single" w:color="000000" w:sz="8" w:space="0"/>
              <w:right w:val="single" w:color="000000" w:sz="8" w:space="0"/>
            </w:tcBorders>
            <w:vAlign w:val="center"/>
          </w:tcPr>
          <w:p w14:paraId="048C9079">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稳定粒料拌和设备</w:t>
            </w:r>
          </w:p>
        </w:tc>
        <w:tc>
          <w:tcPr>
            <w:tcW w:w="3666" w:type="dxa"/>
            <w:tcBorders>
              <w:top w:val="single" w:color="000000" w:sz="8" w:space="0"/>
              <w:left w:val="single" w:color="000000" w:sz="8" w:space="0"/>
              <w:bottom w:val="single" w:color="000000" w:sz="8" w:space="0"/>
              <w:right w:val="single" w:color="000000" w:sz="8" w:space="0"/>
            </w:tcBorders>
            <w:vAlign w:val="center"/>
          </w:tcPr>
          <w:p w14:paraId="428EE177">
            <w:pPr>
              <w:pStyle w:val="39"/>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≥500t/h</w:t>
            </w:r>
          </w:p>
        </w:tc>
        <w:tc>
          <w:tcPr>
            <w:tcW w:w="698" w:type="dxa"/>
            <w:tcBorders>
              <w:top w:val="single" w:color="000000" w:sz="8" w:space="0"/>
              <w:left w:val="single" w:color="000000" w:sz="8" w:space="0"/>
              <w:bottom w:val="single" w:color="000000" w:sz="8" w:space="0"/>
              <w:right w:val="single" w:color="000000" w:sz="8" w:space="0"/>
            </w:tcBorders>
            <w:vAlign w:val="center"/>
          </w:tcPr>
          <w:p w14:paraId="71DA6E48">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座</w:t>
            </w:r>
          </w:p>
        </w:tc>
        <w:tc>
          <w:tcPr>
            <w:tcW w:w="1184" w:type="dxa"/>
            <w:tcBorders>
              <w:top w:val="single" w:color="000000" w:sz="8" w:space="0"/>
              <w:left w:val="single" w:color="000000" w:sz="8" w:space="0"/>
              <w:bottom w:val="single" w:color="000000" w:sz="8" w:space="0"/>
              <w:right w:val="single" w:color="000000" w:sz="12" w:space="0"/>
            </w:tcBorders>
            <w:vAlign w:val="center"/>
          </w:tcPr>
          <w:p w14:paraId="2E4D5943">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091256F1">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D64256C">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1</w:t>
            </w:r>
          </w:p>
        </w:tc>
        <w:tc>
          <w:tcPr>
            <w:tcW w:w="3107" w:type="dxa"/>
            <w:tcBorders>
              <w:top w:val="single" w:color="000000" w:sz="8" w:space="0"/>
              <w:left w:val="single" w:color="000000" w:sz="8" w:space="0"/>
              <w:bottom w:val="single" w:color="000000" w:sz="8" w:space="0"/>
              <w:right w:val="single" w:color="000000" w:sz="8" w:space="0"/>
            </w:tcBorders>
            <w:vAlign w:val="center"/>
          </w:tcPr>
          <w:p w14:paraId="26016B00">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基层摊铺机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1FCA67B">
            <w:pPr>
              <w:pStyle w:val="39"/>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一次性摊铺宽度≥7.5m</w:t>
            </w:r>
          </w:p>
        </w:tc>
        <w:tc>
          <w:tcPr>
            <w:tcW w:w="698" w:type="dxa"/>
            <w:tcBorders>
              <w:top w:val="single" w:color="000000" w:sz="8" w:space="0"/>
              <w:left w:val="single" w:color="000000" w:sz="8" w:space="0"/>
              <w:bottom w:val="single" w:color="000000" w:sz="8" w:space="0"/>
              <w:right w:val="single" w:color="000000" w:sz="8" w:space="0"/>
            </w:tcBorders>
            <w:vAlign w:val="center"/>
          </w:tcPr>
          <w:p w14:paraId="3203BC12">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09C70544">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578426C9">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F5558F9">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2</w:t>
            </w:r>
          </w:p>
        </w:tc>
        <w:tc>
          <w:tcPr>
            <w:tcW w:w="3107" w:type="dxa"/>
            <w:tcBorders>
              <w:top w:val="single" w:color="000000" w:sz="8" w:space="0"/>
              <w:left w:val="single" w:color="000000" w:sz="8" w:space="0"/>
              <w:bottom w:val="single" w:color="000000" w:sz="8" w:space="0"/>
              <w:right w:val="single" w:color="000000" w:sz="8" w:space="0"/>
            </w:tcBorders>
            <w:vAlign w:val="center"/>
          </w:tcPr>
          <w:p w14:paraId="61A034E5">
            <w:pPr>
              <w:pStyle w:val="124"/>
              <w:jc w:val="center"/>
              <w:rPr>
                <w:rFonts w:hint="eastAsia"/>
                <w:color w:val="000000" w:themeColor="text1"/>
                <w:highlight w:val="none"/>
                <w:lang w:eastAsia="zh-CN"/>
                <w14:textFill>
                  <w14:solidFill>
                    <w14:schemeClr w14:val="tx1"/>
                  </w14:solidFill>
                </w14:textFill>
              </w:rPr>
            </w:pPr>
            <w:r>
              <w:rPr>
                <w:color w:val="000000" w:themeColor="text1"/>
                <w:spacing w:val="-5"/>
                <w:highlight w:val="none"/>
                <w14:textFill>
                  <w14:solidFill>
                    <w14:schemeClr w14:val="tx1"/>
                  </w14:solidFill>
                </w14:textFill>
              </w:rPr>
              <w:t>打桩机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3B614864">
            <w:pPr>
              <w:pStyle w:val="124"/>
              <w:jc w:val="center"/>
              <w:rPr>
                <w:rFonts w:hint="eastAsia"/>
                <w:color w:val="000000" w:themeColor="text1"/>
                <w:highlight w:val="none"/>
                <w:lang w:eastAsia="zh-CN"/>
                <w14:textFill>
                  <w14:solidFill>
                    <w14:schemeClr w14:val="tx1"/>
                  </w14:solidFill>
                </w14:textFill>
              </w:rPr>
            </w:pPr>
            <w:r>
              <w:rPr>
                <w:color w:val="000000" w:themeColor="text1"/>
                <w:spacing w:val="-4"/>
                <w:highlight w:val="none"/>
                <w14:textFill>
                  <w14:solidFill>
                    <w14:schemeClr w14:val="tx1"/>
                  </w14:solidFill>
                </w14:textFill>
              </w:rPr>
              <w:t>锤重</w:t>
            </w:r>
            <w:r>
              <w:rPr>
                <w:color w:val="000000" w:themeColor="text1"/>
                <w:spacing w:val="-42"/>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350kg</w:t>
            </w:r>
          </w:p>
        </w:tc>
        <w:tc>
          <w:tcPr>
            <w:tcW w:w="698" w:type="dxa"/>
            <w:tcBorders>
              <w:top w:val="single" w:color="000000" w:sz="8" w:space="0"/>
              <w:left w:val="single" w:color="000000" w:sz="8" w:space="0"/>
              <w:bottom w:val="single" w:color="000000" w:sz="8" w:space="0"/>
              <w:right w:val="single" w:color="000000" w:sz="8" w:space="0"/>
            </w:tcBorders>
            <w:vAlign w:val="center"/>
          </w:tcPr>
          <w:p w14:paraId="665CDAAF">
            <w:pPr>
              <w:pStyle w:val="39"/>
              <w:widowControl/>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D17FE2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5A7F4EC1">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08A57FB6">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3</w:t>
            </w:r>
          </w:p>
        </w:tc>
        <w:tc>
          <w:tcPr>
            <w:tcW w:w="3107" w:type="dxa"/>
            <w:tcBorders>
              <w:top w:val="single" w:color="000000" w:sz="8" w:space="0"/>
              <w:left w:val="single" w:color="000000" w:sz="8" w:space="0"/>
              <w:bottom w:val="single" w:color="000000" w:sz="8" w:space="0"/>
              <w:right w:val="single" w:color="000000" w:sz="8" w:space="0"/>
            </w:tcBorders>
            <w:vAlign w:val="center"/>
          </w:tcPr>
          <w:p w14:paraId="2FB21BF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吊车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6210594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12t</w:t>
            </w:r>
          </w:p>
        </w:tc>
        <w:tc>
          <w:tcPr>
            <w:tcW w:w="698" w:type="dxa"/>
            <w:tcBorders>
              <w:top w:val="single" w:color="000000" w:sz="8" w:space="0"/>
              <w:left w:val="single" w:color="000000" w:sz="8" w:space="0"/>
              <w:bottom w:val="single" w:color="000000" w:sz="8" w:space="0"/>
              <w:right w:val="single" w:color="000000" w:sz="8" w:space="0"/>
            </w:tcBorders>
            <w:vAlign w:val="center"/>
          </w:tcPr>
          <w:p w14:paraId="2EEFEE03">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20FA19F3">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0EB558F9">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AA4A80C">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4</w:t>
            </w:r>
          </w:p>
        </w:tc>
        <w:tc>
          <w:tcPr>
            <w:tcW w:w="3107" w:type="dxa"/>
            <w:tcBorders>
              <w:top w:val="single" w:color="000000" w:sz="8" w:space="0"/>
              <w:left w:val="single" w:color="000000" w:sz="8" w:space="0"/>
              <w:bottom w:val="single" w:color="000000" w:sz="8" w:space="0"/>
              <w:right w:val="single" w:color="000000" w:sz="8" w:space="0"/>
            </w:tcBorders>
            <w:vAlign w:val="center"/>
          </w:tcPr>
          <w:p w14:paraId="5A1CA78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放线设备</w:t>
            </w:r>
          </w:p>
        </w:tc>
        <w:tc>
          <w:tcPr>
            <w:tcW w:w="3666" w:type="dxa"/>
            <w:tcBorders>
              <w:top w:val="single" w:color="000000" w:sz="8" w:space="0"/>
              <w:left w:val="single" w:color="000000" w:sz="8" w:space="0"/>
              <w:bottom w:val="single" w:color="000000" w:sz="8" w:space="0"/>
              <w:right w:val="single" w:color="000000" w:sz="8" w:space="0"/>
            </w:tcBorders>
            <w:vAlign w:val="center"/>
          </w:tcPr>
          <w:p w14:paraId="3BDC0B27">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08336068">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1A71B6D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1D328D31">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4853A65">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5</w:t>
            </w:r>
          </w:p>
        </w:tc>
        <w:tc>
          <w:tcPr>
            <w:tcW w:w="3107" w:type="dxa"/>
            <w:tcBorders>
              <w:top w:val="single" w:color="000000" w:sz="8" w:space="0"/>
              <w:left w:val="single" w:color="000000" w:sz="8" w:space="0"/>
              <w:bottom w:val="single" w:color="000000" w:sz="8" w:space="0"/>
              <w:right w:val="single" w:color="000000" w:sz="8" w:space="0"/>
            </w:tcBorders>
            <w:vAlign w:val="center"/>
          </w:tcPr>
          <w:p w14:paraId="317EA146">
            <w:pPr>
              <w:pStyle w:val="39"/>
              <w:widowControl/>
              <w:spacing w:beforeAutospacing="0" w:afterAutospacing="0"/>
              <w:jc w:val="center"/>
              <w:textAlignment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highlight w:val="none"/>
                <w14:textFill>
                  <w14:solidFill>
                    <w14:schemeClr w14:val="tx1"/>
                  </w14:solidFill>
                </w14:textFill>
              </w:rPr>
              <w:t>热熔釜</w:t>
            </w:r>
          </w:p>
        </w:tc>
        <w:tc>
          <w:tcPr>
            <w:tcW w:w="3666" w:type="dxa"/>
            <w:tcBorders>
              <w:top w:val="single" w:color="000000" w:sz="8" w:space="0"/>
              <w:left w:val="single" w:color="000000" w:sz="8" w:space="0"/>
              <w:bottom w:val="single" w:color="000000" w:sz="8" w:space="0"/>
              <w:right w:val="single" w:color="000000" w:sz="8" w:space="0"/>
            </w:tcBorders>
            <w:vAlign w:val="center"/>
          </w:tcPr>
          <w:p w14:paraId="0FB34FBC">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63ADF15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2370AE9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09892F74">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F562936">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6</w:t>
            </w:r>
          </w:p>
        </w:tc>
        <w:tc>
          <w:tcPr>
            <w:tcW w:w="3107" w:type="dxa"/>
            <w:tcBorders>
              <w:top w:val="single" w:color="000000" w:sz="8" w:space="0"/>
              <w:left w:val="single" w:color="000000" w:sz="8" w:space="0"/>
              <w:bottom w:val="single" w:color="000000" w:sz="8" w:space="0"/>
              <w:right w:val="single" w:color="000000" w:sz="8" w:space="0"/>
            </w:tcBorders>
            <w:vAlign w:val="center"/>
          </w:tcPr>
          <w:p w14:paraId="7DC95BD1">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自行式热溶划线机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355CBB7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25LW</w:t>
            </w:r>
          </w:p>
        </w:tc>
        <w:tc>
          <w:tcPr>
            <w:tcW w:w="698" w:type="dxa"/>
            <w:tcBorders>
              <w:top w:val="single" w:color="000000" w:sz="8" w:space="0"/>
              <w:left w:val="single" w:color="000000" w:sz="8" w:space="0"/>
              <w:bottom w:val="single" w:color="000000" w:sz="8" w:space="0"/>
              <w:right w:val="single" w:color="000000" w:sz="8" w:space="0"/>
            </w:tcBorders>
            <w:vAlign w:val="center"/>
          </w:tcPr>
          <w:p w14:paraId="28F7DCB8">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15424A3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73375441">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C3708D7">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7</w:t>
            </w:r>
          </w:p>
        </w:tc>
        <w:tc>
          <w:tcPr>
            <w:tcW w:w="3107" w:type="dxa"/>
            <w:tcBorders>
              <w:top w:val="single" w:color="000000" w:sz="8" w:space="0"/>
              <w:left w:val="single" w:color="000000" w:sz="8" w:space="0"/>
              <w:bottom w:val="single" w:color="000000" w:sz="8" w:space="0"/>
              <w:right w:val="single" w:color="000000" w:sz="8" w:space="0"/>
            </w:tcBorders>
            <w:vAlign w:val="center"/>
          </w:tcPr>
          <w:p w14:paraId="351C354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底漆高压喷涂机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25B79E08">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319E357D">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0DC1469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268F0D57">
        <w:tblPrEx>
          <w:tblCellMar>
            <w:top w:w="0" w:type="dxa"/>
            <w:left w:w="0" w:type="dxa"/>
            <w:bottom w:w="0" w:type="dxa"/>
            <w:right w:w="0" w:type="dxa"/>
          </w:tblCellMar>
        </w:tblPrEx>
        <w:trPr>
          <w:trHeight w:val="537"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E8BDA84">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8</w:t>
            </w:r>
          </w:p>
        </w:tc>
        <w:tc>
          <w:tcPr>
            <w:tcW w:w="3107" w:type="dxa"/>
            <w:tcBorders>
              <w:top w:val="single" w:color="000000" w:sz="8" w:space="0"/>
              <w:left w:val="single" w:color="000000" w:sz="8" w:space="0"/>
              <w:bottom w:val="single" w:color="000000" w:sz="8" w:space="0"/>
              <w:right w:val="single" w:color="000000" w:sz="8" w:space="0"/>
            </w:tcBorders>
            <w:vAlign w:val="center"/>
          </w:tcPr>
          <w:p w14:paraId="5D43BCB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回旋钻</w:t>
            </w:r>
          </w:p>
        </w:tc>
        <w:tc>
          <w:tcPr>
            <w:tcW w:w="3666" w:type="dxa"/>
            <w:tcBorders>
              <w:top w:val="single" w:color="000000" w:sz="8" w:space="0"/>
              <w:left w:val="single" w:color="000000" w:sz="8" w:space="0"/>
              <w:bottom w:val="single" w:color="000000" w:sz="8" w:space="0"/>
              <w:right w:val="single" w:color="000000" w:sz="8" w:space="0"/>
            </w:tcBorders>
            <w:vAlign w:val="center"/>
          </w:tcPr>
          <w:p w14:paraId="5DC2F103">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79A4B30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3DFFF9F4">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r w14:paraId="5C7E58A1">
        <w:tblPrEx>
          <w:tblCellMar>
            <w:top w:w="0" w:type="dxa"/>
            <w:left w:w="0" w:type="dxa"/>
            <w:bottom w:w="0" w:type="dxa"/>
            <w:right w:w="0" w:type="dxa"/>
          </w:tblCellMar>
        </w:tblPrEx>
        <w:trPr>
          <w:trHeight w:val="537"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09A79B4">
            <w:pPr>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19</w:t>
            </w:r>
          </w:p>
        </w:tc>
        <w:tc>
          <w:tcPr>
            <w:tcW w:w="3107" w:type="dxa"/>
            <w:tcBorders>
              <w:top w:val="single" w:color="000000" w:sz="8" w:space="0"/>
              <w:left w:val="single" w:color="000000" w:sz="8" w:space="0"/>
              <w:bottom w:val="single" w:color="000000" w:sz="8" w:space="0"/>
              <w:right w:val="single" w:color="000000" w:sz="8" w:space="0"/>
            </w:tcBorders>
            <w:vAlign w:val="center"/>
          </w:tcPr>
          <w:p w14:paraId="7C4916D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旋挖钻</w:t>
            </w:r>
          </w:p>
        </w:tc>
        <w:tc>
          <w:tcPr>
            <w:tcW w:w="3666" w:type="dxa"/>
            <w:tcBorders>
              <w:top w:val="single" w:color="000000" w:sz="8" w:space="0"/>
              <w:left w:val="single" w:color="000000" w:sz="8" w:space="0"/>
              <w:bottom w:val="single" w:color="000000" w:sz="8" w:space="0"/>
              <w:right w:val="single" w:color="000000" w:sz="8" w:space="0"/>
            </w:tcBorders>
            <w:vAlign w:val="center"/>
          </w:tcPr>
          <w:p w14:paraId="425F60AD">
            <w:pPr>
              <w:jc w:val="center"/>
              <w:rPr>
                <w:rFonts w:hint="eastAsia" w:ascii="宋体" w:hAnsi="宋体" w:cs="宋体"/>
                <w:color w:val="000000" w:themeColor="text1"/>
                <w:sz w:val="24"/>
                <w:highlight w:val="none"/>
                <w14:textFill>
                  <w14:solidFill>
                    <w14:schemeClr w14:val="tx1"/>
                  </w14:solidFill>
                </w14:textFill>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0B9989F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3306D77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r>
    </w:tbl>
    <w:p w14:paraId="6A9B11CE">
      <w:pPr>
        <w:spacing w:line="360" w:lineRule="auto"/>
        <w:ind w:left="240"/>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注：</w:t>
      </w:r>
    </w:p>
    <w:p w14:paraId="07F66BD8">
      <w:pPr>
        <w:spacing w:line="360" w:lineRule="auto"/>
        <w:ind w:left="240"/>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1、投标人须按投标文件投标函的格式承诺。</w:t>
      </w:r>
    </w:p>
    <w:p w14:paraId="43494D24">
      <w:pPr>
        <w:widowControl/>
        <w:kinsoku w:val="0"/>
        <w:autoSpaceDE w:val="0"/>
        <w:autoSpaceDN w:val="0"/>
        <w:adjustRightInd w:val="0"/>
        <w:snapToGrid w:val="0"/>
        <w:spacing w:before="78" w:line="360" w:lineRule="auto"/>
        <w:ind w:firstLine="210" w:firstLineChars="100"/>
        <w:jc w:val="left"/>
        <w:textAlignment w:val="baseline"/>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2、招标人有权根据标段的工程特点、工程量及工程进度情况要求增加或调整相应的施工设备。</w:t>
      </w:r>
    </w:p>
    <w:p w14:paraId="32EC1608">
      <w:pPr>
        <w:widowControl/>
        <w:kinsoku w:val="0"/>
        <w:autoSpaceDE w:val="0"/>
        <w:autoSpaceDN w:val="0"/>
        <w:adjustRightInd w:val="0"/>
        <w:snapToGrid w:val="0"/>
        <w:spacing w:before="78" w:line="220" w:lineRule="auto"/>
        <w:ind w:left="835"/>
        <w:jc w:val="left"/>
        <w:textAlignment w:val="baseline"/>
        <w:rPr>
          <w:rStyle w:val="57"/>
          <w:color w:val="000000" w:themeColor="text1"/>
          <w:highlight w:val="none"/>
          <w14:textFill>
            <w14:solidFill>
              <w14:schemeClr w14:val="tx1"/>
            </w14:solidFill>
          </w14:textFill>
        </w:rPr>
      </w:pPr>
    </w:p>
    <w:p w14:paraId="59F2C92B">
      <w:pPr>
        <w:widowControl/>
        <w:kinsoku w:val="0"/>
        <w:autoSpaceDE w:val="0"/>
        <w:autoSpaceDN w:val="0"/>
        <w:adjustRightInd w:val="0"/>
        <w:snapToGrid w:val="0"/>
        <w:spacing w:before="78" w:line="220" w:lineRule="auto"/>
        <w:ind w:left="835"/>
        <w:jc w:val="left"/>
        <w:textAlignment w:val="baseline"/>
        <w:rPr>
          <w:rStyle w:val="57"/>
          <w:color w:val="000000" w:themeColor="text1"/>
          <w:highlight w:val="none"/>
          <w14:textFill>
            <w14:solidFill>
              <w14:schemeClr w14:val="tx1"/>
            </w14:solidFill>
          </w14:textFill>
        </w:rPr>
      </w:pPr>
    </w:p>
    <w:p w14:paraId="6C4BB8E7">
      <w:pPr>
        <w:pStyle w:val="5"/>
        <w:rPr>
          <w:color w:val="000000" w:themeColor="text1"/>
          <w:highlight w:val="none"/>
          <w14:textFill>
            <w14:solidFill>
              <w14:schemeClr w14:val="tx1"/>
            </w14:solidFill>
          </w14:textFill>
        </w:rPr>
      </w:pPr>
      <w:bookmarkStart w:id="24" w:name="_Toc2352"/>
      <w:r>
        <w:rPr>
          <w:color w:val="000000" w:themeColor="text1"/>
          <w:highlight w:val="none"/>
          <w14:textFill>
            <w14:solidFill>
              <w14:schemeClr w14:val="tx1"/>
            </w14:solidFill>
          </w14:textFill>
        </w:rPr>
        <w:t>1. 总则</w:t>
      </w:r>
      <w:bookmarkEnd w:id="24"/>
    </w:p>
    <w:p w14:paraId="5D387618">
      <w:pPr>
        <w:pStyle w:val="6"/>
        <w:spacing w:before="168" w:after="120"/>
        <w:rPr>
          <w:color w:val="000000" w:themeColor="text1"/>
          <w:highlight w:val="none"/>
          <w14:textFill>
            <w14:solidFill>
              <w14:schemeClr w14:val="tx1"/>
            </w14:solidFill>
          </w14:textFill>
        </w:rPr>
      </w:pPr>
      <w:bookmarkStart w:id="25" w:name="_Toc31786"/>
      <w:r>
        <w:rPr>
          <w:color w:val="000000" w:themeColor="text1"/>
          <w:highlight w:val="none"/>
          <w14:textFill>
            <w14:solidFill>
              <w14:schemeClr w14:val="tx1"/>
            </w14:solidFill>
          </w14:textFill>
        </w:rPr>
        <w:t>1.1 项目概况</w:t>
      </w:r>
      <w:bookmarkEnd w:id="25"/>
    </w:p>
    <w:p w14:paraId="006934FA">
      <w:pPr>
        <w:widowControl/>
        <w:kinsoku w:val="0"/>
        <w:autoSpaceDE w:val="0"/>
        <w:autoSpaceDN w:val="0"/>
        <w:adjustRightInd w:val="0"/>
        <w:snapToGrid w:val="0"/>
        <w:spacing w:before="182" w:line="360" w:lineRule="auto"/>
        <w:ind w:left="9" w:firstLine="496"/>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1.1.1 根据《中华人民共和国招标投标法》《中华人民共和</w:t>
      </w:r>
      <w:r>
        <w:rPr>
          <w:rFonts w:ascii="宋体" w:hAnsi="宋体" w:cs="宋体"/>
          <w:snapToGrid w:val="0"/>
          <w:color w:val="000000" w:themeColor="text1"/>
          <w:spacing w:val="-6"/>
          <w:kern w:val="0"/>
          <w:sz w:val="24"/>
          <w:highlight w:val="none"/>
          <w14:textFill>
            <w14:solidFill>
              <w14:schemeClr w14:val="tx1"/>
            </w14:solidFill>
          </w14:textFill>
        </w:rPr>
        <w:t>国招标投标法实施条例》</w:t>
      </w:r>
      <w:r>
        <w:rPr>
          <w:rFonts w:ascii="宋体" w:hAnsi="宋体" w:cs="宋体"/>
          <w:snapToGrid w:val="0"/>
          <w:color w:val="000000" w:themeColor="text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《广东省实施&lt;中华人民共和国招标投标法&gt;办法》《公路工程建设项目招标投标管理办法》等有关法律、法规和规章的规定，本招标项目已具备招标条件，现对本标段施工进</w:t>
      </w:r>
      <w:r>
        <w:rPr>
          <w:rFonts w:ascii="宋体" w:hAnsi="宋体" w:cs="宋体"/>
          <w:snapToGrid w:val="0"/>
          <w:color w:val="000000" w:themeColor="text1"/>
          <w:spacing w:val="-3"/>
          <w:kern w:val="0"/>
          <w:sz w:val="24"/>
          <w:highlight w:val="none"/>
          <w14:textFill>
            <w14:solidFill>
              <w14:schemeClr w14:val="tx1"/>
            </w14:solidFill>
          </w14:textFill>
        </w:rPr>
        <w:t>行招标。</w:t>
      </w:r>
    </w:p>
    <w:p w14:paraId="11419A88">
      <w:pPr>
        <w:widowControl/>
        <w:kinsoku w:val="0"/>
        <w:autoSpaceDE w:val="0"/>
        <w:autoSpaceDN w:val="0"/>
        <w:adjustRightInd w:val="0"/>
        <w:snapToGrid w:val="0"/>
        <w:spacing w:line="218"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 本招标项目招标人：见投标人须知</w:t>
      </w:r>
      <w:r>
        <w:rPr>
          <w:rFonts w:ascii="宋体" w:hAnsi="宋体" w:cs="宋体"/>
          <w:snapToGrid w:val="0"/>
          <w:color w:val="000000" w:themeColor="text1"/>
          <w:spacing w:val="-2"/>
          <w:kern w:val="0"/>
          <w:sz w:val="24"/>
          <w:highlight w:val="none"/>
          <w14:textFill>
            <w14:solidFill>
              <w14:schemeClr w14:val="tx1"/>
            </w14:solidFill>
          </w14:textFill>
        </w:rPr>
        <w:t>前附表。</w:t>
      </w:r>
    </w:p>
    <w:p w14:paraId="6F50F03C">
      <w:pPr>
        <w:widowControl/>
        <w:kinsoku w:val="0"/>
        <w:autoSpaceDE w:val="0"/>
        <w:autoSpaceDN w:val="0"/>
        <w:adjustRightInd w:val="0"/>
        <w:snapToGrid w:val="0"/>
        <w:spacing w:before="184"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1.1.3 本标段招标代理机构：见投标人须知前</w:t>
      </w:r>
      <w:r>
        <w:rPr>
          <w:rFonts w:ascii="宋体" w:hAnsi="宋体" w:cs="宋体"/>
          <w:snapToGrid w:val="0"/>
          <w:color w:val="000000" w:themeColor="text1"/>
          <w:spacing w:val="-2"/>
          <w:kern w:val="0"/>
          <w:sz w:val="24"/>
          <w:highlight w:val="none"/>
          <w14:textFill>
            <w14:solidFill>
              <w14:schemeClr w14:val="tx1"/>
            </w14:solidFill>
          </w14:textFill>
        </w:rPr>
        <w:t>附表。</w:t>
      </w:r>
    </w:p>
    <w:p w14:paraId="3DE2249F">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1.1.4 本招标项目名称：见投标人须</w:t>
      </w:r>
      <w:r>
        <w:rPr>
          <w:rFonts w:ascii="宋体" w:hAnsi="宋体" w:cs="宋体"/>
          <w:snapToGrid w:val="0"/>
          <w:color w:val="000000" w:themeColor="text1"/>
          <w:spacing w:val="-2"/>
          <w:kern w:val="0"/>
          <w:sz w:val="24"/>
          <w:highlight w:val="none"/>
          <w14:textFill>
            <w14:solidFill>
              <w14:schemeClr w14:val="tx1"/>
            </w14:solidFill>
          </w14:textFill>
        </w:rPr>
        <w:t>知前附表。</w:t>
      </w:r>
    </w:p>
    <w:p w14:paraId="4F5CF86C">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1.1.5 本标段建设地点：见投标人须</w:t>
      </w:r>
      <w:r>
        <w:rPr>
          <w:rFonts w:ascii="宋体" w:hAnsi="宋体" w:cs="宋体"/>
          <w:snapToGrid w:val="0"/>
          <w:color w:val="000000" w:themeColor="text1"/>
          <w:spacing w:val="-2"/>
          <w:kern w:val="0"/>
          <w:sz w:val="24"/>
          <w:highlight w:val="none"/>
          <w14:textFill>
            <w14:solidFill>
              <w14:schemeClr w14:val="tx1"/>
            </w14:solidFill>
          </w14:textFill>
        </w:rPr>
        <w:t>知前附表。</w:t>
      </w:r>
    </w:p>
    <w:p w14:paraId="2195ACF6">
      <w:pPr>
        <w:pStyle w:val="6"/>
        <w:spacing w:before="168" w:after="120"/>
        <w:rPr>
          <w:color w:val="000000" w:themeColor="text1"/>
          <w:highlight w:val="none"/>
          <w14:textFill>
            <w14:solidFill>
              <w14:schemeClr w14:val="tx1"/>
            </w14:solidFill>
          </w14:textFill>
        </w:rPr>
      </w:pPr>
      <w:bookmarkStart w:id="26" w:name="_Toc19208"/>
      <w:r>
        <w:rPr>
          <w:color w:val="000000" w:themeColor="text1"/>
          <w:highlight w:val="none"/>
          <w14:textFill>
            <w14:solidFill>
              <w14:schemeClr w14:val="tx1"/>
            </w14:solidFill>
          </w14:textFill>
        </w:rPr>
        <w:t>1.2 招标项目的资金来源和落实情况</w:t>
      </w:r>
      <w:bookmarkEnd w:id="26"/>
    </w:p>
    <w:p w14:paraId="3E4353DC">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1.2.1 资金来源及比例：见投标人须</w:t>
      </w:r>
      <w:r>
        <w:rPr>
          <w:rFonts w:ascii="宋体" w:hAnsi="宋体" w:cs="宋体"/>
          <w:snapToGrid w:val="0"/>
          <w:color w:val="000000" w:themeColor="text1"/>
          <w:spacing w:val="-2"/>
          <w:kern w:val="0"/>
          <w:sz w:val="24"/>
          <w:highlight w:val="none"/>
          <w14:textFill>
            <w14:solidFill>
              <w14:schemeClr w14:val="tx1"/>
            </w14:solidFill>
          </w14:textFill>
        </w:rPr>
        <w:t>知前附表。</w:t>
      </w:r>
    </w:p>
    <w:p w14:paraId="7E4ECCBD">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1.2.2 资金落实情况：见投标人须知前附表。</w:t>
      </w:r>
    </w:p>
    <w:p w14:paraId="171DFAB2">
      <w:pPr>
        <w:pStyle w:val="6"/>
        <w:spacing w:before="168" w:after="120"/>
        <w:rPr>
          <w:color w:val="000000" w:themeColor="text1"/>
          <w:highlight w:val="none"/>
          <w14:textFill>
            <w14:solidFill>
              <w14:schemeClr w14:val="tx1"/>
            </w14:solidFill>
          </w14:textFill>
        </w:rPr>
      </w:pPr>
      <w:bookmarkStart w:id="27" w:name="_Toc29305"/>
      <w:r>
        <w:rPr>
          <w:color w:val="000000" w:themeColor="text1"/>
          <w:highlight w:val="none"/>
          <w14:textFill>
            <w14:solidFill>
              <w14:schemeClr w14:val="tx1"/>
            </w14:solidFill>
          </w14:textFill>
        </w:rPr>
        <w:t>1.3 招标范围、计划工期、质量要求和安全目标</w:t>
      </w:r>
      <w:bookmarkEnd w:id="27"/>
    </w:p>
    <w:p w14:paraId="7BBE596F">
      <w:pPr>
        <w:widowControl/>
        <w:kinsoku w:val="0"/>
        <w:autoSpaceDE w:val="0"/>
        <w:autoSpaceDN w:val="0"/>
        <w:adjustRightInd w:val="0"/>
        <w:snapToGrid w:val="0"/>
        <w:spacing w:before="181"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1.3.1 招标范围：见投标人须知前附表。</w:t>
      </w:r>
    </w:p>
    <w:p w14:paraId="780F013C">
      <w:pPr>
        <w:widowControl/>
        <w:kinsoku w:val="0"/>
        <w:autoSpaceDE w:val="0"/>
        <w:autoSpaceDN w:val="0"/>
        <w:adjustRightInd w:val="0"/>
        <w:snapToGrid w:val="0"/>
        <w:spacing w:before="184"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1.3.2 本标段的计划工期：见投标人须知</w:t>
      </w:r>
      <w:r>
        <w:rPr>
          <w:rFonts w:ascii="宋体" w:hAnsi="宋体" w:cs="宋体"/>
          <w:snapToGrid w:val="0"/>
          <w:color w:val="000000" w:themeColor="text1"/>
          <w:spacing w:val="-2"/>
          <w:kern w:val="0"/>
          <w:sz w:val="24"/>
          <w:highlight w:val="none"/>
          <w14:textFill>
            <w14:solidFill>
              <w14:schemeClr w14:val="tx1"/>
            </w14:solidFill>
          </w14:textFill>
        </w:rPr>
        <w:t>前附表。</w:t>
      </w:r>
    </w:p>
    <w:p w14:paraId="7F3FFB10">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1.3.3 本标段的质量要求：见投标人须知</w:t>
      </w:r>
      <w:r>
        <w:rPr>
          <w:rFonts w:ascii="宋体" w:hAnsi="宋体" w:cs="宋体"/>
          <w:snapToGrid w:val="0"/>
          <w:color w:val="000000" w:themeColor="text1"/>
          <w:spacing w:val="-2"/>
          <w:kern w:val="0"/>
          <w:sz w:val="24"/>
          <w:highlight w:val="none"/>
          <w14:textFill>
            <w14:solidFill>
              <w14:schemeClr w14:val="tx1"/>
            </w14:solidFill>
          </w14:textFill>
        </w:rPr>
        <w:t>前附表。</w:t>
      </w:r>
    </w:p>
    <w:p w14:paraId="359E88F5">
      <w:pPr>
        <w:widowControl/>
        <w:kinsoku w:val="0"/>
        <w:autoSpaceDE w:val="0"/>
        <w:autoSpaceDN w:val="0"/>
        <w:adjustRightInd w:val="0"/>
        <w:snapToGrid w:val="0"/>
        <w:spacing w:before="183" w:line="219"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1.3.4 本标段的安全目标：见投标人须知</w:t>
      </w:r>
      <w:r>
        <w:rPr>
          <w:rFonts w:ascii="宋体" w:hAnsi="宋体" w:cs="宋体"/>
          <w:snapToGrid w:val="0"/>
          <w:color w:val="000000" w:themeColor="text1"/>
          <w:spacing w:val="-2"/>
          <w:kern w:val="0"/>
          <w:sz w:val="24"/>
          <w:highlight w:val="none"/>
          <w14:textFill>
            <w14:solidFill>
              <w14:schemeClr w14:val="tx1"/>
            </w14:solidFill>
          </w14:textFill>
        </w:rPr>
        <w:t>前附表。</w:t>
      </w:r>
    </w:p>
    <w:p w14:paraId="309998BA">
      <w:pPr>
        <w:pStyle w:val="6"/>
        <w:spacing w:before="168" w:after="120"/>
        <w:rPr>
          <w:color w:val="000000" w:themeColor="text1"/>
          <w:highlight w:val="none"/>
          <w14:textFill>
            <w14:solidFill>
              <w14:schemeClr w14:val="tx1"/>
            </w14:solidFill>
          </w14:textFill>
        </w:rPr>
      </w:pPr>
      <w:bookmarkStart w:id="28" w:name="_Toc23988"/>
      <w:r>
        <w:rPr>
          <w:color w:val="000000" w:themeColor="text1"/>
          <w:highlight w:val="none"/>
          <w14:textFill>
            <w14:solidFill>
              <w14:schemeClr w14:val="tx1"/>
            </w14:solidFill>
          </w14:textFill>
        </w:rPr>
        <w:t>1.4 投标人资格要求</w:t>
      </w:r>
      <w:bookmarkEnd w:id="28"/>
    </w:p>
    <w:p w14:paraId="46D043A9">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1.4.1 投标人应具备承担本标段施工的资质条件、能力和信誉。</w:t>
      </w:r>
    </w:p>
    <w:p w14:paraId="7E0A737C">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（1）资质要求：见投标人须知前附表；</w:t>
      </w:r>
    </w:p>
    <w:p w14:paraId="29CA611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（2）财务要求：见投标人须知前附表；</w:t>
      </w:r>
    </w:p>
    <w:p w14:paraId="696A05C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（3）业绩要求：见投标人须知前附表；</w:t>
      </w:r>
    </w:p>
    <w:p w14:paraId="59D1D3DB">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（4）信誉要求：见投标人须知前附表；</w:t>
      </w:r>
    </w:p>
    <w:p w14:paraId="2BE052BB">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（5）项目经理和项目总工等主要管理人员资格：见投标人须知前附表；</w:t>
      </w:r>
    </w:p>
    <w:p w14:paraId="23126E34">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（6）其他要求：见投标人须知前附表。</w:t>
      </w:r>
    </w:p>
    <w:p w14:paraId="02A3887B">
      <w:pPr>
        <w:widowControl/>
        <w:kinsoku w:val="0"/>
        <w:autoSpaceDE w:val="0"/>
        <w:autoSpaceDN w:val="0"/>
        <w:adjustRightInd w:val="0"/>
        <w:snapToGrid w:val="0"/>
        <w:spacing w:line="360" w:lineRule="auto"/>
        <w:ind w:left="501"/>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需要提交的相关证明材料见本章第</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3.5</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款的</w:t>
      </w:r>
      <w:r>
        <w:rPr>
          <w:rFonts w:ascii="宋体" w:hAnsi="宋体" w:cs="宋体"/>
          <w:snapToGrid w:val="0"/>
          <w:color w:val="000000" w:themeColor="text1"/>
          <w:spacing w:val="-3"/>
          <w:kern w:val="0"/>
          <w:sz w:val="24"/>
          <w:highlight w:val="none"/>
          <w14:textFill>
            <w14:solidFill>
              <w14:schemeClr w14:val="tx1"/>
            </w14:solidFill>
          </w14:textFill>
        </w:rPr>
        <w:t>规定。</w:t>
      </w:r>
    </w:p>
    <w:p w14:paraId="0AB3B096">
      <w:pPr>
        <w:widowControl/>
        <w:kinsoku w:val="0"/>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1.4.2 投标人须知前附表规定接受联合体投标的，联合体除应符合本章第 1.4.1 项和投标人须知前附表的要求外，还应遵守以下规定：</w:t>
      </w:r>
    </w:p>
    <w:p w14:paraId="7CDE7A3E">
      <w:pPr>
        <w:widowControl/>
        <w:kinsoku w:val="0"/>
        <w:autoSpaceDE w:val="0"/>
        <w:autoSpaceDN w:val="0"/>
        <w:adjustRightInd w:val="0"/>
        <w:snapToGrid w:val="0"/>
        <w:spacing w:line="360" w:lineRule="auto"/>
        <w:ind w:firstLine="484" w:firstLineChars="200"/>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（1）联合体各方应按招标文件提供的格式签订联合体协议书，明确联合体牵头人</w:t>
      </w:r>
      <w:r>
        <w:rPr>
          <w:rFonts w:ascii="宋体" w:hAnsi="宋体" w:cs="宋体"/>
          <w:snapToGrid w:val="0"/>
          <w:color w:val="000000" w:themeColor="text1"/>
          <w:spacing w:val="-1"/>
          <w:kern w:val="0"/>
          <w:sz w:val="24"/>
          <w:highlight w:val="none"/>
          <w14:textFill>
            <w14:solidFill>
              <w14:schemeClr w14:val="tx1"/>
            </w14:solidFill>
          </w14:textFill>
        </w:rPr>
        <w:t>和各方权利义务，并承诺就中标项目向招标人承担连带责任；</w:t>
      </w:r>
    </w:p>
    <w:p w14:paraId="723E4A3F">
      <w:pPr>
        <w:widowControl/>
        <w:kinsoku w:val="0"/>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（2）由同一专业的单位组成的联合体，按照资质等级较低的单位确定资质等级；</w:t>
      </w:r>
    </w:p>
    <w:p w14:paraId="41EC968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（3）联合体各方不得再以自己名义单独或参加其他联合体在同一标段中投标；</w:t>
      </w:r>
    </w:p>
    <w:p w14:paraId="3A48DE2D">
      <w:pPr>
        <w:widowControl/>
        <w:kinsoku w:val="0"/>
        <w:autoSpaceDE w:val="0"/>
        <w:autoSpaceDN w:val="0"/>
        <w:adjustRightInd w:val="0"/>
        <w:snapToGrid w:val="0"/>
        <w:spacing w:line="360" w:lineRule="auto"/>
        <w:ind w:left="10" w:right="1" w:firstLine="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（4）联合体各方应分别按照本招标文件的要求，填写投标文件中的相应表格，并</w:t>
      </w:r>
      <w:r>
        <w:rPr>
          <w:rFonts w:ascii="宋体" w:hAnsi="宋体" w:cs="宋体"/>
          <w:snapToGrid w:val="0"/>
          <w:color w:val="000000" w:themeColor="text1"/>
          <w:spacing w:val="-2"/>
          <w:kern w:val="0"/>
          <w:sz w:val="24"/>
          <w:highlight w:val="none"/>
          <w14:textFill>
            <w14:solidFill>
              <w14:schemeClr w14:val="tx1"/>
            </w14:solidFill>
          </w14:textFill>
        </w:rPr>
        <w:t>由联合体牵头人负责对联合体各成员的资料进行统一汇总后一并提交给招标人；联合体</w:t>
      </w:r>
      <w:r>
        <w:rPr>
          <w:rFonts w:ascii="宋体" w:hAnsi="宋体" w:cs="宋体"/>
          <w:snapToGrid w:val="0"/>
          <w:color w:val="000000" w:themeColor="text1"/>
          <w:spacing w:val="-1"/>
          <w:kern w:val="0"/>
          <w:sz w:val="24"/>
          <w:highlight w:val="none"/>
          <w14:textFill>
            <w14:solidFill>
              <w14:schemeClr w14:val="tx1"/>
            </w14:solidFill>
          </w14:textFill>
        </w:rPr>
        <w:t>牵头人所提交的投标文件应认为已代表了联合体各成员的真实情况；</w:t>
      </w:r>
    </w:p>
    <w:p w14:paraId="555804AF">
      <w:pPr>
        <w:widowControl/>
        <w:kinsoku w:val="0"/>
        <w:autoSpaceDE w:val="0"/>
        <w:autoSpaceDN w:val="0"/>
        <w:adjustRightInd w:val="0"/>
        <w:snapToGrid w:val="0"/>
        <w:spacing w:line="360" w:lineRule="auto"/>
        <w:ind w:left="9" w:right="1" w:firstLine="490"/>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（5）联合体各成员在投标、签订合同与履行合同过程中，仍负有连带的和各自的</w:t>
      </w:r>
      <w:r>
        <w:rPr>
          <w:rFonts w:ascii="宋体" w:hAnsi="宋体" w:cs="宋体"/>
          <w:snapToGrid w:val="0"/>
          <w:color w:val="000000" w:themeColor="text1"/>
          <w:spacing w:val="-3"/>
          <w:kern w:val="0"/>
          <w:sz w:val="24"/>
          <w:highlight w:val="none"/>
          <w14:textFill>
            <w14:solidFill>
              <w14:schemeClr w14:val="tx1"/>
            </w14:solidFill>
          </w14:textFill>
        </w:rPr>
        <w:t>法律责任。</w:t>
      </w:r>
    </w:p>
    <w:p w14:paraId="7449BD69">
      <w:pPr>
        <w:widowControl/>
        <w:kinsoku w:val="0"/>
        <w:autoSpaceDE w:val="0"/>
        <w:autoSpaceDN w:val="0"/>
        <w:adjustRightInd w:val="0"/>
        <w:snapToGrid w:val="0"/>
        <w:spacing w:line="360" w:lineRule="auto"/>
        <w:ind w:left="9" w:right="1"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1.4.3 投标人（包括联合体各成员）不得与本标段相关单位存在下列关联关系：</w:t>
      </w:r>
    </w:p>
    <w:p w14:paraId="42EBFC2B">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（1）为招标人不具有独立法人资格的附属机构（单位</w:t>
      </w:r>
      <w:r>
        <w:rPr>
          <w:rFonts w:ascii="宋体" w:hAnsi="宋体" w:cs="宋体"/>
          <w:snapToGrid w:val="0"/>
          <w:color w:val="000000" w:themeColor="text1"/>
          <w:spacing w:val="1"/>
          <w:kern w:val="0"/>
          <w:sz w:val="24"/>
          <w:highlight w:val="none"/>
          <w14:textFill>
            <w14:solidFill>
              <w14:schemeClr w14:val="tx1"/>
            </w14:solidFill>
          </w14:textFill>
        </w:rPr>
        <w:t>）；</w:t>
      </w:r>
    </w:p>
    <w:p w14:paraId="6F930654">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（2）与招标人存在利害关系且可能影响招标公正性；</w:t>
      </w:r>
    </w:p>
    <w:p w14:paraId="43316E0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（3）与本标段的其他投标人同为一个单位负责人；</w:t>
      </w:r>
    </w:p>
    <w:p w14:paraId="43ED69E5">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（4）与本标段的其他投标人存在控股、管理关系；</w:t>
      </w:r>
    </w:p>
    <w:p w14:paraId="2A03BA0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（5）为本标段前期准备提供设计或咨询服务的法人或其任何附属机构（单位</w:t>
      </w:r>
      <w:r>
        <w:rPr>
          <w:rFonts w:ascii="宋体" w:hAnsi="宋体" w:cs="宋体"/>
          <w:snapToGrid w:val="0"/>
          <w:color w:val="000000" w:themeColor="text1"/>
          <w:spacing w:val="6"/>
          <w:kern w:val="0"/>
          <w:sz w:val="24"/>
          <w:highlight w:val="none"/>
          <w14:textFill>
            <w14:solidFill>
              <w14:schemeClr w14:val="tx1"/>
            </w14:solidFill>
          </w14:textFill>
        </w:rPr>
        <w:t>）；</w:t>
      </w:r>
    </w:p>
    <w:p w14:paraId="2C291D01">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（6）为本标段的监理人；</w:t>
      </w:r>
    </w:p>
    <w:p w14:paraId="32BCC37D">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（7）为本标段的代建人；</w:t>
      </w:r>
    </w:p>
    <w:p w14:paraId="439A9C7B">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（8）为本标段的招标代理机构；</w:t>
      </w:r>
    </w:p>
    <w:p w14:paraId="54779DE1">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（9）与本标段的监理人或代建人或招标代理机构同为一个法定代表人；</w:t>
      </w:r>
    </w:p>
    <w:p w14:paraId="0D4E531D">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（10）与本标段的监理人或代建人或招标代理机构存在控股或参股关系；</w:t>
      </w:r>
    </w:p>
    <w:p w14:paraId="65EF5F1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（11）法律法规或投标人须知前附表规定的其他情形。</w:t>
      </w:r>
    </w:p>
    <w:p w14:paraId="13EFC0B7">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1.4.4 投标人（包括联合体各成员）不得存在下列不良状况或不良信用记录：</w:t>
      </w:r>
    </w:p>
    <w:p w14:paraId="7249F565">
      <w:pPr>
        <w:widowControl/>
        <w:kinsoku w:val="0"/>
        <w:autoSpaceDE w:val="0"/>
        <w:autoSpaceDN w:val="0"/>
        <w:adjustRightInd w:val="0"/>
        <w:snapToGrid w:val="0"/>
        <w:spacing w:line="360" w:lineRule="auto"/>
        <w:ind w:left="11" w:right="1" w:firstLine="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（1）被省级及以上交通运输主管部门取消招标项目所在地的投标资格且处于有效</w:t>
      </w:r>
      <w:r>
        <w:rPr>
          <w:rFonts w:ascii="宋体" w:hAnsi="宋体" w:cs="宋体"/>
          <w:snapToGrid w:val="0"/>
          <w:color w:val="000000" w:themeColor="text1"/>
          <w:spacing w:val="-5"/>
          <w:kern w:val="0"/>
          <w:sz w:val="24"/>
          <w:highlight w:val="none"/>
          <w14:textFill>
            <w14:solidFill>
              <w14:schemeClr w14:val="tx1"/>
            </w14:solidFill>
          </w14:textFill>
        </w:rPr>
        <w:t>期内；</w:t>
      </w:r>
    </w:p>
    <w:p w14:paraId="32E9CDFA">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（2）被责令停业，暂扣或吊销执照，或吊销资质证书；</w:t>
      </w:r>
    </w:p>
    <w:p w14:paraId="75008C2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（3）进入清算程序，或被宣告破产，或其他丧失履约能力的情形；</w:t>
      </w:r>
    </w:p>
    <w:p w14:paraId="5BAA4104">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（4）在国家企业信用信息公示系统中被列入严重违法失信名单；</w:t>
      </w:r>
    </w:p>
    <w:p w14:paraId="774937AA">
      <w:pPr>
        <w:spacing w:line="360" w:lineRule="auto"/>
        <w:rPr>
          <w:rFonts w:hint="eastAsia" w:ascii="宋体" w:hAnsi="宋体" w:cs="宋体"/>
          <w:color w:val="000000" w:themeColor="text1"/>
          <w:sz w:val="24"/>
          <w:highlight w:val="none"/>
          <w14:textFill>
            <w14:solidFill>
              <w14:schemeClr w14:val="tx1"/>
            </w14:solidFill>
          </w14:textFill>
        </w:rPr>
        <w:sectPr>
          <w:headerReference r:id="rId15" w:type="default"/>
          <w:footerReference r:id="rId16" w:type="default"/>
          <w:pgSz w:w="11906" w:h="16839"/>
          <w:pgMar w:top="1182" w:right="1416" w:bottom="1168" w:left="1417" w:header="849" w:footer="934" w:gutter="0"/>
          <w:cols w:space="720" w:num="1"/>
        </w:sectPr>
      </w:pPr>
    </w:p>
    <w:p w14:paraId="1454BD93">
      <w:pPr>
        <w:kinsoku w:val="0"/>
        <w:autoSpaceDE w:val="0"/>
        <w:autoSpaceDN w:val="0"/>
        <w:adjustRightInd w:val="0"/>
        <w:snapToGrid w:val="0"/>
        <w:spacing w:line="3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6631A4B">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（5）在“信用中国</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”网站中被列入失信被执行人名单</w:t>
      </w:r>
      <w:r>
        <w:rPr>
          <w:rFonts w:hint="eastAsia" w:ascii="宋体" w:hAnsi="宋体" w:cs="宋体"/>
          <w:snapToGrid w:val="0"/>
          <w:color w:val="000000" w:themeColor="text1"/>
          <w:spacing w:val="-2"/>
          <w:kern w:val="0"/>
          <w:sz w:val="24"/>
          <w:highlight w:val="none"/>
          <w14:textFill>
            <w14:solidFill>
              <w14:schemeClr w14:val="tx1"/>
            </w14:solidFill>
          </w14:textFill>
        </w:rPr>
        <w:t>（注：提供“中国执行信息公开网 ”查询信息也认可)</w:t>
      </w:r>
      <w:r>
        <w:rPr>
          <w:rFonts w:ascii="宋体" w:hAnsi="宋体" w:cs="宋体"/>
          <w:snapToGrid w:val="0"/>
          <w:color w:val="000000" w:themeColor="text1"/>
          <w:spacing w:val="-2"/>
          <w:kern w:val="0"/>
          <w:sz w:val="24"/>
          <w:highlight w:val="none"/>
          <w14:textFill>
            <w14:solidFill>
              <w14:schemeClr w14:val="tx1"/>
            </w14:solidFill>
          </w14:textFill>
        </w:rPr>
        <w:t>；</w:t>
      </w:r>
    </w:p>
    <w:p w14:paraId="782C7BF0">
      <w:pPr>
        <w:widowControl/>
        <w:kinsoku w:val="0"/>
        <w:autoSpaceDE w:val="0"/>
        <w:autoSpaceDN w:val="0"/>
        <w:adjustRightInd w:val="0"/>
        <w:snapToGrid w:val="0"/>
        <w:spacing w:line="360" w:lineRule="auto"/>
        <w:ind w:left="19" w:right="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（6）投标人及其法定代表人、拟委任的项目经理（含备选人，如有）、项目总工</w:t>
      </w:r>
      <w:r>
        <w:rPr>
          <w:rFonts w:ascii="宋体" w:hAnsi="宋体" w:cs="宋体"/>
          <w:snapToGrid w:val="0"/>
          <w:color w:val="000000" w:themeColor="text1"/>
          <w:spacing w:val="-1"/>
          <w:kern w:val="0"/>
          <w:sz w:val="24"/>
          <w:highlight w:val="none"/>
          <w14:textFill>
            <w14:solidFill>
              <w14:schemeClr w14:val="tx1"/>
            </w14:solidFill>
          </w14:textFill>
        </w:rPr>
        <w:t>（含备选人，如有）在近三年内有行贿犯罪行为的；</w:t>
      </w:r>
    </w:p>
    <w:p w14:paraId="11054174">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（7）法律法规或投标人须知前附表规定的其他情形。</w:t>
      </w:r>
    </w:p>
    <w:p w14:paraId="64038801">
      <w:pPr>
        <w:widowControl/>
        <w:kinsoku w:val="0"/>
        <w:autoSpaceDE w:val="0"/>
        <w:autoSpaceDN w:val="0"/>
        <w:adjustRightInd w:val="0"/>
        <w:snapToGrid w:val="0"/>
        <w:spacing w:line="360" w:lineRule="auto"/>
        <w:ind w:left="11" w:right="1" w:firstLine="494"/>
        <w:textAlignment w:val="baseline"/>
        <w:rPr>
          <w:rFonts w:hint="eastAsia" w:ascii="宋体" w:hAnsi="宋体" w:cs="宋体"/>
          <w:snapToGrid w:val="0"/>
          <w:color w:val="000000" w:themeColor="text1"/>
          <w:kern w:val="0"/>
          <w:sz w:val="12"/>
          <w:szCs w:val="12"/>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1.4.5 投标人（包括联合体各成员）应进入交通运输部“全国公路建设市场监督管理查询系统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”中的公路工程施工资质企业名录</w:t>
      </w:r>
      <w:r>
        <w:rPr>
          <w:rFonts w:ascii="宋体" w:hAnsi="宋体" w:cs="宋体"/>
          <w:snapToGrid w:val="0"/>
          <w:color w:val="000000" w:themeColor="text1"/>
          <w:spacing w:val="-3"/>
          <w:kern w:val="0"/>
          <w:sz w:val="24"/>
          <w:highlight w:val="none"/>
          <w14:textFill>
            <w14:solidFill>
              <w14:schemeClr w14:val="tx1"/>
            </w14:solidFill>
          </w14:textFill>
        </w:rPr>
        <w:t>，且投标人名称和资质与该名录中的相应</w:t>
      </w:r>
      <w:r>
        <w:rPr>
          <w:rFonts w:ascii="宋体" w:hAnsi="宋体" w:cs="宋体"/>
          <w:snapToGrid w:val="0"/>
          <w:color w:val="000000" w:themeColor="text1"/>
          <w:kern w:val="0"/>
          <w:sz w:val="24"/>
          <w:highlight w:val="none"/>
          <w14:textFill>
            <w14:solidFill>
              <w14:schemeClr w14:val="tx1"/>
            </w14:solidFill>
          </w14:textFill>
        </w:rPr>
        <w:t>企业名称和资质完全一致。投标人不满足本项规</w:t>
      </w:r>
      <w:r>
        <w:rPr>
          <w:rFonts w:ascii="宋体" w:hAnsi="宋体" w:cs="宋体"/>
          <w:snapToGrid w:val="0"/>
          <w:color w:val="000000" w:themeColor="text1"/>
          <w:spacing w:val="-1"/>
          <w:kern w:val="0"/>
          <w:sz w:val="24"/>
          <w:highlight w:val="none"/>
          <w14:textFill>
            <w14:solidFill>
              <w14:schemeClr w14:val="tx1"/>
            </w14:solidFill>
          </w14:textFill>
        </w:rPr>
        <w:t>定条件的，将被否决投标。</w:t>
      </w:r>
    </w:p>
    <w:p w14:paraId="1DEF210D">
      <w:pPr>
        <w:pStyle w:val="6"/>
        <w:spacing w:before="218" w:after="156"/>
        <w:rPr>
          <w:color w:val="000000" w:themeColor="text1"/>
          <w:highlight w:val="none"/>
          <w14:textFill>
            <w14:solidFill>
              <w14:schemeClr w14:val="tx1"/>
            </w14:solidFill>
          </w14:textFill>
        </w:rPr>
      </w:pPr>
      <w:bookmarkStart w:id="29" w:name="_Toc24140"/>
      <w:r>
        <w:rPr>
          <w:color w:val="000000" w:themeColor="text1"/>
          <w:highlight w:val="none"/>
          <w14:textFill>
            <w14:solidFill>
              <w14:schemeClr w14:val="tx1"/>
            </w14:solidFill>
          </w14:textFill>
        </w:rPr>
        <w:t>1.5 费用承担</w:t>
      </w:r>
      <w:bookmarkEnd w:id="29"/>
    </w:p>
    <w:p w14:paraId="44BFBB37">
      <w:pPr>
        <w:widowControl/>
        <w:kinsoku w:val="0"/>
        <w:autoSpaceDE w:val="0"/>
        <w:autoSpaceDN w:val="0"/>
        <w:adjustRightInd w:val="0"/>
        <w:snapToGrid w:val="0"/>
        <w:spacing w:before="183" w:line="22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投标人准备和参加投标活动发生的费用自理。</w:t>
      </w:r>
    </w:p>
    <w:p w14:paraId="31262085">
      <w:pPr>
        <w:pStyle w:val="6"/>
        <w:spacing w:before="218" w:after="156"/>
        <w:rPr>
          <w:color w:val="000000" w:themeColor="text1"/>
          <w:highlight w:val="none"/>
          <w14:textFill>
            <w14:solidFill>
              <w14:schemeClr w14:val="tx1"/>
            </w14:solidFill>
          </w14:textFill>
        </w:rPr>
      </w:pPr>
      <w:bookmarkStart w:id="30" w:name="_Toc8409"/>
      <w:r>
        <w:rPr>
          <w:color w:val="000000" w:themeColor="text1"/>
          <w:highlight w:val="none"/>
          <w14:textFill>
            <w14:solidFill>
              <w14:schemeClr w14:val="tx1"/>
            </w14:solidFill>
          </w14:textFill>
        </w:rPr>
        <w:t>1.6 保密</w:t>
      </w:r>
      <w:bookmarkEnd w:id="30"/>
    </w:p>
    <w:p w14:paraId="24064FC0">
      <w:pPr>
        <w:widowControl/>
        <w:kinsoku w:val="0"/>
        <w:autoSpaceDE w:val="0"/>
        <w:autoSpaceDN w:val="0"/>
        <w:adjustRightInd w:val="0"/>
        <w:snapToGrid w:val="0"/>
        <w:spacing w:before="182" w:line="360" w:lineRule="auto"/>
        <w:ind w:left="13" w:firstLine="47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参与招标投标活动的各方应对招标文件和投标文件中的商业和技术等秘密保密，否则应承担相应的法律责任。</w:t>
      </w:r>
    </w:p>
    <w:p w14:paraId="690D5981">
      <w:pPr>
        <w:pStyle w:val="6"/>
        <w:spacing w:before="218" w:after="156"/>
        <w:rPr>
          <w:color w:val="000000" w:themeColor="text1"/>
          <w:highlight w:val="none"/>
          <w14:textFill>
            <w14:solidFill>
              <w14:schemeClr w14:val="tx1"/>
            </w14:solidFill>
          </w14:textFill>
        </w:rPr>
      </w:pPr>
      <w:bookmarkStart w:id="31" w:name="_Toc10916"/>
      <w:r>
        <w:rPr>
          <w:color w:val="000000" w:themeColor="text1"/>
          <w:highlight w:val="none"/>
          <w14:textFill>
            <w14:solidFill>
              <w14:schemeClr w14:val="tx1"/>
            </w14:solidFill>
          </w14:textFill>
        </w:rPr>
        <w:t>1.7 语言文字</w:t>
      </w:r>
      <w:bookmarkEnd w:id="31"/>
    </w:p>
    <w:p w14:paraId="53B90E4E">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招标投标文件使用的语言文字为中文。专用术语使用</w:t>
      </w:r>
      <w:r>
        <w:rPr>
          <w:rFonts w:ascii="宋体" w:hAnsi="宋体" w:cs="宋体"/>
          <w:snapToGrid w:val="0"/>
          <w:color w:val="000000" w:themeColor="text1"/>
          <w:spacing w:val="-1"/>
          <w:kern w:val="0"/>
          <w:sz w:val="24"/>
          <w:highlight w:val="none"/>
          <w14:textFill>
            <w14:solidFill>
              <w14:schemeClr w14:val="tx1"/>
            </w14:solidFill>
          </w14:textFill>
        </w:rPr>
        <w:t>外文的，应附有中文注释。</w:t>
      </w:r>
    </w:p>
    <w:p w14:paraId="41058642">
      <w:pPr>
        <w:pStyle w:val="6"/>
        <w:spacing w:before="218" w:after="156"/>
        <w:rPr>
          <w:color w:val="000000" w:themeColor="text1"/>
          <w:highlight w:val="none"/>
          <w14:textFill>
            <w14:solidFill>
              <w14:schemeClr w14:val="tx1"/>
            </w14:solidFill>
          </w14:textFill>
        </w:rPr>
      </w:pPr>
      <w:bookmarkStart w:id="32" w:name="_Toc32160"/>
      <w:r>
        <w:rPr>
          <w:color w:val="000000" w:themeColor="text1"/>
          <w:highlight w:val="none"/>
          <w14:textFill>
            <w14:solidFill>
              <w14:schemeClr w14:val="tx1"/>
            </w14:solidFill>
          </w14:textFill>
        </w:rPr>
        <w:t>1.8 计量单位</w:t>
      </w:r>
      <w:bookmarkEnd w:id="32"/>
    </w:p>
    <w:p w14:paraId="7A78B8CE">
      <w:pPr>
        <w:widowControl/>
        <w:kinsoku w:val="0"/>
        <w:autoSpaceDE w:val="0"/>
        <w:autoSpaceDN w:val="0"/>
        <w:adjustRightInd w:val="0"/>
        <w:snapToGrid w:val="0"/>
        <w:spacing w:before="181" w:line="219" w:lineRule="auto"/>
        <w:ind w:left="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所有计量均采用中华人民共和国法定计量单位。</w:t>
      </w:r>
    </w:p>
    <w:p w14:paraId="4A632CEF">
      <w:pPr>
        <w:pStyle w:val="6"/>
        <w:spacing w:before="218" w:after="156"/>
        <w:rPr>
          <w:color w:val="000000" w:themeColor="text1"/>
          <w:highlight w:val="none"/>
          <w14:textFill>
            <w14:solidFill>
              <w14:schemeClr w14:val="tx1"/>
            </w14:solidFill>
          </w14:textFill>
        </w:rPr>
      </w:pPr>
      <w:bookmarkStart w:id="33" w:name="_Toc17800"/>
      <w:r>
        <w:rPr>
          <w:color w:val="000000" w:themeColor="text1"/>
          <w:highlight w:val="none"/>
          <w14:textFill>
            <w14:solidFill>
              <w14:schemeClr w14:val="tx1"/>
            </w14:solidFill>
          </w14:textFill>
        </w:rPr>
        <w:t>1.9 踏勘现场</w:t>
      </w:r>
      <w:bookmarkEnd w:id="33"/>
    </w:p>
    <w:p w14:paraId="5D520661">
      <w:pPr>
        <w:widowControl/>
        <w:kinsoku w:val="0"/>
        <w:autoSpaceDE w:val="0"/>
        <w:autoSpaceDN w:val="0"/>
        <w:adjustRightInd w:val="0"/>
        <w:snapToGrid w:val="0"/>
        <w:spacing w:line="360" w:lineRule="auto"/>
        <w:ind w:left="7" w:right="1" w:firstLine="49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1.9.1 第一章“招标公告</w:t>
      </w:r>
      <w:r>
        <w:rPr>
          <w:rFonts w:ascii="宋体" w:hAnsi="宋体" w:cs="宋体"/>
          <w:snapToGrid w:val="0"/>
          <w:color w:val="000000" w:themeColor="text1"/>
          <w:spacing w:val="-73"/>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”或“投标邀请书</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”规定组织踏勘现场的，招标人按规定</w:t>
      </w:r>
      <w:r>
        <w:rPr>
          <w:rFonts w:ascii="宋体" w:hAnsi="宋体" w:cs="宋体"/>
          <w:snapToGrid w:val="0"/>
          <w:color w:val="000000" w:themeColor="text1"/>
          <w:spacing w:val="-2"/>
          <w:kern w:val="0"/>
          <w:sz w:val="24"/>
          <w:highlight w:val="none"/>
          <w14:textFill>
            <w14:solidFill>
              <w14:schemeClr w14:val="tx1"/>
            </w14:solidFill>
          </w14:textFill>
        </w:rPr>
        <w:t>的时间、地点组织投标人踏勘项目现场。部分投标人未按时参加踏勘现场的，不影响踏</w:t>
      </w:r>
      <w:r>
        <w:rPr>
          <w:rFonts w:ascii="宋体" w:hAnsi="宋体" w:cs="宋体"/>
          <w:snapToGrid w:val="0"/>
          <w:color w:val="000000" w:themeColor="text1"/>
          <w:kern w:val="0"/>
          <w:sz w:val="24"/>
          <w:highlight w:val="none"/>
          <w14:textFill>
            <w14:solidFill>
              <w14:schemeClr w14:val="tx1"/>
            </w14:solidFill>
          </w14:textFill>
        </w:rPr>
        <w:t>勘现场的正常进行。招标人不得组织单个或部分</w:t>
      </w:r>
      <w:r>
        <w:rPr>
          <w:rFonts w:ascii="宋体" w:hAnsi="宋体" w:cs="宋体"/>
          <w:snapToGrid w:val="0"/>
          <w:color w:val="000000" w:themeColor="text1"/>
          <w:spacing w:val="-1"/>
          <w:kern w:val="0"/>
          <w:sz w:val="24"/>
          <w:highlight w:val="none"/>
          <w14:textFill>
            <w14:solidFill>
              <w14:schemeClr w14:val="tx1"/>
            </w14:solidFill>
          </w14:textFill>
        </w:rPr>
        <w:t>投标人踏勘项目现场。</w:t>
      </w:r>
    </w:p>
    <w:p w14:paraId="7B7CD132">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1.9.2 投标人踏勘现场发生的费用自理。</w:t>
      </w:r>
    </w:p>
    <w:p w14:paraId="15B86912">
      <w:pPr>
        <w:widowControl/>
        <w:kinsoku w:val="0"/>
        <w:autoSpaceDE w:val="0"/>
        <w:autoSpaceDN w:val="0"/>
        <w:adjustRightInd w:val="0"/>
        <w:snapToGrid w:val="0"/>
        <w:spacing w:line="360" w:lineRule="auto"/>
        <w:ind w:left="8" w:right="1" w:firstLine="49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1.9.3 除招标人的原因外，投标人自行负责在踏勘现场中所发生的人员伤亡和财产</w:t>
      </w:r>
      <w:r>
        <w:rPr>
          <w:rFonts w:ascii="宋体" w:hAnsi="宋体" w:cs="宋体"/>
          <w:snapToGrid w:val="0"/>
          <w:color w:val="000000" w:themeColor="text1"/>
          <w:spacing w:val="-4"/>
          <w:kern w:val="0"/>
          <w:sz w:val="24"/>
          <w:highlight w:val="none"/>
          <w14:textFill>
            <w14:solidFill>
              <w14:schemeClr w14:val="tx1"/>
            </w14:solidFill>
          </w14:textFill>
        </w:rPr>
        <w:t>损失。</w:t>
      </w:r>
    </w:p>
    <w:p w14:paraId="7F41EF16">
      <w:pPr>
        <w:widowControl/>
        <w:kinsoku w:val="0"/>
        <w:autoSpaceDE w:val="0"/>
        <w:autoSpaceDN w:val="0"/>
        <w:adjustRightInd w:val="0"/>
        <w:snapToGrid w:val="0"/>
        <w:spacing w:line="360" w:lineRule="auto"/>
        <w:ind w:left="9" w:right="1" w:firstLine="496"/>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1.9.4 招标人在踏勘现场中介绍的工程场地和相关的周边环境情况，供投标人在编</w:t>
      </w:r>
      <w:r>
        <w:rPr>
          <w:rFonts w:ascii="宋体" w:hAnsi="宋体" w:cs="宋体"/>
          <w:snapToGrid w:val="0"/>
          <w:color w:val="000000" w:themeColor="text1"/>
          <w:spacing w:val="-1"/>
          <w:kern w:val="0"/>
          <w:sz w:val="24"/>
          <w:highlight w:val="none"/>
          <w14:textFill>
            <w14:solidFill>
              <w14:schemeClr w14:val="tx1"/>
            </w14:solidFill>
          </w14:textFill>
        </w:rPr>
        <w:t>制投标文件时参考，招标人不对投标人据此作出的判断和决策负责。</w:t>
      </w:r>
    </w:p>
    <w:p w14:paraId="1A986673">
      <w:pPr>
        <w:widowControl/>
        <w:kinsoku w:val="0"/>
        <w:autoSpaceDE w:val="0"/>
        <w:autoSpaceDN w:val="0"/>
        <w:adjustRightInd w:val="0"/>
        <w:snapToGrid w:val="0"/>
        <w:spacing w:line="360" w:lineRule="auto"/>
        <w:ind w:left="9" w:right="1" w:firstLine="49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1.9.5 招标人提供的本合同工程的水文、地质、气象和料场分布、取土场、弃土场</w:t>
      </w:r>
      <w:r>
        <w:rPr>
          <w:rFonts w:ascii="宋体" w:hAnsi="宋体" w:cs="宋体"/>
          <w:snapToGrid w:val="0"/>
          <w:color w:val="000000" w:themeColor="text1"/>
          <w:spacing w:val="-1"/>
          <w:kern w:val="0"/>
          <w:sz w:val="24"/>
          <w:highlight w:val="none"/>
          <w14:textFill>
            <w14:solidFill>
              <w14:schemeClr w14:val="tx1"/>
            </w14:solidFill>
          </w14:textFill>
        </w:rPr>
        <w:t>位置等参考资料，并不构成合同文件的组成部分，投标人</w:t>
      </w:r>
      <w:r>
        <w:rPr>
          <w:rFonts w:ascii="宋体" w:hAnsi="宋体" w:cs="宋体"/>
          <w:snapToGrid w:val="0"/>
          <w:color w:val="000000" w:themeColor="text1"/>
          <w:spacing w:val="-2"/>
          <w:kern w:val="0"/>
          <w:sz w:val="24"/>
          <w:highlight w:val="none"/>
          <w14:textFill>
            <w14:solidFill>
              <w14:schemeClr w14:val="tx1"/>
            </w14:solidFill>
          </w14:textFill>
        </w:rPr>
        <w:t>应对自己就上述资料的解释、</w:t>
      </w:r>
      <w:r>
        <w:rPr>
          <w:rFonts w:ascii="宋体" w:hAnsi="宋体" w:cs="宋体"/>
          <w:snapToGrid w:val="0"/>
          <w:color w:val="000000" w:themeColor="text1"/>
          <w:kern w:val="0"/>
          <w:sz w:val="24"/>
          <w:highlight w:val="none"/>
          <w14:textFill>
            <w14:solidFill>
              <w14:schemeClr w14:val="tx1"/>
            </w14:solidFill>
          </w14:textFill>
        </w:rPr>
        <w:t>推论和应用负责，招标人不对投标人据此作出的判</w:t>
      </w:r>
      <w:r>
        <w:rPr>
          <w:rFonts w:ascii="宋体" w:hAnsi="宋体" w:cs="宋体"/>
          <w:snapToGrid w:val="0"/>
          <w:color w:val="000000" w:themeColor="text1"/>
          <w:spacing w:val="-1"/>
          <w:kern w:val="0"/>
          <w:sz w:val="24"/>
          <w:highlight w:val="none"/>
          <w14:textFill>
            <w14:solidFill>
              <w14:schemeClr w14:val="tx1"/>
            </w14:solidFill>
          </w14:textFill>
        </w:rPr>
        <w:t>断和决策承担任何责任。</w:t>
      </w:r>
    </w:p>
    <w:p w14:paraId="05D75141">
      <w:pPr>
        <w:pStyle w:val="6"/>
        <w:spacing w:before="218" w:after="156"/>
        <w:rPr>
          <w:color w:val="000000" w:themeColor="text1"/>
          <w:highlight w:val="none"/>
          <w14:textFill>
            <w14:solidFill>
              <w14:schemeClr w14:val="tx1"/>
            </w14:solidFill>
          </w14:textFill>
        </w:rPr>
      </w:pPr>
      <w:bookmarkStart w:id="34" w:name="_Toc13672"/>
      <w:r>
        <w:rPr>
          <w:color w:val="000000" w:themeColor="text1"/>
          <w:highlight w:val="none"/>
          <w14:textFill>
            <w14:solidFill>
              <w14:schemeClr w14:val="tx1"/>
            </w14:solidFill>
          </w14:textFill>
        </w:rPr>
        <w:t>1.10 投标预备会</w:t>
      </w:r>
      <w:bookmarkEnd w:id="34"/>
    </w:p>
    <w:p w14:paraId="0636DCDA">
      <w:pPr>
        <w:widowControl/>
        <w:kinsoku w:val="0"/>
        <w:autoSpaceDE w:val="0"/>
        <w:autoSpaceDN w:val="0"/>
        <w:adjustRightInd w:val="0"/>
        <w:snapToGrid w:val="0"/>
        <w:spacing w:line="360" w:lineRule="auto"/>
        <w:ind w:left="9" w:right="235" w:firstLine="49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1.10.1 第一章“招标公告</w:t>
      </w:r>
      <w:r>
        <w:rPr>
          <w:rFonts w:ascii="宋体" w:hAnsi="宋体" w:cs="宋体"/>
          <w:snapToGrid w:val="0"/>
          <w:color w:val="000000" w:themeColor="text1"/>
          <w:spacing w:val="-7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”或“投标邀请书</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”规定召开投标预备会的，招标人按规定的时间和地点召开投标预备会，澄清投标人提出的问题。</w:t>
      </w:r>
    </w:p>
    <w:p w14:paraId="634720AE">
      <w:pPr>
        <w:widowControl/>
        <w:kinsoku w:val="0"/>
        <w:autoSpaceDE w:val="0"/>
        <w:autoSpaceDN w:val="0"/>
        <w:adjustRightInd w:val="0"/>
        <w:snapToGrid w:val="0"/>
        <w:spacing w:line="360" w:lineRule="auto"/>
        <w:ind w:left="35" w:right="125" w:firstLine="47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1.10.2 投标人应按投标人须知前附表规定的时间和形式将提出的问</w:t>
      </w:r>
      <w:r>
        <w:rPr>
          <w:rFonts w:ascii="宋体" w:hAnsi="宋体" w:cs="宋体"/>
          <w:snapToGrid w:val="0"/>
          <w:color w:val="000000" w:themeColor="text1"/>
          <w:spacing w:val="-3"/>
          <w:kern w:val="0"/>
          <w:sz w:val="24"/>
          <w:highlight w:val="none"/>
          <w14:textFill>
            <w14:solidFill>
              <w14:schemeClr w14:val="tx1"/>
            </w14:solidFill>
          </w14:textFill>
        </w:rPr>
        <w:t>题送达招标人，以便招标人在会议期间澄清。</w:t>
      </w:r>
    </w:p>
    <w:p w14:paraId="5C78050C">
      <w:pPr>
        <w:widowControl/>
        <w:kinsoku w:val="0"/>
        <w:autoSpaceDE w:val="0"/>
        <w:autoSpaceDN w:val="0"/>
        <w:adjustRightInd w:val="0"/>
        <w:snapToGrid w:val="0"/>
        <w:spacing w:line="360" w:lineRule="auto"/>
        <w:ind w:left="28" w:right="235"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1.10.3 投标预备会后，招标人将对投标人所提问题的澄清，以本章第</w:t>
      </w:r>
      <w:r>
        <w:rPr>
          <w:rFonts w:ascii="宋体" w:hAnsi="宋体" w:cs="宋体"/>
          <w:snapToGrid w:val="0"/>
          <w:color w:val="000000" w:themeColor="text1"/>
          <w:spacing w:val="-29"/>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2.2</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款规定</w:t>
      </w:r>
      <w:r>
        <w:rPr>
          <w:rFonts w:ascii="宋体" w:hAnsi="宋体" w:cs="宋体"/>
          <w:snapToGrid w:val="0"/>
          <w:color w:val="000000" w:themeColor="text1"/>
          <w:spacing w:val="-1"/>
          <w:kern w:val="0"/>
          <w:sz w:val="24"/>
          <w:highlight w:val="none"/>
          <w14:textFill>
            <w14:solidFill>
              <w14:schemeClr w14:val="tx1"/>
            </w14:solidFill>
          </w14:textFill>
        </w:rPr>
        <w:t>的形式通知所有购买招标文件的投标人。该澄清内容为招标文件的组成部分。</w:t>
      </w:r>
    </w:p>
    <w:p w14:paraId="6B5ABDE4">
      <w:pPr>
        <w:pStyle w:val="6"/>
        <w:spacing w:before="218" w:after="156"/>
        <w:rPr>
          <w:color w:val="000000" w:themeColor="text1"/>
          <w:highlight w:val="none"/>
          <w14:textFill>
            <w14:solidFill>
              <w14:schemeClr w14:val="tx1"/>
            </w14:solidFill>
          </w14:textFill>
        </w:rPr>
      </w:pPr>
      <w:bookmarkStart w:id="35" w:name="_Toc12395"/>
      <w:r>
        <w:rPr>
          <w:color w:val="000000" w:themeColor="text1"/>
          <w:highlight w:val="none"/>
          <w14:textFill>
            <w14:solidFill>
              <w14:schemeClr w14:val="tx1"/>
            </w14:solidFill>
          </w14:textFill>
        </w:rPr>
        <w:t>1.11 分包</w:t>
      </w:r>
      <w:bookmarkEnd w:id="35"/>
    </w:p>
    <w:p w14:paraId="362CA99A">
      <w:pPr>
        <w:widowControl/>
        <w:kinsoku w:val="0"/>
        <w:autoSpaceDE w:val="0"/>
        <w:autoSpaceDN w:val="0"/>
        <w:adjustRightInd w:val="0"/>
        <w:snapToGrid w:val="0"/>
        <w:spacing w:line="360" w:lineRule="auto"/>
        <w:ind w:left="8" w:right="293" w:firstLine="49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1.11.1 投标人拟在中标后将中标项目的部分非</w:t>
      </w:r>
      <w:r>
        <w:rPr>
          <w:rFonts w:ascii="宋体" w:hAnsi="宋体" w:cs="宋体"/>
          <w:snapToGrid w:val="0"/>
          <w:color w:val="000000" w:themeColor="text1"/>
          <w:spacing w:val="-1"/>
          <w:kern w:val="0"/>
          <w:sz w:val="24"/>
          <w:highlight w:val="none"/>
          <w14:textFill>
            <w14:solidFill>
              <w14:schemeClr w14:val="tx1"/>
            </w14:solidFill>
          </w14:textFill>
        </w:rPr>
        <w:t>主体、非关键性工作进行分包的，</w:t>
      </w:r>
      <w:r>
        <w:rPr>
          <w:rFonts w:ascii="宋体" w:hAnsi="宋体" w:cs="宋体"/>
          <w:snapToGrid w:val="0"/>
          <w:color w:val="000000" w:themeColor="text1"/>
          <w:spacing w:val="-2"/>
          <w:kern w:val="0"/>
          <w:sz w:val="24"/>
          <w:highlight w:val="none"/>
          <w14:textFill>
            <w14:solidFill>
              <w14:schemeClr w14:val="tx1"/>
            </w14:solidFill>
          </w14:textFill>
        </w:rPr>
        <w:t>应符合以下规定：</w:t>
      </w:r>
    </w:p>
    <w:p w14:paraId="1AE5AD6A">
      <w:pPr>
        <w:widowControl/>
        <w:kinsoku w:val="0"/>
        <w:autoSpaceDE w:val="0"/>
        <w:autoSpaceDN w:val="0"/>
        <w:adjustRightInd w:val="0"/>
        <w:snapToGrid w:val="0"/>
        <w:spacing w:line="360" w:lineRule="auto"/>
        <w:ind w:left="7" w:right="235"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（1）分包内容要求：允许分包的工程范围仅限于非关键性工程或适合专业化队伍</w:t>
      </w:r>
      <w:r>
        <w:rPr>
          <w:rFonts w:ascii="宋体" w:hAnsi="宋体" w:cs="宋体"/>
          <w:snapToGrid w:val="0"/>
          <w:color w:val="000000" w:themeColor="text1"/>
          <w:spacing w:val="-2"/>
          <w:kern w:val="0"/>
          <w:sz w:val="24"/>
          <w:highlight w:val="none"/>
          <w14:textFill>
            <w14:solidFill>
              <w14:schemeClr w14:val="tx1"/>
            </w14:solidFill>
          </w14:textFill>
        </w:rPr>
        <w:t>施工的专项工程。招标人允许分包或不允许分包的专项工程（如有）应在投标人须知前附表中载明。</w:t>
      </w:r>
    </w:p>
    <w:p w14:paraId="64428877">
      <w:pPr>
        <w:widowControl/>
        <w:kinsoku w:val="0"/>
        <w:autoSpaceDE w:val="0"/>
        <w:autoSpaceDN w:val="0"/>
        <w:adjustRightInd w:val="0"/>
        <w:snapToGrid w:val="0"/>
        <w:spacing w:line="360" w:lineRule="auto"/>
        <w:ind w:left="7" w:right="235"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（2）接受分包的第三人资格要求：分包人的资格能力应与其分包工程的标准和规</w:t>
      </w:r>
      <w:r>
        <w:rPr>
          <w:rFonts w:ascii="宋体" w:hAnsi="宋体" w:cs="宋体"/>
          <w:snapToGrid w:val="0"/>
          <w:color w:val="000000" w:themeColor="text1"/>
          <w:spacing w:val="-1"/>
          <w:kern w:val="0"/>
          <w:sz w:val="24"/>
          <w:highlight w:val="none"/>
          <w14:textFill>
            <w14:solidFill>
              <w14:schemeClr w14:val="tx1"/>
            </w14:solidFill>
          </w14:textFill>
        </w:rPr>
        <w:t>模相适应，且具备投标人须知前附表中规定的资格条件。</w:t>
      </w:r>
    </w:p>
    <w:p w14:paraId="54BB310B">
      <w:pPr>
        <w:widowControl/>
        <w:kinsoku w:val="0"/>
        <w:autoSpaceDE w:val="0"/>
        <w:autoSpaceDN w:val="0"/>
        <w:adjustRightInd w:val="0"/>
        <w:snapToGrid w:val="0"/>
        <w:spacing w:line="360" w:lineRule="auto"/>
        <w:ind w:left="10" w:right="235" w:firstLine="49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1.11.2</w:t>
      </w:r>
      <w:r>
        <w:rPr>
          <w:rFonts w:ascii="宋体" w:hAnsi="宋体" w:cs="宋体"/>
          <w:snapToGrid w:val="0"/>
          <w:color w:val="000000" w:themeColor="text1"/>
          <w:spacing w:val="43"/>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中标人不得向他人转让中标项目，接受分包的人不得再次分包。中标人应</w:t>
      </w:r>
      <w:r>
        <w:rPr>
          <w:rFonts w:ascii="宋体" w:hAnsi="宋体" w:cs="宋体"/>
          <w:snapToGrid w:val="0"/>
          <w:color w:val="000000" w:themeColor="text1"/>
          <w:spacing w:val="-1"/>
          <w:kern w:val="0"/>
          <w:sz w:val="24"/>
          <w:highlight w:val="none"/>
          <w14:textFill>
            <w14:solidFill>
              <w14:schemeClr w14:val="tx1"/>
            </w14:solidFill>
          </w14:textFill>
        </w:rPr>
        <w:t>就分包项目向招标人负责，接受分包的人就分包项目承担连带责任。</w:t>
      </w:r>
    </w:p>
    <w:p w14:paraId="1B8CB7D1">
      <w:pPr>
        <w:pStyle w:val="6"/>
        <w:spacing w:before="218" w:after="156"/>
        <w:rPr>
          <w:color w:val="000000" w:themeColor="text1"/>
          <w:highlight w:val="none"/>
          <w14:textFill>
            <w14:solidFill>
              <w14:schemeClr w14:val="tx1"/>
            </w14:solidFill>
          </w14:textFill>
        </w:rPr>
      </w:pPr>
      <w:bookmarkStart w:id="36" w:name="_Toc15145"/>
      <w:r>
        <w:rPr>
          <w:color w:val="000000" w:themeColor="text1"/>
          <w:highlight w:val="none"/>
          <w14:textFill>
            <w14:solidFill>
              <w14:schemeClr w14:val="tx1"/>
            </w14:solidFill>
          </w14:textFill>
        </w:rPr>
        <w:t>1.12 响应和偏差</w:t>
      </w:r>
      <w:bookmarkEnd w:id="36"/>
    </w:p>
    <w:p w14:paraId="6C6ED8FE">
      <w:pPr>
        <w:widowControl/>
        <w:kinsoku w:val="0"/>
        <w:autoSpaceDE w:val="0"/>
        <w:autoSpaceDN w:val="0"/>
        <w:adjustRightInd w:val="0"/>
        <w:snapToGrid w:val="0"/>
        <w:spacing w:line="360" w:lineRule="auto"/>
        <w:ind w:left="8" w:right="235" w:firstLine="49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1.12.1 投标文件偏离招标文件某些要求，视为投标文件存在偏差。偏差包括重大</w:t>
      </w:r>
      <w:r>
        <w:rPr>
          <w:rFonts w:ascii="宋体" w:hAnsi="宋体" w:cs="宋体"/>
          <w:snapToGrid w:val="0"/>
          <w:color w:val="000000" w:themeColor="text1"/>
          <w:spacing w:val="-2"/>
          <w:kern w:val="0"/>
          <w:sz w:val="24"/>
          <w:highlight w:val="none"/>
          <w14:textFill>
            <w14:solidFill>
              <w14:schemeClr w14:val="tx1"/>
            </w14:solidFill>
          </w14:textFill>
        </w:rPr>
        <w:t>偏差和细微偏差。</w:t>
      </w:r>
    </w:p>
    <w:p w14:paraId="135718CF">
      <w:pPr>
        <w:widowControl/>
        <w:kinsoku w:val="0"/>
        <w:autoSpaceDE w:val="0"/>
        <w:autoSpaceDN w:val="0"/>
        <w:adjustRightInd w:val="0"/>
        <w:snapToGrid w:val="0"/>
        <w:spacing w:line="360" w:lineRule="auto"/>
        <w:ind w:left="28" w:right="235"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1.12.2 投标文件应对招标文件的实质性要求和条件作出满足性或更有利于招标人</w:t>
      </w:r>
      <w:r>
        <w:rPr>
          <w:rFonts w:ascii="宋体" w:hAnsi="宋体" w:cs="宋体"/>
          <w:snapToGrid w:val="0"/>
          <w:color w:val="000000" w:themeColor="text1"/>
          <w:spacing w:val="-1"/>
          <w:kern w:val="0"/>
          <w:sz w:val="24"/>
          <w:highlight w:val="none"/>
          <w14:textFill>
            <w14:solidFill>
              <w14:schemeClr w14:val="tx1"/>
            </w14:solidFill>
          </w14:textFill>
        </w:rPr>
        <w:t>的响应，否则，视为投标文件存在重大偏差，投标人的投标将被否决。</w:t>
      </w:r>
    </w:p>
    <w:p w14:paraId="220DB63F">
      <w:pPr>
        <w:widowControl/>
        <w:kinsoku w:val="0"/>
        <w:autoSpaceDE w:val="0"/>
        <w:autoSpaceDN w:val="0"/>
        <w:adjustRightInd w:val="0"/>
        <w:snapToGrid w:val="0"/>
        <w:spacing w:line="360" w:lineRule="auto"/>
        <w:ind w:left="11" w:right="235"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投标文件存在第三章“评标办法</w:t>
      </w:r>
      <w:r>
        <w:rPr>
          <w:rFonts w:ascii="宋体" w:hAnsi="宋体" w:cs="宋体"/>
          <w:snapToGrid w:val="0"/>
          <w:color w:val="000000" w:themeColor="text1"/>
          <w:spacing w:val="-74"/>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”中所列任一否决投标情形的，均属于存在重大偏</w:t>
      </w:r>
      <w:r>
        <w:rPr>
          <w:rFonts w:ascii="宋体" w:hAnsi="宋体" w:cs="宋体"/>
          <w:snapToGrid w:val="0"/>
          <w:color w:val="000000" w:themeColor="text1"/>
          <w:spacing w:val="-7"/>
          <w:kern w:val="0"/>
          <w:sz w:val="24"/>
          <w:highlight w:val="none"/>
          <w14:textFill>
            <w14:solidFill>
              <w14:schemeClr w14:val="tx1"/>
            </w14:solidFill>
          </w14:textFill>
        </w:rPr>
        <w:t>差。</w:t>
      </w:r>
    </w:p>
    <w:p w14:paraId="20F51ECD">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1.12.3 投标文件中的下列偏差为细微偏差：</w:t>
      </w:r>
    </w:p>
    <w:p w14:paraId="2541005A">
      <w:pPr>
        <w:widowControl/>
        <w:kinsoku w:val="0"/>
        <w:autoSpaceDE w:val="0"/>
        <w:autoSpaceDN w:val="0"/>
        <w:adjustRightInd w:val="0"/>
        <w:snapToGrid w:val="0"/>
        <w:spacing w:line="360" w:lineRule="auto"/>
        <w:ind w:left="8" w:firstLine="491"/>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（1）在按照第三章“评标办法</w:t>
      </w:r>
      <w:r>
        <w:rPr>
          <w:rFonts w:ascii="宋体" w:hAnsi="宋体" w:cs="宋体"/>
          <w:snapToGrid w:val="0"/>
          <w:color w:val="000000" w:themeColor="text1"/>
          <w:spacing w:val="-71"/>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”的规定对投标价进行算术性错误修正及其他错误</w:t>
      </w:r>
      <w:r>
        <w:rPr>
          <w:rFonts w:ascii="宋体" w:hAnsi="宋体" w:cs="宋体"/>
          <w:snapToGrid w:val="0"/>
          <w:color w:val="000000" w:themeColor="text1"/>
          <w:spacing w:val="-2"/>
          <w:kern w:val="0"/>
          <w:sz w:val="24"/>
          <w:highlight w:val="none"/>
          <w14:textFill>
            <w14:solidFill>
              <w14:schemeClr w14:val="tx1"/>
            </w14:solidFill>
          </w14:textFill>
        </w:rPr>
        <w:t>修正后，最终投标报价未超过最高投标限价（如</w:t>
      </w:r>
      <w:r>
        <w:rPr>
          <w:rFonts w:ascii="宋体" w:hAnsi="宋体" w:cs="宋体"/>
          <w:snapToGrid w:val="0"/>
          <w:color w:val="000000" w:themeColor="text1"/>
          <w:spacing w:val="-3"/>
          <w:kern w:val="0"/>
          <w:sz w:val="24"/>
          <w:highlight w:val="none"/>
          <w14:textFill>
            <w14:solidFill>
              <w14:schemeClr w14:val="tx1"/>
            </w14:solidFill>
          </w14:textFill>
        </w:rPr>
        <w:t>有）的情况下，出现第三章“评标办法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规定的算术性错误和投标报价的其他错误；</w:t>
      </w:r>
    </w:p>
    <w:p w14:paraId="7D19E9CF">
      <w:pPr>
        <w:widowControl/>
        <w:kinsoku w:val="0"/>
        <w:autoSpaceDE w:val="0"/>
        <w:autoSpaceDN w:val="0"/>
        <w:adjustRightInd w:val="0"/>
        <w:snapToGrid w:val="0"/>
        <w:spacing w:line="360" w:lineRule="auto"/>
        <w:ind w:left="11" w:firstLine="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（含关键工程技术方案）和项目管理机</w:t>
      </w:r>
      <w:r>
        <w:rPr>
          <w:rFonts w:ascii="宋体" w:hAnsi="宋体" w:cs="宋体"/>
          <w:snapToGrid w:val="0"/>
          <w:color w:val="000000" w:themeColor="text1"/>
          <w:spacing w:val="-3"/>
          <w:kern w:val="0"/>
          <w:sz w:val="24"/>
          <w:highlight w:val="none"/>
          <w14:textFill>
            <w14:solidFill>
              <w14:schemeClr w14:val="tx1"/>
            </w14:solidFill>
          </w14:textFill>
        </w:rPr>
        <w:t>构不够完善；</w:t>
      </w:r>
    </w:p>
    <w:p w14:paraId="0EC0958A">
      <w:pPr>
        <w:widowControl/>
        <w:autoSpaceDE w:val="0"/>
        <w:autoSpaceDN w:val="0"/>
        <w:adjustRightInd w:val="0"/>
        <w:snapToGrid w:val="0"/>
        <w:spacing w:line="360" w:lineRule="auto"/>
        <w:ind w:left="6" w:firstLine="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（3）投标文件页码不连续、个别文字有遗漏错误等不影响投标文件实质性内容的</w:t>
      </w:r>
      <w:r>
        <w:rPr>
          <w:rFonts w:ascii="宋体" w:hAnsi="宋体" w:cs="宋体"/>
          <w:snapToGrid w:val="0"/>
          <w:color w:val="000000" w:themeColor="text1"/>
          <w:spacing w:val="-4"/>
          <w:kern w:val="0"/>
          <w:sz w:val="24"/>
          <w:highlight w:val="none"/>
          <w14:textFill>
            <w14:solidFill>
              <w14:schemeClr w14:val="tx1"/>
            </w14:solidFill>
          </w14:textFill>
        </w:rPr>
        <w:t>偏差。</w:t>
      </w:r>
    </w:p>
    <w:p w14:paraId="0993DB41">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1.12.4 评标委员会对投标文件中的细微偏差按如下规定处理：</w:t>
      </w:r>
    </w:p>
    <w:p w14:paraId="4FF5059D">
      <w:pPr>
        <w:widowControl/>
        <w:kinsoku w:val="0"/>
        <w:autoSpaceDE w:val="0"/>
        <w:autoSpaceDN w:val="0"/>
        <w:adjustRightInd w:val="0"/>
        <w:snapToGrid w:val="0"/>
        <w:spacing w:line="360" w:lineRule="auto"/>
        <w:ind w:left="9" w:right="2"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（1）对于本章第</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1.12.3</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项（1）</w:t>
      </w:r>
      <w:r>
        <w:rPr>
          <w:rFonts w:ascii="宋体" w:hAnsi="宋体" w:cs="宋体"/>
          <w:snapToGrid w:val="0"/>
          <w:color w:val="000000" w:themeColor="text1"/>
          <w:spacing w:val="-6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目所述的细微偏差，按照第三章</w:t>
      </w:r>
      <w:r>
        <w:rPr>
          <w:rFonts w:ascii="宋体" w:hAnsi="宋体" w:cs="宋体"/>
          <w:snapToGrid w:val="0"/>
          <w:color w:val="000000" w:themeColor="text1"/>
          <w:spacing w:val="-3"/>
          <w:kern w:val="0"/>
          <w:sz w:val="24"/>
          <w:highlight w:val="none"/>
          <w14:textFill>
            <w14:solidFill>
              <w14:schemeClr w14:val="tx1"/>
            </w14:solidFill>
          </w14:textFill>
        </w:rPr>
        <w:t>“评标办法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”的</w:t>
      </w:r>
      <w:r>
        <w:rPr>
          <w:rFonts w:ascii="宋体" w:hAnsi="宋体" w:cs="宋体"/>
          <w:snapToGrid w:val="0"/>
          <w:color w:val="000000" w:themeColor="text1"/>
          <w:spacing w:val="-1"/>
          <w:kern w:val="0"/>
          <w:sz w:val="24"/>
          <w:highlight w:val="none"/>
          <w14:textFill>
            <w14:solidFill>
              <w14:schemeClr w14:val="tx1"/>
            </w14:solidFill>
          </w14:textFill>
        </w:rPr>
        <w:t>规定予以修正并要求投标人进行澄清；</w:t>
      </w:r>
    </w:p>
    <w:p w14:paraId="3A990312">
      <w:pPr>
        <w:widowControl/>
        <w:kinsoku w:val="0"/>
        <w:autoSpaceDE w:val="0"/>
        <w:autoSpaceDN w:val="0"/>
        <w:adjustRightInd w:val="0"/>
        <w:snapToGrid w:val="0"/>
        <w:spacing w:line="360" w:lineRule="auto"/>
        <w:ind w:left="7" w:right="2"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（2）对于本章第</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1.12.3</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项（2）</w:t>
      </w:r>
      <w:r>
        <w:rPr>
          <w:rFonts w:ascii="宋体" w:hAnsi="宋体" w:cs="宋体"/>
          <w:snapToGrid w:val="0"/>
          <w:color w:val="000000" w:themeColor="text1"/>
          <w:spacing w:val="-6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目所述的细微偏</w:t>
      </w:r>
      <w:r>
        <w:rPr>
          <w:rFonts w:ascii="宋体" w:hAnsi="宋体" w:cs="宋体"/>
          <w:snapToGrid w:val="0"/>
          <w:color w:val="000000" w:themeColor="text1"/>
          <w:spacing w:val="-2"/>
          <w:kern w:val="0"/>
          <w:sz w:val="24"/>
          <w:highlight w:val="none"/>
          <w14:textFill>
            <w14:solidFill>
              <w14:schemeClr w14:val="tx1"/>
            </w14:solidFill>
          </w14:textFill>
        </w:rPr>
        <w:t>差，如果采用合理低价法评标，应要求投标人对细微偏差进行澄清，只有投标人的澄清文件被评标委员会接受，投标人才能参加评标价的最终评比。如果采用技术评分合理低价法或技术评分最低标价法或综</w:t>
      </w:r>
      <w:r>
        <w:rPr>
          <w:rFonts w:ascii="宋体" w:hAnsi="宋体" w:cs="宋体"/>
          <w:snapToGrid w:val="0"/>
          <w:color w:val="000000" w:themeColor="text1"/>
          <w:spacing w:val="-1"/>
          <w:kern w:val="0"/>
          <w:sz w:val="24"/>
          <w:highlight w:val="none"/>
          <w14:textFill>
            <w14:solidFill>
              <w14:schemeClr w14:val="tx1"/>
            </w14:solidFill>
          </w14:textFill>
        </w:rPr>
        <w:t>合评分法评标，可在相关评分因素的评分中酌情扣分；</w:t>
      </w:r>
    </w:p>
    <w:p w14:paraId="2F0DF297">
      <w:pPr>
        <w:widowControl/>
        <w:autoSpaceDE w:val="0"/>
        <w:autoSpaceDN w:val="0"/>
        <w:adjustRightInd w:val="0"/>
        <w:snapToGrid w:val="0"/>
        <w:spacing w:line="360" w:lineRule="auto"/>
        <w:ind w:left="11" w:firstLine="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（3）对于本章第</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1.12.3</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项（3）</w:t>
      </w:r>
      <w:r>
        <w:rPr>
          <w:rFonts w:ascii="宋体" w:hAnsi="宋体" w:cs="宋体"/>
          <w:snapToGrid w:val="0"/>
          <w:color w:val="000000" w:themeColor="text1"/>
          <w:spacing w:val="-6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目所述的细微偏</w:t>
      </w:r>
      <w:r>
        <w:rPr>
          <w:rFonts w:ascii="宋体" w:hAnsi="宋体" w:cs="宋体"/>
          <w:snapToGrid w:val="0"/>
          <w:color w:val="000000" w:themeColor="text1"/>
          <w:spacing w:val="-2"/>
          <w:kern w:val="0"/>
          <w:sz w:val="24"/>
          <w:highlight w:val="none"/>
          <w14:textFill>
            <w14:solidFill>
              <w14:schemeClr w14:val="tx1"/>
            </w14:solidFill>
          </w14:textFill>
        </w:rPr>
        <w:t>差，可要求投标人对细微偏差进</w:t>
      </w:r>
      <w:r>
        <w:rPr>
          <w:rFonts w:ascii="宋体" w:hAnsi="宋体" w:cs="宋体"/>
          <w:snapToGrid w:val="0"/>
          <w:color w:val="000000" w:themeColor="text1"/>
          <w:spacing w:val="-4"/>
          <w:kern w:val="0"/>
          <w:sz w:val="24"/>
          <w:highlight w:val="none"/>
          <w14:textFill>
            <w14:solidFill>
              <w14:schemeClr w14:val="tx1"/>
            </w14:solidFill>
          </w14:textFill>
        </w:rPr>
        <w:t>行澄清。</w:t>
      </w:r>
    </w:p>
    <w:p w14:paraId="72ECD6F6">
      <w:pPr>
        <w:widowControl/>
        <w:kinsoku w:val="0"/>
        <w:autoSpaceDE w:val="0"/>
        <w:autoSpaceDN w:val="0"/>
        <w:adjustRightInd w:val="0"/>
        <w:snapToGrid w:val="0"/>
        <w:spacing w:line="360" w:lineRule="auto"/>
        <w:ind w:left="37" w:right="2" w:firstLine="46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1.12.5 投标人应根据招标文件的要求提供施工组织设计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等</w:t>
      </w:r>
      <w:r>
        <w:rPr>
          <w:rFonts w:ascii="宋体" w:hAnsi="宋体" w:cs="宋体"/>
          <w:snapToGrid w:val="0"/>
          <w:color w:val="000000" w:themeColor="text1"/>
          <w:spacing w:val="-3"/>
          <w:kern w:val="0"/>
          <w:sz w:val="24"/>
          <w:highlight w:val="none"/>
          <w14:textFill>
            <w14:solidFill>
              <w14:schemeClr w14:val="tx1"/>
            </w14:solidFill>
          </w14:textFill>
        </w:rPr>
        <w:t>内容以对招标文件作出响应。</w:t>
      </w:r>
    </w:p>
    <w:p w14:paraId="08C630B2">
      <w:pPr>
        <w:pStyle w:val="5"/>
        <w:rPr>
          <w:color w:val="000000" w:themeColor="text1"/>
          <w:highlight w:val="none"/>
          <w14:textFill>
            <w14:solidFill>
              <w14:schemeClr w14:val="tx1"/>
            </w14:solidFill>
          </w14:textFill>
        </w:rPr>
      </w:pPr>
      <w:bookmarkStart w:id="37" w:name="_Toc21644"/>
      <w:r>
        <w:rPr>
          <w:color w:val="000000" w:themeColor="text1"/>
          <w:highlight w:val="none"/>
          <w14:textFill>
            <w14:solidFill>
              <w14:schemeClr w14:val="tx1"/>
            </w14:solidFill>
          </w14:textFill>
        </w:rPr>
        <w:t>2. 招标文件</w:t>
      </w:r>
      <w:bookmarkEnd w:id="37"/>
    </w:p>
    <w:p w14:paraId="312C085C">
      <w:pPr>
        <w:pStyle w:val="6"/>
        <w:spacing w:before="218" w:after="156"/>
        <w:rPr>
          <w:color w:val="000000" w:themeColor="text1"/>
          <w:highlight w:val="none"/>
          <w14:textFill>
            <w14:solidFill>
              <w14:schemeClr w14:val="tx1"/>
            </w14:solidFill>
          </w14:textFill>
        </w:rPr>
      </w:pPr>
      <w:bookmarkStart w:id="38" w:name="_Toc5309"/>
      <w:r>
        <w:rPr>
          <w:color w:val="000000" w:themeColor="text1"/>
          <w:highlight w:val="none"/>
          <w14:textFill>
            <w14:solidFill>
              <w14:schemeClr w14:val="tx1"/>
            </w14:solidFill>
          </w14:textFill>
        </w:rPr>
        <w:t>2.1 招标文件的组成</w:t>
      </w:r>
      <w:bookmarkEnd w:id="38"/>
    </w:p>
    <w:p w14:paraId="2FA488CF">
      <w:pPr>
        <w:widowControl/>
        <w:kinsoku w:val="0"/>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本招标文件包括：</w:t>
      </w:r>
    </w:p>
    <w:p w14:paraId="65661181">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（1）招标公告（或投标邀请书</w:t>
      </w:r>
      <w:r>
        <w:rPr>
          <w:rFonts w:ascii="宋体" w:hAnsi="宋体" w:cs="宋体"/>
          <w:snapToGrid w:val="0"/>
          <w:color w:val="000000" w:themeColor="text1"/>
          <w:spacing w:val="3"/>
          <w:kern w:val="0"/>
          <w:sz w:val="24"/>
          <w:highlight w:val="none"/>
          <w14:textFill>
            <w14:solidFill>
              <w14:schemeClr w14:val="tx1"/>
            </w14:solidFill>
          </w14:textFill>
        </w:rPr>
        <w:t>）；</w:t>
      </w:r>
    </w:p>
    <w:p w14:paraId="3946A4BD">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（2）投标人须知；</w:t>
      </w:r>
    </w:p>
    <w:p w14:paraId="58306036">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（3）评标办法；</w:t>
      </w:r>
    </w:p>
    <w:p w14:paraId="41C353E6">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（4）合同条款及格式；</w:t>
      </w:r>
    </w:p>
    <w:p w14:paraId="23C96CD0">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（5）工程量清单；</w:t>
      </w:r>
    </w:p>
    <w:p w14:paraId="3ED6D165">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（6）图纸；</w:t>
      </w:r>
    </w:p>
    <w:p w14:paraId="55CA0878">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（7）技术规范；</w:t>
      </w:r>
    </w:p>
    <w:p w14:paraId="70A1390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（8）工程量清单计量规则；</w:t>
      </w:r>
    </w:p>
    <w:p w14:paraId="0A74CA7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（9）投标文件格式；</w:t>
      </w:r>
    </w:p>
    <w:p w14:paraId="4CD3A5E5">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（10）投标人须知前附表规定的其他资料。</w:t>
      </w:r>
    </w:p>
    <w:p w14:paraId="4AC4E127">
      <w:pPr>
        <w:widowControl/>
        <w:kinsoku w:val="0"/>
        <w:autoSpaceDE w:val="0"/>
        <w:autoSpaceDN w:val="0"/>
        <w:adjustRightInd w:val="0"/>
        <w:snapToGrid w:val="0"/>
        <w:spacing w:line="360" w:lineRule="auto"/>
        <w:ind w:left="9" w:right="2" w:firstLine="479"/>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根据本章第</w:t>
      </w:r>
      <w:r>
        <w:rPr>
          <w:rFonts w:ascii="宋体" w:hAnsi="宋体" w:cs="宋体"/>
          <w:snapToGrid w:val="0"/>
          <w:color w:val="000000" w:themeColor="text1"/>
          <w:spacing w:val="-2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1.10</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款、第</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2.2</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款和第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2.3</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款对招标文件所作的澄清、修改，构成招</w:t>
      </w:r>
      <w:r>
        <w:rPr>
          <w:rFonts w:ascii="宋体" w:hAnsi="宋体" w:cs="宋体"/>
          <w:snapToGrid w:val="0"/>
          <w:color w:val="000000" w:themeColor="text1"/>
          <w:spacing w:val="-2"/>
          <w:kern w:val="0"/>
          <w:sz w:val="24"/>
          <w:highlight w:val="none"/>
          <w14:textFill>
            <w14:solidFill>
              <w14:schemeClr w14:val="tx1"/>
            </w14:solidFill>
          </w14:textFill>
        </w:rPr>
        <w:t>标文件的组成部分。</w:t>
      </w:r>
    </w:p>
    <w:p w14:paraId="0CC5473F">
      <w:pPr>
        <w:widowControl/>
        <w:kinsoku w:val="0"/>
        <w:autoSpaceDE w:val="0"/>
        <w:autoSpaceDN w:val="0"/>
        <w:adjustRightInd w:val="0"/>
        <w:snapToGrid w:val="0"/>
        <w:spacing w:line="360" w:lineRule="auto"/>
        <w:ind w:left="28" w:right="2" w:firstLine="47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当招标文件、招标文件的澄清或修改等在同一内容的表述上不一致时，以最后</w:t>
      </w:r>
      <w:r>
        <w:rPr>
          <w:rFonts w:ascii="宋体" w:hAnsi="宋体" w:cs="宋体"/>
          <w:snapToGrid w:val="0"/>
          <w:color w:val="000000" w:themeColor="text1"/>
          <w:spacing w:val="-3"/>
          <w:kern w:val="0"/>
          <w:sz w:val="24"/>
          <w:highlight w:val="none"/>
          <w14:textFill>
            <w14:solidFill>
              <w14:schemeClr w14:val="tx1"/>
            </w14:solidFill>
          </w14:textFill>
        </w:rPr>
        <w:t>发出</w:t>
      </w:r>
      <w:r>
        <w:rPr>
          <w:rFonts w:ascii="宋体" w:hAnsi="宋体" w:cs="宋体"/>
          <w:snapToGrid w:val="0"/>
          <w:color w:val="000000" w:themeColor="text1"/>
          <w:spacing w:val="-4"/>
          <w:kern w:val="0"/>
          <w:sz w:val="24"/>
          <w:highlight w:val="none"/>
          <w14:textFill>
            <w14:solidFill>
              <w14:schemeClr w14:val="tx1"/>
            </w14:solidFill>
          </w14:textFill>
        </w:rPr>
        <w:t>的书面文件为准。</w:t>
      </w:r>
    </w:p>
    <w:p w14:paraId="6F749E8D">
      <w:pPr>
        <w:pStyle w:val="6"/>
        <w:spacing w:before="218" w:after="156"/>
        <w:rPr>
          <w:color w:val="000000" w:themeColor="text1"/>
          <w:highlight w:val="none"/>
          <w14:textFill>
            <w14:solidFill>
              <w14:schemeClr w14:val="tx1"/>
            </w14:solidFill>
          </w14:textFill>
        </w:rPr>
      </w:pPr>
      <w:bookmarkStart w:id="39" w:name="_Toc17292"/>
      <w:r>
        <w:rPr>
          <w:color w:val="000000" w:themeColor="text1"/>
          <w:highlight w:val="none"/>
          <w14:textFill>
            <w14:solidFill>
              <w14:schemeClr w14:val="tx1"/>
            </w14:solidFill>
          </w14:textFill>
        </w:rPr>
        <w:t>2.2 招标文件的澄清</w:t>
      </w:r>
      <w:bookmarkEnd w:id="39"/>
    </w:p>
    <w:p w14:paraId="516ADB67">
      <w:pPr>
        <w:widowControl/>
        <w:kinsoku w:val="0"/>
        <w:autoSpaceDE w:val="0"/>
        <w:autoSpaceDN w:val="0"/>
        <w:adjustRightInd w:val="0"/>
        <w:snapToGrid w:val="0"/>
        <w:spacing w:line="360" w:lineRule="auto"/>
        <w:ind w:left="7"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2.2.1 投标人应仔细阅读和检查招标文件的全部内容。如发现缺页或附件不全，应及时向招标人提出，以便补齐。如有疑问，应按投标人须知前附表规定的时间和形式将</w:t>
      </w:r>
      <w:r>
        <w:rPr>
          <w:rFonts w:ascii="宋体" w:hAnsi="宋体" w:cs="宋体"/>
          <w:snapToGrid w:val="0"/>
          <w:color w:val="000000" w:themeColor="text1"/>
          <w:spacing w:val="-1"/>
          <w:kern w:val="0"/>
          <w:sz w:val="24"/>
          <w:highlight w:val="none"/>
          <w14:textFill>
            <w14:solidFill>
              <w14:schemeClr w14:val="tx1"/>
            </w14:solidFill>
          </w14:textFill>
        </w:rPr>
        <w:t>提出的问题送达招标人，要求招标人对招标文件予以澄清。</w:t>
      </w:r>
    </w:p>
    <w:p w14:paraId="606BBB63">
      <w:pPr>
        <w:widowControl/>
        <w:kinsoku w:val="0"/>
        <w:autoSpaceDE w:val="0"/>
        <w:autoSpaceDN w:val="0"/>
        <w:adjustRightInd w:val="0"/>
        <w:snapToGrid w:val="0"/>
        <w:spacing w:line="360" w:lineRule="auto"/>
        <w:ind w:left="1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2.2.2 招标文件的澄清以投标人须知前附表规定的形</w:t>
      </w:r>
      <w:r>
        <w:rPr>
          <w:rFonts w:ascii="宋体" w:hAnsi="宋体" w:cs="宋体"/>
          <w:snapToGrid w:val="0"/>
          <w:color w:val="000000" w:themeColor="text1"/>
          <w:spacing w:val="4"/>
          <w:kern w:val="0"/>
          <w:sz w:val="24"/>
          <w:highlight w:val="none"/>
          <w14:textFill>
            <w14:solidFill>
              <w14:schemeClr w14:val="tx1"/>
            </w14:solidFill>
          </w14:textFill>
        </w:rPr>
        <w:t>式发给所有购买招标文件的</w:t>
      </w:r>
      <w:r>
        <w:rPr>
          <w:rFonts w:ascii="宋体" w:hAnsi="宋体" w:cs="宋体"/>
          <w:snapToGrid w:val="0"/>
          <w:color w:val="000000" w:themeColor="text1"/>
          <w:kern w:val="0"/>
          <w:sz w:val="24"/>
          <w:highlight w:val="none"/>
          <w14:textFill>
            <w14:solidFill>
              <w14:schemeClr w14:val="tx1"/>
            </w14:solidFill>
          </w14:textFill>
        </w:rPr>
        <w:t>投标人，但不指明澄清问题的来源。澄清发出的时间距本</w:t>
      </w:r>
      <w:r>
        <w:rPr>
          <w:rFonts w:ascii="宋体" w:hAnsi="宋体" w:cs="宋体"/>
          <w:snapToGrid w:val="0"/>
          <w:color w:val="000000" w:themeColor="text1"/>
          <w:spacing w:val="-1"/>
          <w:kern w:val="0"/>
          <w:sz w:val="24"/>
          <w:highlight w:val="none"/>
          <w14:textFill>
            <w14:solidFill>
              <w14:schemeClr w14:val="tx1"/>
            </w14:solidFill>
          </w14:textFill>
        </w:rPr>
        <w:t>章第4.2.1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项规定的投标截止</w:t>
      </w:r>
      <w:r>
        <w:rPr>
          <w:rFonts w:ascii="宋体" w:hAnsi="宋体" w:cs="宋体"/>
          <w:snapToGrid w:val="0"/>
          <w:color w:val="000000" w:themeColor="text1"/>
          <w:spacing w:val="-3"/>
          <w:kern w:val="0"/>
          <w:sz w:val="24"/>
          <w:highlight w:val="none"/>
          <w14:textFill>
            <w14:solidFill>
              <w14:schemeClr w14:val="tx1"/>
            </w14:solidFill>
          </w14:textFill>
        </w:rPr>
        <w:t>时间不足</w:t>
      </w:r>
      <w:r>
        <w:rPr>
          <w:rFonts w:ascii="宋体" w:hAnsi="宋体" w:cs="宋体"/>
          <w:snapToGrid w:val="0"/>
          <w:color w:val="000000" w:themeColor="text1"/>
          <w:spacing w:val="-2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15 日，且澄清内容可能影响投标文件编制的，将相应延长投标截止时间。</w:t>
      </w:r>
    </w:p>
    <w:p w14:paraId="0A2CF4CF">
      <w:pPr>
        <w:widowControl/>
        <w:kinsoku w:val="0"/>
        <w:autoSpaceDE w:val="0"/>
        <w:autoSpaceDN w:val="0"/>
        <w:adjustRightInd w:val="0"/>
        <w:snapToGrid w:val="0"/>
        <w:spacing w:line="360" w:lineRule="auto"/>
        <w:ind w:left="37" w:firstLine="45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2.2.3 投标人应注意及时浏览网上发出的澄清，因投标人自身原因未及时获知澄清内容而导致的任何后果将由投标人自行承担。</w:t>
      </w:r>
    </w:p>
    <w:p w14:paraId="21998164">
      <w:pPr>
        <w:widowControl/>
        <w:kinsoku w:val="0"/>
        <w:autoSpaceDE w:val="0"/>
        <w:autoSpaceDN w:val="0"/>
        <w:adjustRightInd w:val="0"/>
        <w:snapToGrid w:val="0"/>
        <w:spacing w:line="360" w:lineRule="auto"/>
        <w:ind w:left="1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2.2.4 除非招标人认为确有必要答复，否则，招标人有权拒绝回复投标人在本章第2.2.1</w:t>
      </w:r>
      <w:r>
        <w:rPr>
          <w:rFonts w:ascii="宋体" w:hAnsi="宋体" w:cs="宋体"/>
          <w:snapToGrid w:val="0"/>
          <w:color w:val="000000" w:themeColor="text1"/>
          <w:spacing w:val="-3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项规定的时间后提出的任何澄清要求。</w:t>
      </w:r>
    </w:p>
    <w:p w14:paraId="7702038D">
      <w:pPr>
        <w:pStyle w:val="6"/>
        <w:spacing w:before="218" w:after="156"/>
        <w:rPr>
          <w:color w:val="000000" w:themeColor="text1"/>
          <w:highlight w:val="none"/>
          <w14:textFill>
            <w14:solidFill>
              <w14:schemeClr w14:val="tx1"/>
            </w14:solidFill>
          </w14:textFill>
        </w:rPr>
      </w:pPr>
      <w:bookmarkStart w:id="40" w:name="_Toc27564"/>
      <w:r>
        <w:rPr>
          <w:color w:val="000000" w:themeColor="text1"/>
          <w:highlight w:val="none"/>
          <w14:textFill>
            <w14:solidFill>
              <w14:schemeClr w14:val="tx1"/>
            </w14:solidFill>
          </w14:textFill>
        </w:rPr>
        <w:t>2.3 招标文件的修改</w:t>
      </w:r>
      <w:bookmarkEnd w:id="40"/>
    </w:p>
    <w:p w14:paraId="340D4C08">
      <w:pPr>
        <w:widowControl/>
        <w:kinsoku w:val="0"/>
        <w:autoSpaceDE w:val="0"/>
        <w:autoSpaceDN w:val="0"/>
        <w:adjustRightInd w:val="0"/>
        <w:snapToGrid w:val="0"/>
        <w:spacing w:line="360" w:lineRule="auto"/>
        <w:ind w:left="1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2.3.1 招标人以投标人须知前附表规定的形式修改招标文件，并通知所有已登记的</w:t>
      </w:r>
      <w:r>
        <w:rPr>
          <w:rFonts w:ascii="宋体" w:hAnsi="宋体" w:cs="宋体"/>
          <w:snapToGrid w:val="0"/>
          <w:color w:val="000000" w:themeColor="text1"/>
          <w:kern w:val="0"/>
          <w:sz w:val="24"/>
          <w:highlight w:val="none"/>
          <w14:textFill>
            <w14:solidFill>
              <w14:schemeClr w14:val="tx1"/>
            </w14:solidFill>
          </w14:textFill>
        </w:rPr>
        <w:t>投标人。修改招标文件的时间距本章第4.2.1</w:t>
      </w:r>
      <w:r>
        <w:rPr>
          <w:rFonts w:ascii="宋体" w:hAnsi="宋体" w:cs="宋体"/>
          <w:snapToGrid w:val="0"/>
          <w:color w:val="000000" w:themeColor="text1"/>
          <w:spacing w:val="-31"/>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项规定的投标截止时间不足</w:t>
      </w:r>
      <w:r>
        <w:rPr>
          <w:rFonts w:ascii="宋体" w:hAnsi="宋体" w:cs="宋体"/>
          <w:snapToGrid w:val="0"/>
          <w:color w:val="000000" w:themeColor="text1"/>
          <w:spacing w:val="-31"/>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15 日，且修</w:t>
      </w:r>
      <w:r>
        <w:rPr>
          <w:rFonts w:ascii="宋体" w:hAnsi="宋体" w:cs="宋体"/>
          <w:snapToGrid w:val="0"/>
          <w:color w:val="000000" w:themeColor="text1"/>
          <w:spacing w:val="-1"/>
          <w:kern w:val="0"/>
          <w:sz w:val="24"/>
          <w:highlight w:val="none"/>
          <w14:textFill>
            <w14:solidFill>
              <w14:schemeClr w14:val="tx1"/>
            </w14:solidFill>
          </w14:textFill>
        </w:rPr>
        <w:t>改内容可能影响投标文件编制的，将相应延长投标截止时间。</w:t>
      </w:r>
    </w:p>
    <w:p w14:paraId="0B4EBC6D">
      <w:pPr>
        <w:widowControl/>
        <w:kinsoku w:val="0"/>
        <w:autoSpaceDE w:val="0"/>
        <w:autoSpaceDN w:val="0"/>
        <w:adjustRightInd w:val="0"/>
        <w:snapToGrid w:val="0"/>
        <w:spacing w:line="360" w:lineRule="auto"/>
        <w:ind w:left="37" w:firstLine="45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2.3.2 投标人应注意及时浏览网上发出的修改，因投标人自身原因未及时获知修改内容而导致的任何后果将由投标人自行承担。</w:t>
      </w:r>
    </w:p>
    <w:p w14:paraId="54BC7185">
      <w:pPr>
        <w:pStyle w:val="6"/>
        <w:spacing w:before="218" w:after="156"/>
        <w:rPr>
          <w:color w:val="000000" w:themeColor="text1"/>
          <w:highlight w:val="none"/>
          <w14:textFill>
            <w14:solidFill>
              <w14:schemeClr w14:val="tx1"/>
            </w14:solidFill>
          </w14:textFill>
        </w:rPr>
      </w:pPr>
      <w:bookmarkStart w:id="41" w:name="_Toc3475"/>
      <w:r>
        <w:rPr>
          <w:color w:val="000000" w:themeColor="text1"/>
          <w:highlight w:val="none"/>
          <w14:textFill>
            <w14:solidFill>
              <w14:schemeClr w14:val="tx1"/>
            </w14:solidFill>
          </w14:textFill>
        </w:rPr>
        <w:t>2.4 招标文件的异议</w:t>
      </w:r>
      <w:bookmarkEnd w:id="41"/>
    </w:p>
    <w:p w14:paraId="4D7404FA">
      <w:pPr>
        <w:widowControl/>
        <w:kinsoku w:val="0"/>
        <w:autoSpaceDE w:val="0"/>
        <w:autoSpaceDN w:val="0"/>
        <w:adjustRightInd w:val="0"/>
        <w:snapToGrid w:val="0"/>
        <w:spacing w:line="360" w:lineRule="auto"/>
        <w:ind w:left="11" w:firstLine="482"/>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投标人或其他利害关系人对招标文件有异议的，应在投标截止时间</w:t>
      </w:r>
      <w:r>
        <w:rPr>
          <w:rFonts w:ascii="宋体" w:hAnsi="宋体" w:cs="宋体"/>
          <w:snapToGrid w:val="0"/>
          <w:color w:val="000000" w:themeColor="text1"/>
          <w:spacing w:val="-22"/>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10 日前以书面</w:t>
      </w:r>
      <w:r>
        <w:rPr>
          <w:rFonts w:ascii="宋体" w:hAnsi="宋体" w:cs="宋体"/>
          <w:snapToGrid w:val="0"/>
          <w:color w:val="000000" w:themeColor="text1"/>
          <w:spacing w:val="-3"/>
          <w:kern w:val="0"/>
          <w:sz w:val="24"/>
          <w:highlight w:val="none"/>
          <w14:textFill>
            <w14:solidFill>
              <w14:schemeClr w14:val="tx1"/>
            </w14:solidFill>
          </w14:textFill>
        </w:rPr>
        <w:t>形式提出。招标人将在收到异议之日起</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 日</w:t>
      </w:r>
      <w:r>
        <w:rPr>
          <w:rFonts w:ascii="宋体" w:hAnsi="宋体" w:cs="宋体"/>
          <w:snapToGrid w:val="0"/>
          <w:color w:val="000000" w:themeColor="text1"/>
          <w:spacing w:val="-4"/>
          <w:kern w:val="0"/>
          <w:sz w:val="24"/>
          <w:highlight w:val="none"/>
          <w14:textFill>
            <w14:solidFill>
              <w14:schemeClr w14:val="tx1"/>
            </w14:solidFill>
          </w14:textFill>
        </w:rPr>
        <w:t>内作出答复；作出答复前，将暂停招标投标</w:t>
      </w:r>
      <w:r>
        <w:rPr>
          <w:rFonts w:ascii="宋体" w:hAnsi="宋体" w:cs="宋体"/>
          <w:snapToGrid w:val="0"/>
          <w:color w:val="000000" w:themeColor="text1"/>
          <w:spacing w:val="-5"/>
          <w:kern w:val="0"/>
          <w:sz w:val="24"/>
          <w:highlight w:val="none"/>
          <w14:textFill>
            <w14:solidFill>
              <w14:schemeClr w14:val="tx1"/>
            </w14:solidFill>
          </w14:textFill>
        </w:rPr>
        <w:t>活动。</w:t>
      </w:r>
    </w:p>
    <w:p w14:paraId="0A38B2A2">
      <w:pPr>
        <w:pStyle w:val="5"/>
        <w:rPr>
          <w:color w:val="000000" w:themeColor="text1"/>
          <w:highlight w:val="none"/>
          <w14:textFill>
            <w14:solidFill>
              <w14:schemeClr w14:val="tx1"/>
            </w14:solidFill>
          </w14:textFill>
        </w:rPr>
      </w:pPr>
      <w:bookmarkStart w:id="42" w:name="_Toc28982"/>
      <w:r>
        <w:rPr>
          <w:color w:val="000000" w:themeColor="text1"/>
          <w:highlight w:val="none"/>
          <w14:textFill>
            <w14:solidFill>
              <w14:schemeClr w14:val="tx1"/>
            </w14:solidFill>
          </w14:textFill>
        </w:rPr>
        <w:t>3. 投标文件</w:t>
      </w:r>
      <w:bookmarkEnd w:id="42"/>
    </w:p>
    <w:p w14:paraId="759B2ACA">
      <w:pPr>
        <w:pStyle w:val="6"/>
        <w:spacing w:before="218" w:after="156"/>
        <w:rPr>
          <w:color w:val="000000" w:themeColor="text1"/>
          <w:highlight w:val="none"/>
          <w14:textFill>
            <w14:solidFill>
              <w14:schemeClr w14:val="tx1"/>
            </w14:solidFill>
          </w14:textFill>
        </w:rPr>
      </w:pPr>
      <w:bookmarkStart w:id="43" w:name="_Toc25017"/>
      <w:r>
        <w:rPr>
          <w:color w:val="000000" w:themeColor="text1"/>
          <w:highlight w:val="none"/>
          <w14:textFill>
            <w14:solidFill>
              <w14:schemeClr w14:val="tx1"/>
            </w14:solidFill>
          </w14:textFill>
        </w:rPr>
        <w:t>3.1 投标文件的组成</w:t>
      </w:r>
      <w:bookmarkEnd w:id="43"/>
    </w:p>
    <w:p w14:paraId="756E6757">
      <w:pPr>
        <w:widowControl/>
        <w:kinsoku w:val="0"/>
        <w:autoSpaceDE w:val="0"/>
        <w:autoSpaceDN w:val="0"/>
        <w:adjustRightInd w:val="0"/>
        <w:snapToGrid w:val="0"/>
        <w:spacing w:line="36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投标文件的组成应满足相应条款要求。</w:t>
      </w:r>
    </w:p>
    <w:p w14:paraId="3D7CAB77">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3.1.1 投标文件应包括下列内容：</w:t>
      </w:r>
    </w:p>
    <w:p w14:paraId="478379DA">
      <w:pPr>
        <w:widowControl/>
        <w:kinsoku w:val="0"/>
        <w:autoSpaceDE w:val="0"/>
        <w:autoSpaceDN w:val="0"/>
        <w:adjustRightInd w:val="0"/>
        <w:snapToGrid w:val="0"/>
        <w:spacing w:line="360" w:lineRule="auto"/>
        <w:ind w:left="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第一个信封（商务及技术文件</w:t>
      </w:r>
      <w:r>
        <w:rPr>
          <w:rFonts w:ascii="宋体" w:hAnsi="宋体" w:cs="宋体"/>
          <w:snapToGrid w:val="0"/>
          <w:color w:val="000000" w:themeColor="text1"/>
          <w:spacing w:val="1"/>
          <w:kern w:val="0"/>
          <w:sz w:val="24"/>
          <w:highlight w:val="none"/>
          <w14:textFill>
            <w14:solidFill>
              <w14:schemeClr w14:val="tx1"/>
            </w14:solidFill>
          </w14:textFill>
        </w:rPr>
        <w:t>）：</w:t>
      </w:r>
    </w:p>
    <w:p w14:paraId="3618BD27">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（1）投标函及投标函附录；</w:t>
      </w:r>
    </w:p>
    <w:p w14:paraId="1BC87902">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（2）授权委托书或法定代表人身份证明；</w:t>
      </w:r>
    </w:p>
    <w:p w14:paraId="5C32478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（3）联合体协议书；</w:t>
      </w:r>
    </w:p>
    <w:p w14:paraId="17F7E63C">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（4）投标保证金；</w:t>
      </w:r>
    </w:p>
    <w:p w14:paraId="6BFC8DAA">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（5）施工组织设计</w:t>
      </w:r>
      <w:r>
        <w:rPr>
          <w:rFonts w:ascii="宋体" w:hAnsi="宋体" w:cs="宋体"/>
          <w:snapToGrid w:val="0"/>
          <w:color w:val="000000" w:themeColor="text1"/>
          <w:spacing w:val="-2"/>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2"/>
          <w:kern w:val="0"/>
          <w:sz w:val="24"/>
          <w:highlight w:val="none"/>
          <w14:textFill>
            <w14:solidFill>
              <w14:schemeClr w14:val="tx1"/>
            </w14:solidFill>
          </w14:textFill>
        </w:rPr>
        <w:t>；</w:t>
      </w:r>
    </w:p>
    <w:p w14:paraId="67BDCB9C">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（6）项目管理机构；</w:t>
      </w:r>
    </w:p>
    <w:p w14:paraId="0CF98E9D">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（7）资格审查资料；</w:t>
      </w:r>
    </w:p>
    <w:p w14:paraId="1A5C2C13">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（8）投标人须知前附表规定的其他资料。</w:t>
      </w:r>
    </w:p>
    <w:p w14:paraId="05D1A7A0">
      <w:pPr>
        <w:widowControl/>
        <w:kinsoku w:val="0"/>
        <w:autoSpaceDE w:val="0"/>
        <w:autoSpaceDN w:val="0"/>
        <w:adjustRightInd w:val="0"/>
        <w:snapToGrid w:val="0"/>
        <w:spacing w:line="360" w:lineRule="auto"/>
        <w:ind w:left="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第二个信封（报价文件</w:t>
      </w:r>
      <w:r>
        <w:rPr>
          <w:rFonts w:ascii="宋体" w:hAnsi="宋体" w:cs="宋体"/>
          <w:snapToGrid w:val="0"/>
          <w:color w:val="000000" w:themeColor="text1"/>
          <w:kern w:val="0"/>
          <w:sz w:val="24"/>
          <w:highlight w:val="none"/>
          <w14:textFill>
            <w14:solidFill>
              <w14:schemeClr w14:val="tx1"/>
            </w14:solidFill>
          </w14:textFill>
        </w:rPr>
        <w:t>）：</w:t>
      </w:r>
    </w:p>
    <w:p w14:paraId="065F6C7F">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（1）调价函及调价后的工程量清单（如有</w:t>
      </w:r>
      <w:r>
        <w:rPr>
          <w:rFonts w:ascii="宋体" w:hAnsi="宋体" w:cs="宋体"/>
          <w:snapToGrid w:val="0"/>
          <w:color w:val="000000" w:themeColor="text1"/>
          <w:spacing w:val="8"/>
          <w:kern w:val="0"/>
          <w:sz w:val="24"/>
          <w:highlight w:val="none"/>
          <w14:textFill>
            <w14:solidFill>
              <w14:schemeClr w14:val="tx1"/>
            </w14:solidFill>
          </w14:textFill>
        </w:rPr>
        <w:t>）；</w:t>
      </w:r>
    </w:p>
    <w:p w14:paraId="77FE4A1E">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（2）投标函；</w:t>
      </w:r>
    </w:p>
    <w:p w14:paraId="71A65530">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（3）已标价工程量清单。</w:t>
      </w:r>
    </w:p>
    <w:p w14:paraId="69EF4424">
      <w:pPr>
        <w:widowControl/>
        <w:kinsoku w:val="0"/>
        <w:autoSpaceDE w:val="0"/>
        <w:autoSpaceDN w:val="0"/>
        <w:adjustRightInd w:val="0"/>
        <w:snapToGrid w:val="0"/>
        <w:spacing w:line="360" w:lineRule="auto"/>
        <w:ind w:left="7" w:right="1"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投标人在评标过程中作出的符合法律法规和招标文件规定的澄清确认，构成投标文件的组成部分。</w:t>
      </w:r>
    </w:p>
    <w:p w14:paraId="1EB71E71">
      <w:pPr>
        <w:widowControl/>
        <w:kinsoku w:val="0"/>
        <w:autoSpaceDE w:val="0"/>
        <w:autoSpaceDN w:val="0"/>
        <w:adjustRightInd w:val="0"/>
        <w:snapToGrid w:val="0"/>
        <w:spacing w:line="360" w:lineRule="auto"/>
        <w:ind w:left="11" w:right="11" w:firstLine="48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3.1.2 投标人须知前附表规定不接受联合体投标的，或投标人没有组成联合体的，</w:t>
      </w:r>
      <w:r>
        <w:rPr>
          <w:rFonts w:ascii="宋体" w:hAnsi="宋体" w:cs="宋体"/>
          <w:snapToGrid w:val="0"/>
          <w:color w:val="000000" w:themeColor="text1"/>
          <w:spacing w:val="-3"/>
          <w:kern w:val="0"/>
          <w:sz w:val="24"/>
          <w:highlight w:val="none"/>
          <w14:textFill>
            <w14:solidFill>
              <w14:schemeClr w14:val="tx1"/>
            </w14:solidFill>
          </w14:textFill>
        </w:rPr>
        <w:t>投标文件不包括本章第</w:t>
      </w:r>
      <w:r>
        <w:rPr>
          <w:rFonts w:ascii="宋体" w:hAnsi="宋体" w:cs="宋体"/>
          <w:snapToGrid w:val="0"/>
          <w:color w:val="000000" w:themeColor="text1"/>
          <w:spacing w:val="-42"/>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3.1.1（3）</w:t>
      </w:r>
      <w:r>
        <w:rPr>
          <w:rFonts w:ascii="宋体" w:hAnsi="宋体" w:cs="宋体"/>
          <w:snapToGrid w:val="0"/>
          <w:color w:val="000000" w:themeColor="text1"/>
          <w:spacing w:val="-6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目所指的联合体协议书。</w:t>
      </w:r>
    </w:p>
    <w:p w14:paraId="20CE1BA2">
      <w:pPr>
        <w:widowControl/>
        <w:kinsoku w:val="0"/>
        <w:autoSpaceDE w:val="0"/>
        <w:autoSpaceDN w:val="0"/>
        <w:adjustRightInd w:val="0"/>
        <w:snapToGrid w:val="0"/>
        <w:spacing w:line="360" w:lineRule="auto"/>
        <w:ind w:left="19" w:right="1" w:firstLine="47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3.1.3 投标人须知前附表未要求提交投标保证</w:t>
      </w:r>
      <w:r>
        <w:rPr>
          <w:rFonts w:ascii="宋体" w:hAnsi="宋体" w:cs="宋体"/>
          <w:snapToGrid w:val="0"/>
          <w:color w:val="000000" w:themeColor="text1"/>
          <w:spacing w:val="-1"/>
          <w:kern w:val="0"/>
          <w:sz w:val="24"/>
          <w:highlight w:val="none"/>
          <w14:textFill>
            <w14:solidFill>
              <w14:schemeClr w14:val="tx1"/>
            </w14:solidFill>
          </w14:textFill>
        </w:rPr>
        <w:t>金的，投标文件不包括本章第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3.1.1</w:t>
      </w:r>
      <w:r>
        <w:rPr>
          <w:rFonts w:ascii="宋体" w:hAnsi="宋体" w:cs="宋体"/>
          <w:snapToGrid w:val="0"/>
          <w:color w:val="000000" w:themeColor="text1"/>
          <w:spacing w:val="-6"/>
          <w:kern w:val="0"/>
          <w:sz w:val="24"/>
          <w:highlight w:val="none"/>
          <w14:textFill>
            <w14:solidFill>
              <w14:schemeClr w14:val="tx1"/>
            </w14:solidFill>
          </w14:textFill>
        </w:rPr>
        <w:t>（4）</w:t>
      </w:r>
      <w:r>
        <w:rPr>
          <w:rFonts w:ascii="宋体" w:hAnsi="宋体" w:cs="宋体"/>
          <w:snapToGrid w:val="0"/>
          <w:color w:val="000000" w:themeColor="text1"/>
          <w:spacing w:val="-64"/>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目所指的投标保证金。</w:t>
      </w:r>
    </w:p>
    <w:p w14:paraId="3E91F9A9">
      <w:pPr>
        <w:pStyle w:val="6"/>
        <w:spacing w:before="218" w:after="156"/>
        <w:rPr>
          <w:color w:val="000000" w:themeColor="text1"/>
          <w:highlight w:val="none"/>
          <w14:textFill>
            <w14:solidFill>
              <w14:schemeClr w14:val="tx1"/>
            </w14:solidFill>
          </w14:textFill>
        </w:rPr>
      </w:pPr>
      <w:bookmarkStart w:id="44" w:name="_Toc6048"/>
      <w:r>
        <w:rPr>
          <w:color w:val="000000" w:themeColor="text1"/>
          <w:highlight w:val="none"/>
          <w14:textFill>
            <w14:solidFill>
              <w14:schemeClr w14:val="tx1"/>
            </w14:solidFill>
          </w14:textFill>
        </w:rPr>
        <w:t>3.2 投标报价</w:t>
      </w:r>
      <w:bookmarkEnd w:id="44"/>
    </w:p>
    <w:p w14:paraId="24A33C29">
      <w:pPr>
        <w:widowControl/>
        <w:kinsoku w:val="0"/>
        <w:autoSpaceDE w:val="0"/>
        <w:autoSpaceDN w:val="0"/>
        <w:adjustRightInd w:val="0"/>
        <w:snapToGrid w:val="0"/>
        <w:spacing w:line="360" w:lineRule="auto"/>
        <w:ind w:left="9" w:right="1"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3.2.1 投标报价应包括国家规定的增值税税金，除投标人须知前附表另有规定外，增值税税金按一般计税方法计算。投标人应按第九</w:t>
      </w:r>
      <w:r>
        <w:rPr>
          <w:rFonts w:ascii="宋体" w:hAnsi="宋体" w:cs="宋体"/>
          <w:snapToGrid w:val="0"/>
          <w:color w:val="000000" w:themeColor="text1"/>
          <w:spacing w:val="-3"/>
          <w:kern w:val="0"/>
          <w:sz w:val="24"/>
          <w:highlight w:val="none"/>
          <w14:textFill>
            <w14:solidFill>
              <w14:schemeClr w14:val="tx1"/>
            </w14:solidFill>
          </w14:textFill>
        </w:rPr>
        <w:t>章“投标文件格式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”的要求在投标函</w:t>
      </w:r>
      <w:r>
        <w:rPr>
          <w:rFonts w:ascii="宋体" w:hAnsi="宋体" w:cs="宋体"/>
          <w:snapToGrid w:val="0"/>
          <w:color w:val="000000" w:themeColor="text1"/>
          <w:spacing w:val="-1"/>
          <w:kern w:val="0"/>
          <w:sz w:val="24"/>
          <w:highlight w:val="none"/>
          <w14:textFill>
            <w14:solidFill>
              <w14:schemeClr w14:val="tx1"/>
            </w14:solidFill>
          </w14:textFill>
        </w:rPr>
        <w:t>中进行报价并填写工程量清单相应表格。</w:t>
      </w:r>
    </w:p>
    <w:p w14:paraId="6AB3E744">
      <w:pPr>
        <w:widowControl/>
        <w:kinsoku w:val="0"/>
        <w:autoSpaceDE w:val="0"/>
        <w:autoSpaceDN w:val="0"/>
        <w:adjustRightInd w:val="0"/>
        <w:snapToGrid w:val="0"/>
        <w:spacing w:line="360" w:lineRule="auto"/>
        <w:ind w:left="11" w:right="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工程量清单的填写分下列两种方式。投标人应按投标人须知前附表规定的方式填写</w:t>
      </w:r>
      <w:r>
        <w:rPr>
          <w:rFonts w:ascii="宋体" w:hAnsi="宋体" w:cs="宋体"/>
          <w:snapToGrid w:val="0"/>
          <w:color w:val="000000" w:themeColor="text1"/>
          <w:spacing w:val="-3"/>
          <w:kern w:val="0"/>
          <w:sz w:val="24"/>
          <w:highlight w:val="none"/>
          <w14:textFill>
            <w14:solidFill>
              <w14:schemeClr w14:val="tx1"/>
            </w14:solidFill>
          </w14:textFill>
        </w:rPr>
        <w:t>工程量清单。</w:t>
      </w:r>
    </w:p>
    <w:p w14:paraId="70903028">
      <w:pPr>
        <w:widowControl/>
        <w:kinsoku w:val="0"/>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方式一：</w:t>
      </w:r>
    </w:p>
    <w:p w14:paraId="57FDF8D6">
      <w:pPr>
        <w:widowControl/>
        <w:kinsoku w:val="0"/>
        <w:autoSpaceDE w:val="0"/>
        <w:autoSpaceDN w:val="0"/>
        <w:adjustRightInd w:val="0"/>
        <w:snapToGrid w:val="0"/>
        <w:spacing w:line="360" w:lineRule="auto"/>
        <w:ind w:left="9" w:right="1" w:firstLine="49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（1）本项目招标采用工程量固化清单，投标人自行下载或招标人发放补遗书的同</w:t>
      </w:r>
      <w:r>
        <w:rPr>
          <w:rFonts w:ascii="宋体" w:hAnsi="宋体" w:cs="宋体"/>
          <w:snapToGrid w:val="0"/>
          <w:color w:val="000000" w:themeColor="text1"/>
          <w:spacing w:val="-2"/>
          <w:kern w:val="0"/>
          <w:sz w:val="24"/>
          <w:highlight w:val="none"/>
          <w14:textFill>
            <w14:solidFill>
              <w14:schemeClr w14:val="tx1"/>
            </w14:solidFill>
          </w14:textFill>
        </w:rPr>
        <w:t>时将工程量固化清单电子文件按投标人须知前附表载明的形式公布给投标人。投标人填写工程量清单中各子目的单价及总额价，即可完成投标工程量清单的编制，确定投标报价编入投标文件。投标人未在工程量清单中填入单价或总额价的工程子目，将被认为其</w:t>
      </w:r>
      <w:r>
        <w:rPr>
          <w:rFonts w:ascii="宋体" w:hAnsi="宋体" w:cs="宋体"/>
          <w:snapToGrid w:val="0"/>
          <w:color w:val="000000" w:themeColor="text1"/>
          <w:kern w:val="0"/>
          <w:sz w:val="24"/>
          <w:highlight w:val="none"/>
          <w14:textFill>
            <w14:solidFill>
              <w14:schemeClr w14:val="tx1"/>
            </w14:solidFill>
          </w14:textFill>
        </w:rPr>
        <w:t>已包含在工程量清单其他子目的单价和总额</w:t>
      </w:r>
      <w:r>
        <w:rPr>
          <w:rFonts w:ascii="宋体" w:hAnsi="宋体" w:cs="宋体"/>
          <w:snapToGrid w:val="0"/>
          <w:color w:val="000000" w:themeColor="text1"/>
          <w:spacing w:val="-1"/>
          <w:kern w:val="0"/>
          <w:sz w:val="24"/>
          <w:highlight w:val="none"/>
          <w14:textFill>
            <w14:solidFill>
              <w14:schemeClr w14:val="tx1"/>
            </w14:solidFill>
          </w14:textFill>
        </w:rPr>
        <w:t>价中，招标人将不予支付。</w:t>
      </w:r>
    </w:p>
    <w:p w14:paraId="7FF1ABDA">
      <w:pPr>
        <w:widowControl/>
        <w:kinsoku w:val="0"/>
        <w:autoSpaceDE w:val="0"/>
        <w:autoSpaceDN w:val="0"/>
        <w:adjustRightInd w:val="0"/>
        <w:snapToGrid w:val="0"/>
        <w:spacing w:line="360" w:lineRule="auto"/>
        <w:ind w:left="10" w:right="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投标人必须严格遵循工程量固化清单电子文件中的数据、格式及运算定义，并将已</w:t>
      </w:r>
      <w:r>
        <w:rPr>
          <w:rFonts w:ascii="宋体" w:hAnsi="宋体" w:cs="宋体"/>
          <w:snapToGrid w:val="0"/>
          <w:color w:val="000000" w:themeColor="text1"/>
          <w:spacing w:val="-3"/>
          <w:kern w:val="0"/>
          <w:sz w:val="24"/>
          <w:highlight w:val="none"/>
          <w14:textFill>
            <w14:solidFill>
              <w14:schemeClr w14:val="tx1"/>
            </w14:solidFill>
          </w14:textFill>
        </w:rPr>
        <w:t>填写完毕的投标工程量清单电子文件上传到“</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电子</w:t>
      </w:r>
      <w:r>
        <w:rPr>
          <w:rFonts w:ascii="宋体" w:hAnsi="宋体" w:cs="宋体"/>
          <w:snapToGrid w:val="0"/>
          <w:color w:val="000000" w:themeColor="text1"/>
          <w:spacing w:val="-4"/>
          <w:kern w:val="0"/>
          <w:sz w:val="24"/>
          <w:highlight w:val="none"/>
          <w14:textFill>
            <w14:solidFill>
              <w14:schemeClr w14:val="tx1"/>
            </w14:solidFill>
          </w14:textFill>
        </w:rPr>
        <w:t>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”。严禁投标人修改工程量</w:t>
      </w:r>
      <w:r>
        <w:rPr>
          <w:rFonts w:ascii="宋体" w:hAnsi="宋体" w:cs="宋体"/>
          <w:snapToGrid w:val="0"/>
          <w:color w:val="000000" w:themeColor="text1"/>
          <w:spacing w:val="-2"/>
          <w:kern w:val="0"/>
          <w:sz w:val="24"/>
          <w:highlight w:val="none"/>
          <w14:textFill>
            <w14:solidFill>
              <w14:schemeClr w14:val="tx1"/>
            </w14:solidFill>
          </w14:textFill>
        </w:rPr>
        <w:t>固化清单电子文件中的数据、格式及运算定义。</w:t>
      </w:r>
    </w:p>
    <w:p w14:paraId="7D359316">
      <w:pPr>
        <w:widowControl/>
        <w:kinsoku w:val="0"/>
        <w:autoSpaceDE w:val="0"/>
        <w:autoSpaceDN w:val="0"/>
        <w:adjustRightInd w:val="0"/>
        <w:snapToGrid w:val="0"/>
        <w:spacing w:line="360" w:lineRule="auto"/>
        <w:ind w:left="7" w:right="80"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（2）投标人根据招标人提供的工程量固化清单电子文件填报完成并打印的投标工</w:t>
      </w:r>
      <w:r>
        <w:rPr>
          <w:rFonts w:ascii="宋体" w:hAnsi="宋体" w:cs="宋体"/>
          <w:snapToGrid w:val="0"/>
          <w:color w:val="000000" w:themeColor="text1"/>
          <w:spacing w:val="-2"/>
          <w:kern w:val="0"/>
          <w:sz w:val="24"/>
          <w:highlight w:val="none"/>
          <w14:textFill>
            <w14:solidFill>
              <w14:schemeClr w14:val="tx1"/>
            </w14:solidFill>
          </w14:textFill>
        </w:rPr>
        <w:t>程量清单中的投标总报价和投标函大写金额报价应一致，如果报价金额出现差异时，其投标将被否决。</w:t>
      </w:r>
    </w:p>
    <w:p w14:paraId="70883F5F">
      <w:pPr>
        <w:widowControl/>
        <w:kinsoku w:val="0"/>
        <w:autoSpaceDE w:val="0"/>
        <w:autoSpaceDN w:val="0"/>
        <w:adjustRightInd w:val="0"/>
        <w:snapToGrid w:val="0"/>
        <w:spacing w:line="360" w:lineRule="auto"/>
        <w:ind w:left="10" w:right="72" w:firstLine="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（3）投标报价的所有单价取小数点后两位，所有合价和总价应四舍五入取整数。工程量清单不需要附项目清单、分项清单及单价分析表，但投标人中标后，发包人可要</w:t>
      </w:r>
      <w:r>
        <w:rPr>
          <w:rFonts w:ascii="宋体" w:hAnsi="宋体" w:cs="宋体"/>
          <w:snapToGrid w:val="0"/>
          <w:color w:val="000000" w:themeColor="text1"/>
          <w:spacing w:val="-1"/>
          <w:kern w:val="0"/>
          <w:sz w:val="24"/>
          <w:highlight w:val="none"/>
          <w14:textFill>
            <w14:solidFill>
              <w14:schemeClr w14:val="tx1"/>
            </w14:solidFill>
          </w14:textFill>
        </w:rPr>
        <w:t>求中标人提交项目清单、分项清单及单价分析表，中标人不得拒绝。</w:t>
      </w:r>
    </w:p>
    <w:p w14:paraId="319CCF79">
      <w:pPr>
        <w:widowControl/>
        <w:kinsoku w:val="0"/>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方式二：</w:t>
      </w:r>
    </w:p>
    <w:p w14:paraId="1131E077">
      <w:pPr>
        <w:widowControl/>
        <w:kinsoku w:val="0"/>
        <w:autoSpaceDE w:val="0"/>
        <w:autoSpaceDN w:val="0"/>
        <w:adjustRightInd w:val="0"/>
        <w:snapToGrid w:val="0"/>
        <w:spacing w:line="360" w:lineRule="auto"/>
        <w:ind w:left="8" w:right="80" w:firstLine="491"/>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（1）本项目招标由招标人提供书面工程量清单，由投标人按照招标人提供的工程</w:t>
      </w:r>
      <w:r>
        <w:rPr>
          <w:rFonts w:ascii="宋体" w:hAnsi="宋体" w:cs="宋体"/>
          <w:snapToGrid w:val="0"/>
          <w:color w:val="000000" w:themeColor="text1"/>
          <w:spacing w:val="-2"/>
          <w:kern w:val="0"/>
          <w:sz w:val="24"/>
          <w:highlight w:val="none"/>
          <w14:textFill>
            <w14:solidFill>
              <w14:schemeClr w14:val="tx1"/>
            </w14:solidFill>
          </w14:textFill>
        </w:rPr>
        <w:t>量清单填写本合同各工程子目的单价、合价和总额价。评标委员会将按照第三章“评标办法</w:t>
      </w:r>
      <w:r>
        <w:rPr>
          <w:rFonts w:ascii="宋体" w:hAnsi="宋体" w:cs="宋体"/>
          <w:snapToGrid w:val="0"/>
          <w:color w:val="000000" w:themeColor="text1"/>
          <w:spacing w:val="-7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”的规定对投标价进行算术性错误修正及其他错误修正。</w:t>
      </w:r>
    </w:p>
    <w:p w14:paraId="35191A77">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3.2.2 投标人应充分了解本项目的总体</w:t>
      </w:r>
      <w:r>
        <w:rPr>
          <w:rFonts w:ascii="宋体" w:hAnsi="宋体" w:cs="宋体"/>
          <w:snapToGrid w:val="0"/>
          <w:color w:val="000000" w:themeColor="text1"/>
          <w:spacing w:val="-1"/>
          <w:kern w:val="0"/>
          <w:sz w:val="24"/>
          <w:highlight w:val="none"/>
          <w14:textFill>
            <w14:solidFill>
              <w14:schemeClr w14:val="tx1"/>
            </w14:solidFill>
          </w14:textFill>
        </w:rPr>
        <w:t>情况以及影响投标报价的其他要素。</w:t>
      </w:r>
    </w:p>
    <w:p w14:paraId="7BB2EEAD">
      <w:pPr>
        <w:widowControl/>
        <w:kinsoku w:val="0"/>
        <w:autoSpaceDE w:val="0"/>
        <w:autoSpaceDN w:val="0"/>
        <w:adjustRightInd w:val="0"/>
        <w:snapToGrid w:val="0"/>
        <w:spacing w:line="360" w:lineRule="auto"/>
        <w:ind w:left="12" w:right="80"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3.2.3 本项目的报价方式见投标人须知前附表。投标人在投标截止时间前修改投标</w:t>
      </w:r>
      <w:r>
        <w:rPr>
          <w:rFonts w:ascii="宋体" w:hAnsi="宋体" w:cs="宋体"/>
          <w:snapToGrid w:val="0"/>
          <w:color w:val="000000" w:themeColor="text1"/>
          <w:spacing w:val="-3"/>
          <w:kern w:val="0"/>
          <w:sz w:val="24"/>
          <w:highlight w:val="none"/>
          <w14:textFill>
            <w14:solidFill>
              <w14:schemeClr w14:val="tx1"/>
            </w14:solidFill>
          </w14:textFill>
        </w:rPr>
        <w:t>函中的投标总报价，应同时修改投标文件“</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已标价</w:t>
      </w:r>
      <w:r>
        <w:rPr>
          <w:rFonts w:ascii="宋体" w:hAnsi="宋体" w:cs="宋体"/>
          <w:snapToGrid w:val="0"/>
          <w:color w:val="000000" w:themeColor="text1"/>
          <w:spacing w:val="-4"/>
          <w:kern w:val="0"/>
          <w:sz w:val="24"/>
          <w:highlight w:val="none"/>
          <w14:textFill>
            <w14:solidFill>
              <w14:schemeClr w14:val="tx1"/>
            </w14:solidFill>
          </w14:textFill>
        </w:rPr>
        <w:t>工程量清单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”中的相应报价。此修改</w:t>
      </w:r>
      <w:r>
        <w:rPr>
          <w:rFonts w:ascii="宋体" w:hAnsi="宋体" w:cs="宋体"/>
          <w:snapToGrid w:val="0"/>
          <w:color w:val="000000" w:themeColor="text1"/>
          <w:spacing w:val="2"/>
          <w:kern w:val="0"/>
          <w:sz w:val="24"/>
          <w:highlight w:val="none"/>
          <w14:textFill>
            <w14:solidFill>
              <w14:schemeClr w14:val="tx1"/>
            </w14:solidFill>
          </w14:textFill>
        </w:rPr>
        <w:t>须符合本章第4.3</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款的有关要求。</w:t>
      </w:r>
    </w:p>
    <w:p w14:paraId="1396E660">
      <w:pPr>
        <w:widowControl/>
        <w:kinsoku w:val="0"/>
        <w:autoSpaceDE w:val="0"/>
        <w:autoSpaceDN w:val="0"/>
        <w:adjustRightInd w:val="0"/>
        <w:snapToGrid w:val="0"/>
        <w:spacing w:line="360" w:lineRule="auto"/>
        <w:ind w:left="9"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3.2.4 投标人如果发现工程量清单中的数量与图纸中数量不一致时，应立即通知招</w:t>
      </w:r>
      <w:r>
        <w:rPr>
          <w:rFonts w:ascii="宋体" w:hAnsi="宋体" w:cs="宋体"/>
          <w:snapToGrid w:val="0"/>
          <w:color w:val="000000" w:themeColor="text1"/>
          <w:spacing w:val="-6"/>
          <w:kern w:val="0"/>
          <w:sz w:val="24"/>
          <w:highlight w:val="none"/>
          <w14:textFill>
            <w14:solidFill>
              <w14:schemeClr w14:val="tx1"/>
            </w14:solidFill>
          </w14:textFill>
        </w:rPr>
        <w:t>标人核查，除非招标人以书面方式予以更正，否则，应以工程量清单中列出的数量为准。</w:t>
      </w:r>
    </w:p>
    <w:p w14:paraId="74C54319">
      <w:pPr>
        <w:widowControl/>
        <w:kinsoku w:val="0"/>
        <w:autoSpaceDE w:val="0"/>
        <w:autoSpaceDN w:val="0"/>
        <w:adjustRightInd w:val="0"/>
        <w:snapToGrid w:val="0"/>
        <w:spacing w:line="360" w:lineRule="auto"/>
        <w:ind w:left="13" w:right="80"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3.2.5 投标人应根据《公路水运工程安全生产监督管理办法》，在投标总价中计入</w:t>
      </w:r>
      <w:r>
        <w:rPr>
          <w:rFonts w:ascii="宋体" w:hAnsi="宋体" w:cs="宋体"/>
          <w:snapToGrid w:val="0"/>
          <w:color w:val="000000" w:themeColor="text1"/>
          <w:spacing w:val="-1"/>
          <w:kern w:val="0"/>
          <w:sz w:val="24"/>
          <w:highlight w:val="none"/>
          <w14:textFill>
            <w14:solidFill>
              <w14:schemeClr w14:val="tx1"/>
            </w14:solidFill>
          </w14:textFill>
        </w:rPr>
        <w:t>安全生产费用，安全生产费用应符合合同条款</w:t>
      </w:r>
      <w:r>
        <w:rPr>
          <w:rFonts w:ascii="宋体" w:hAnsi="宋体" w:cs="宋体"/>
          <w:snapToGrid w:val="0"/>
          <w:color w:val="000000" w:themeColor="text1"/>
          <w:spacing w:val="-2"/>
          <w:kern w:val="0"/>
          <w:sz w:val="24"/>
          <w:highlight w:val="none"/>
          <w14:textFill>
            <w14:solidFill>
              <w14:schemeClr w14:val="tx1"/>
            </w14:solidFill>
          </w14:textFill>
        </w:rPr>
        <w:t>第9.2.5</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项的规定。工程量清单第</w:t>
      </w:r>
      <w:r>
        <w:rPr>
          <w:rFonts w:ascii="宋体" w:hAnsi="宋体" w:cs="宋体"/>
          <w:snapToGrid w:val="0"/>
          <w:color w:val="000000" w:themeColor="text1"/>
          <w:spacing w:val="-32"/>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100</w:t>
      </w:r>
      <w:r>
        <w:rPr>
          <w:rFonts w:ascii="宋体" w:hAnsi="宋体" w:cs="宋体"/>
          <w:snapToGrid w:val="0"/>
          <w:color w:val="000000" w:themeColor="text1"/>
          <w:spacing w:val="-43"/>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章</w:t>
      </w:r>
      <w:r>
        <w:rPr>
          <w:rFonts w:ascii="宋体" w:hAnsi="宋体" w:cs="宋体"/>
          <w:snapToGrid w:val="0"/>
          <w:color w:val="000000" w:themeColor="text1"/>
          <w:spacing w:val="-1"/>
          <w:kern w:val="0"/>
          <w:sz w:val="24"/>
          <w:highlight w:val="none"/>
          <w14:textFill>
            <w14:solidFill>
              <w14:schemeClr w14:val="tx1"/>
            </w14:solidFill>
          </w14:textFill>
        </w:rPr>
        <w:t>内列有上述安全生产费的支付子目，由投标人按招标文件的规定填写总额价。</w:t>
      </w:r>
    </w:p>
    <w:p w14:paraId="51666AD7">
      <w:pPr>
        <w:widowControl/>
        <w:kinsoku w:val="0"/>
        <w:autoSpaceDE w:val="0"/>
        <w:autoSpaceDN w:val="0"/>
        <w:adjustRightInd w:val="0"/>
        <w:snapToGrid w:val="0"/>
        <w:spacing w:line="360" w:lineRule="auto"/>
        <w:ind w:left="24" w:right="80" w:firstLine="46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3.2.6 除投标人须知前附表另有规定外，招标人不接受调价函。若招标人接受调价</w:t>
      </w:r>
      <w:r>
        <w:rPr>
          <w:rFonts w:ascii="宋体" w:hAnsi="宋体" w:cs="宋体"/>
          <w:snapToGrid w:val="0"/>
          <w:color w:val="000000" w:themeColor="text1"/>
          <w:spacing w:val="-1"/>
          <w:kern w:val="0"/>
          <w:sz w:val="24"/>
          <w:highlight w:val="none"/>
          <w14:textFill>
            <w14:solidFill>
              <w14:schemeClr w14:val="tx1"/>
            </w14:solidFill>
          </w14:textFill>
        </w:rPr>
        <w:t>函，则应在招标文件中给出调价函的格式。投标人若有调价函则应遵循如下规定：</w:t>
      </w:r>
    </w:p>
    <w:p w14:paraId="6155DB57">
      <w:pPr>
        <w:widowControl/>
        <w:kinsoku w:val="0"/>
        <w:autoSpaceDE w:val="0"/>
        <w:autoSpaceDN w:val="0"/>
        <w:adjustRightInd w:val="0"/>
        <w:snapToGrid w:val="0"/>
        <w:spacing w:line="360" w:lineRule="auto"/>
        <w:ind w:left="35" w:right="80" w:firstLine="46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（1）调价函必须采用招标文件规定的格式；调价函应说明调价后的最终报价，并</w:t>
      </w:r>
      <w:r>
        <w:rPr>
          <w:rFonts w:ascii="宋体" w:hAnsi="宋体" w:cs="宋体"/>
          <w:snapToGrid w:val="0"/>
          <w:color w:val="000000" w:themeColor="text1"/>
          <w:spacing w:val="-2"/>
          <w:kern w:val="0"/>
          <w:sz w:val="24"/>
          <w:highlight w:val="none"/>
          <w14:textFill>
            <w14:solidFill>
              <w14:schemeClr w14:val="tx1"/>
            </w14:solidFill>
          </w14:textFill>
        </w:rPr>
        <w:t>以最终报价为准，而且投标人只能有一次调价的机会；</w:t>
      </w:r>
    </w:p>
    <w:p w14:paraId="70672A1D">
      <w:pPr>
        <w:widowControl/>
        <w:kinsoku w:val="0"/>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（2）工程量清单中招标人指定的报价不允许调价；</w:t>
      </w:r>
    </w:p>
    <w:p w14:paraId="7BCC57FC">
      <w:pPr>
        <w:widowControl/>
        <w:kinsoku w:val="0"/>
        <w:autoSpaceDE w:val="0"/>
        <w:autoSpaceDN w:val="0"/>
        <w:adjustRightInd w:val="0"/>
        <w:snapToGrid w:val="0"/>
        <w:spacing w:line="360" w:lineRule="auto"/>
        <w:ind w:left="9" w:right="80"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（3）调价函必须附有调价后的工程量清单；调价函必须附在投标文件首页，与投</w:t>
      </w:r>
      <w:r>
        <w:rPr>
          <w:rFonts w:ascii="宋体" w:hAnsi="宋体" w:cs="宋体"/>
          <w:snapToGrid w:val="0"/>
          <w:color w:val="000000" w:themeColor="text1"/>
          <w:spacing w:val="-2"/>
          <w:kern w:val="0"/>
          <w:sz w:val="24"/>
          <w:highlight w:val="none"/>
          <w14:textFill>
            <w14:solidFill>
              <w14:schemeClr w14:val="tx1"/>
            </w14:solidFill>
          </w14:textFill>
        </w:rPr>
        <w:t>标文件一起提交。</w:t>
      </w:r>
    </w:p>
    <w:p w14:paraId="73DD24A0">
      <w:pPr>
        <w:kinsoku w:val="0"/>
        <w:autoSpaceDE w:val="0"/>
        <w:autoSpaceDN w:val="0"/>
        <w:adjustRightInd w:val="0"/>
        <w:snapToGrid w:val="0"/>
        <w:spacing w:line="360" w:lineRule="auto"/>
        <w:ind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若投标人未提交调价后的工程量清单，或调价函未附在投标文件首页，调价函均视</w:t>
      </w:r>
      <w:bookmarkStart w:id="45" w:name="bookmark160"/>
      <w:bookmarkEnd w:id="45"/>
      <w:r>
        <w:rPr>
          <w:rFonts w:ascii="宋体" w:hAnsi="宋体" w:cs="宋体"/>
          <w:snapToGrid w:val="0"/>
          <w:color w:val="000000" w:themeColor="text1"/>
          <w:spacing w:val="-1"/>
          <w:kern w:val="0"/>
          <w:sz w:val="24"/>
          <w:highlight w:val="none"/>
          <w14:textFill>
            <w14:solidFill>
              <w14:schemeClr w14:val="tx1"/>
            </w14:solidFill>
          </w14:textFill>
        </w:rPr>
        <w:t>为无效，仍以原报价作为最终报价。若投标人</w:t>
      </w:r>
      <w:r>
        <w:rPr>
          <w:rFonts w:ascii="宋体" w:hAnsi="宋体" w:cs="宋体"/>
          <w:snapToGrid w:val="0"/>
          <w:color w:val="000000" w:themeColor="text1"/>
          <w:spacing w:val="-2"/>
          <w:kern w:val="0"/>
          <w:sz w:val="24"/>
          <w:highlight w:val="none"/>
          <w14:textFill>
            <w14:solidFill>
              <w14:schemeClr w14:val="tx1"/>
            </w14:solidFill>
          </w14:textFill>
        </w:rPr>
        <w:t>提交的调价函多于一个，或对不允许调价</w:t>
      </w:r>
      <w:r>
        <w:rPr>
          <w:rFonts w:ascii="宋体" w:hAnsi="宋体" w:cs="宋体"/>
          <w:snapToGrid w:val="0"/>
          <w:color w:val="000000" w:themeColor="text1"/>
          <w:spacing w:val="-1"/>
          <w:kern w:val="0"/>
          <w:sz w:val="24"/>
          <w:highlight w:val="none"/>
          <w14:textFill>
            <w14:solidFill>
              <w14:schemeClr w14:val="tx1"/>
            </w14:solidFill>
          </w14:textFill>
        </w:rPr>
        <w:t>的内容进行了调价，或调价函有附加条件，其投标将</w:t>
      </w:r>
      <w:r>
        <w:rPr>
          <w:rFonts w:ascii="宋体" w:hAnsi="宋体" w:cs="宋体"/>
          <w:snapToGrid w:val="0"/>
          <w:color w:val="000000" w:themeColor="text1"/>
          <w:spacing w:val="-2"/>
          <w:kern w:val="0"/>
          <w:sz w:val="24"/>
          <w:highlight w:val="none"/>
          <w14:textFill>
            <w14:solidFill>
              <w14:schemeClr w14:val="tx1"/>
            </w14:solidFill>
          </w14:textFill>
        </w:rPr>
        <w:t>被否决。</w:t>
      </w:r>
    </w:p>
    <w:p w14:paraId="59319831">
      <w:pPr>
        <w:widowControl/>
        <w:kinsoku w:val="0"/>
        <w:autoSpaceDE w:val="0"/>
        <w:autoSpaceDN w:val="0"/>
        <w:adjustRightInd w:val="0"/>
        <w:snapToGrid w:val="0"/>
        <w:spacing w:line="360" w:lineRule="auto"/>
        <w:ind w:left="9" w:right="8" w:firstLine="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（4）若招标人接受调价函，投标人调价后的工程量清单和有效调价函的大写金额</w:t>
      </w:r>
      <w:r>
        <w:rPr>
          <w:rFonts w:ascii="宋体" w:hAnsi="宋体" w:cs="宋体"/>
          <w:snapToGrid w:val="0"/>
          <w:color w:val="000000" w:themeColor="text1"/>
          <w:kern w:val="0"/>
          <w:sz w:val="24"/>
          <w:highlight w:val="none"/>
          <w14:textFill>
            <w14:solidFill>
              <w14:schemeClr w14:val="tx1"/>
            </w14:solidFill>
          </w14:textFill>
        </w:rPr>
        <w:t>报价应保持一致，如果报价金额出现差异，则以有效调价函的</w:t>
      </w:r>
      <w:r>
        <w:rPr>
          <w:rFonts w:ascii="宋体" w:hAnsi="宋体" w:cs="宋体"/>
          <w:snapToGrid w:val="0"/>
          <w:color w:val="000000" w:themeColor="text1"/>
          <w:spacing w:val="-1"/>
          <w:kern w:val="0"/>
          <w:sz w:val="24"/>
          <w:highlight w:val="none"/>
          <w14:textFill>
            <w14:solidFill>
              <w14:schemeClr w14:val="tx1"/>
            </w14:solidFill>
          </w14:textFill>
        </w:rPr>
        <w:t>大写金额报价为准。</w:t>
      </w:r>
    </w:p>
    <w:p w14:paraId="08720FEF">
      <w:pPr>
        <w:widowControl/>
        <w:kinsoku w:val="0"/>
        <w:autoSpaceDE w:val="0"/>
        <w:autoSpaceDN w:val="0"/>
        <w:adjustRightInd w:val="0"/>
        <w:snapToGrid w:val="0"/>
        <w:spacing w:line="360" w:lineRule="auto"/>
        <w:ind w:left="12" w:right="8"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3.2.7 在合同实施期间，投标人填写的单价、合价和总额价是否由于物价波动进行</w:t>
      </w:r>
      <w:r>
        <w:rPr>
          <w:rFonts w:ascii="宋体" w:hAnsi="宋体" w:cs="宋体"/>
          <w:snapToGrid w:val="0"/>
          <w:color w:val="000000" w:themeColor="text1"/>
          <w:spacing w:val="-3"/>
          <w:kern w:val="0"/>
          <w:sz w:val="24"/>
          <w:highlight w:val="none"/>
          <w14:textFill>
            <w14:solidFill>
              <w14:schemeClr w14:val="tx1"/>
            </w14:solidFill>
          </w14:textFill>
        </w:rPr>
        <w:t>价格调整按照合同条款第</w:t>
      </w:r>
      <w:r>
        <w:rPr>
          <w:rFonts w:ascii="宋体" w:hAnsi="宋体" w:cs="宋体"/>
          <w:snapToGrid w:val="0"/>
          <w:color w:val="000000" w:themeColor="text1"/>
          <w:spacing w:val="-1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16.1</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款的规定处理。</w:t>
      </w:r>
    </w:p>
    <w:p w14:paraId="4D8F5F35">
      <w:pPr>
        <w:widowControl/>
        <w:kinsoku w:val="0"/>
        <w:autoSpaceDE w:val="0"/>
        <w:autoSpaceDN w:val="0"/>
        <w:adjustRightInd w:val="0"/>
        <w:snapToGrid w:val="0"/>
        <w:spacing w:line="360" w:lineRule="auto"/>
        <w:ind w:left="18" w:right="8"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3.2.8 招标人设有最高投标限价的，投标人的投标报价不得超过最高投标限价，最</w:t>
      </w:r>
      <w:r>
        <w:rPr>
          <w:rFonts w:ascii="宋体" w:hAnsi="宋体" w:cs="宋体"/>
          <w:snapToGrid w:val="0"/>
          <w:color w:val="000000" w:themeColor="text1"/>
          <w:spacing w:val="-1"/>
          <w:kern w:val="0"/>
          <w:sz w:val="24"/>
          <w:highlight w:val="none"/>
          <w14:textFill>
            <w14:solidFill>
              <w14:schemeClr w14:val="tx1"/>
            </w14:solidFill>
          </w14:textFill>
        </w:rPr>
        <w:t>高投标限价在投标人须知前附表中载明。</w:t>
      </w:r>
    </w:p>
    <w:p w14:paraId="16B28684">
      <w:pPr>
        <w:widowControl/>
        <w:kinsoku w:val="0"/>
        <w:autoSpaceDE w:val="0"/>
        <w:autoSpaceDN w:val="0"/>
        <w:adjustRightInd w:val="0"/>
        <w:snapToGrid w:val="0"/>
        <w:spacing w:line="360" w:lineRule="auto"/>
        <w:ind w:left="49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3.2.9 投标报价的其他要求见投标人须知前附表。</w:t>
      </w:r>
    </w:p>
    <w:p w14:paraId="75792730">
      <w:pPr>
        <w:pStyle w:val="6"/>
        <w:spacing w:before="218" w:after="156"/>
        <w:rPr>
          <w:color w:val="000000" w:themeColor="text1"/>
          <w:highlight w:val="none"/>
          <w14:textFill>
            <w14:solidFill>
              <w14:schemeClr w14:val="tx1"/>
            </w14:solidFill>
          </w14:textFill>
        </w:rPr>
      </w:pPr>
      <w:bookmarkStart w:id="46" w:name="_Toc4745"/>
      <w:r>
        <w:rPr>
          <w:color w:val="000000" w:themeColor="text1"/>
          <w:highlight w:val="none"/>
          <w14:textFill>
            <w14:solidFill>
              <w14:schemeClr w14:val="tx1"/>
            </w14:solidFill>
          </w14:textFill>
        </w:rPr>
        <w:t>3.3 投标有效期</w:t>
      </w:r>
      <w:bookmarkEnd w:id="46"/>
    </w:p>
    <w:p w14:paraId="7F4F5DF1">
      <w:pPr>
        <w:widowControl/>
        <w:autoSpaceDE w:val="0"/>
        <w:autoSpaceDN w:val="0"/>
        <w:adjustRightInd w:val="0"/>
        <w:snapToGrid w:val="0"/>
        <w:spacing w:line="360" w:lineRule="auto"/>
        <w:ind w:left="49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3.3.1 除投标人须知前附表另有规定外，投标有效期为90日。</w:t>
      </w:r>
    </w:p>
    <w:p w14:paraId="6F85E81D">
      <w:pPr>
        <w:widowControl/>
        <w:autoSpaceDE w:val="0"/>
        <w:autoSpaceDN w:val="0"/>
        <w:adjustRightInd w:val="0"/>
        <w:snapToGrid w:val="0"/>
        <w:spacing w:line="360" w:lineRule="auto"/>
        <w:ind w:left="10" w:right="8"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3.3.2 在投标有效期内，投标人撤销投标文件的，应承担招标文件和法律规定的责</w:t>
      </w:r>
      <w:r>
        <w:rPr>
          <w:rFonts w:ascii="宋体" w:hAnsi="宋体" w:cs="宋体"/>
          <w:snapToGrid w:val="0"/>
          <w:color w:val="000000" w:themeColor="text1"/>
          <w:spacing w:val="-5"/>
          <w:kern w:val="0"/>
          <w:sz w:val="24"/>
          <w:highlight w:val="none"/>
          <w14:textFill>
            <w14:solidFill>
              <w14:schemeClr w14:val="tx1"/>
            </w14:solidFill>
          </w14:textFill>
        </w:rPr>
        <w:t>任。</w:t>
      </w:r>
    </w:p>
    <w:p w14:paraId="74DCAA57">
      <w:pPr>
        <w:widowControl/>
        <w:autoSpaceDE w:val="0"/>
        <w:autoSpaceDN w:val="0"/>
        <w:adjustRightInd w:val="0"/>
        <w:snapToGrid w:val="0"/>
        <w:spacing w:line="360" w:lineRule="auto"/>
        <w:ind w:left="12" w:right="8"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3.3.3</w:t>
      </w:r>
      <w:r>
        <w:rPr>
          <w:rFonts w:ascii="宋体" w:hAnsi="宋体" w:cs="宋体"/>
          <w:snapToGrid w:val="0"/>
          <w:color w:val="000000" w:themeColor="text1"/>
          <w:spacing w:val="3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出现特殊情况需要延长投标有效期</w:t>
      </w:r>
      <w:r>
        <w:rPr>
          <w:rFonts w:ascii="宋体" w:hAnsi="宋体" w:cs="宋体"/>
          <w:snapToGrid w:val="0"/>
          <w:color w:val="000000" w:themeColor="text1"/>
          <w:spacing w:val="-3"/>
          <w:kern w:val="0"/>
          <w:sz w:val="24"/>
          <w:highlight w:val="none"/>
          <w14:textFill>
            <w14:solidFill>
              <w14:schemeClr w14:val="tx1"/>
            </w14:solidFill>
          </w14:textFill>
        </w:rPr>
        <w:t>的，招标人以书面形式通知所有投标人延</w:t>
      </w:r>
      <w:r>
        <w:rPr>
          <w:rFonts w:ascii="宋体" w:hAnsi="宋体" w:cs="宋体"/>
          <w:snapToGrid w:val="0"/>
          <w:color w:val="000000" w:themeColor="text1"/>
          <w:spacing w:val="-2"/>
          <w:kern w:val="0"/>
          <w:sz w:val="24"/>
          <w:highlight w:val="none"/>
          <w14:textFill>
            <w14:solidFill>
              <w14:schemeClr w14:val="tx1"/>
            </w14:solidFill>
          </w14:textFill>
        </w:rPr>
        <w:t>长投标有效期。投标人应予以书面答复，同意延长的，应相应延长其投标保证金的有效期，但不得要求或被允许修改其投标文件；投标人拒绝延长的，其投标失效，但投标人</w:t>
      </w:r>
      <w:r>
        <w:rPr>
          <w:rFonts w:ascii="宋体" w:hAnsi="宋体" w:cs="宋体"/>
          <w:snapToGrid w:val="0"/>
          <w:color w:val="000000" w:themeColor="text1"/>
          <w:spacing w:val="5"/>
          <w:kern w:val="0"/>
          <w:sz w:val="24"/>
          <w:highlight w:val="none"/>
          <w14:textFill>
            <w14:solidFill>
              <w14:schemeClr w14:val="tx1"/>
            </w14:solidFill>
          </w14:textFill>
        </w:rPr>
        <w:t>有权收回其投标保证金及以现金或支票形式递交的投标保证金的银行同期</w:t>
      </w:r>
      <w:r>
        <w:rPr>
          <w:rFonts w:ascii="宋体" w:hAnsi="宋体" w:cs="宋体"/>
          <w:snapToGrid w:val="0"/>
          <w:color w:val="000000" w:themeColor="text1"/>
          <w:spacing w:val="4"/>
          <w:kern w:val="0"/>
          <w:sz w:val="24"/>
          <w:highlight w:val="none"/>
          <w14:textFill>
            <w14:solidFill>
              <w14:schemeClr w14:val="tx1"/>
            </w14:solidFill>
          </w14:textFill>
        </w:rPr>
        <w:t>活期存款利</w:t>
      </w:r>
      <w:r>
        <w:rPr>
          <w:rFonts w:ascii="宋体" w:hAnsi="宋体" w:cs="宋体"/>
          <w:snapToGrid w:val="0"/>
          <w:color w:val="000000" w:themeColor="text1"/>
          <w:spacing w:val="-6"/>
          <w:kern w:val="0"/>
          <w:sz w:val="24"/>
          <w:highlight w:val="none"/>
          <w14:textFill>
            <w14:solidFill>
              <w14:schemeClr w14:val="tx1"/>
            </w14:solidFill>
          </w14:textFill>
        </w:rPr>
        <w:t>息。</w:t>
      </w:r>
    </w:p>
    <w:p w14:paraId="64EB3BB3">
      <w:pPr>
        <w:pStyle w:val="6"/>
        <w:spacing w:before="218" w:after="156"/>
        <w:rPr>
          <w:color w:val="000000" w:themeColor="text1"/>
          <w:highlight w:val="none"/>
          <w14:textFill>
            <w14:solidFill>
              <w14:schemeClr w14:val="tx1"/>
            </w14:solidFill>
          </w14:textFill>
        </w:rPr>
      </w:pPr>
      <w:bookmarkStart w:id="47" w:name="_Toc29470"/>
      <w:r>
        <w:rPr>
          <w:color w:val="000000" w:themeColor="text1"/>
          <w:highlight w:val="none"/>
          <w14:textFill>
            <w14:solidFill>
              <w14:schemeClr w14:val="tx1"/>
            </w14:solidFill>
          </w14:textFill>
        </w:rPr>
        <w:t>3.4 投标保证金</w:t>
      </w:r>
      <w:bookmarkEnd w:id="47"/>
    </w:p>
    <w:p w14:paraId="298928B7">
      <w:pPr>
        <w:widowControl/>
        <w:autoSpaceDE w:val="0"/>
        <w:autoSpaceDN w:val="0"/>
        <w:adjustRightInd w:val="0"/>
        <w:snapToGrid w:val="0"/>
        <w:spacing w:line="360" w:lineRule="auto"/>
        <w:ind w:firstLine="496"/>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3.4.1 投标人在递交投标文件的同时，应按投标人须知前附表规定的金额和第九章“投标文件格式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”规定的投标保证金格式递交投标保证金，并作为其投标文件的</w:t>
      </w:r>
      <w:r>
        <w:rPr>
          <w:rFonts w:ascii="宋体" w:hAnsi="宋体" w:cs="宋体"/>
          <w:snapToGrid w:val="0"/>
          <w:color w:val="000000" w:themeColor="text1"/>
          <w:spacing w:val="-3"/>
          <w:kern w:val="0"/>
          <w:sz w:val="24"/>
          <w:highlight w:val="none"/>
          <w14:textFill>
            <w14:solidFill>
              <w14:schemeClr w14:val="tx1"/>
            </w14:solidFill>
          </w14:textFill>
        </w:rPr>
        <w:t>组成部</w:t>
      </w:r>
      <w:r>
        <w:rPr>
          <w:rFonts w:ascii="宋体" w:hAnsi="宋体" w:cs="宋体"/>
          <w:snapToGrid w:val="0"/>
          <w:color w:val="000000" w:themeColor="text1"/>
          <w:spacing w:val="-1"/>
          <w:kern w:val="0"/>
          <w:sz w:val="24"/>
          <w:highlight w:val="none"/>
          <w14:textFill>
            <w14:solidFill>
              <w14:schemeClr w14:val="tx1"/>
            </w14:solidFill>
          </w14:textFill>
        </w:rPr>
        <w:t>分。联合体投标的，其投标保证金由牵头人递交，并应符合投标人须知前附表的规定。</w:t>
      </w:r>
    </w:p>
    <w:p w14:paraId="1411C8FF">
      <w:pPr>
        <w:widowControl/>
        <w:autoSpaceDE w:val="0"/>
        <w:autoSpaceDN w:val="0"/>
        <w:adjustRightInd w:val="0"/>
        <w:snapToGrid w:val="0"/>
        <w:spacing w:line="360" w:lineRule="auto"/>
        <w:ind w:left="14" w:right="8"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投标保证金应采用现金、支票、银行保函或招标人在投标人须知前附表规定的其他</w:t>
      </w:r>
      <w:r>
        <w:rPr>
          <w:rFonts w:ascii="宋体" w:hAnsi="宋体" w:cs="宋体"/>
          <w:snapToGrid w:val="0"/>
          <w:color w:val="000000" w:themeColor="text1"/>
          <w:spacing w:val="-5"/>
          <w:kern w:val="0"/>
          <w:sz w:val="24"/>
          <w:highlight w:val="none"/>
          <w14:textFill>
            <w14:solidFill>
              <w14:schemeClr w14:val="tx1"/>
            </w14:solidFill>
          </w14:textFill>
        </w:rPr>
        <w:t>形式。</w:t>
      </w:r>
    </w:p>
    <w:p w14:paraId="08176D1C">
      <w:pPr>
        <w:widowControl/>
        <w:autoSpaceDE w:val="0"/>
        <w:autoSpaceDN w:val="0"/>
        <w:adjustRightInd w:val="0"/>
        <w:snapToGrid w:val="0"/>
        <w:spacing w:line="360" w:lineRule="auto"/>
        <w:ind w:left="12" w:right="8"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（1）若采用现金或支票，投标人应在递交投标文件截止时间之前，将投标保证金</w:t>
      </w:r>
      <w:r>
        <w:rPr>
          <w:rFonts w:ascii="宋体" w:hAnsi="宋体" w:cs="宋体"/>
          <w:snapToGrid w:val="0"/>
          <w:color w:val="000000" w:themeColor="text1"/>
          <w:spacing w:val="-2"/>
          <w:kern w:val="0"/>
          <w:sz w:val="24"/>
          <w:highlight w:val="none"/>
          <w14:textFill>
            <w14:solidFill>
              <w14:schemeClr w14:val="tx1"/>
            </w14:solidFill>
          </w14:textFill>
        </w:rPr>
        <w:t>由投标人的基本账户转入招标人指定账户，否则视为投标保证金无效。招标人指定的开</w:t>
      </w:r>
      <w:r>
        <w:rPr>
          <w:rFonts w:ascii="宋体" w:hAnsi="宋体" w:cs="宋体"/>
          <w:snapToGrid w:val="0"/>
          <w:color w:val="000000" w:themeColor="text1"/>
          <w:spacing w:val="-1"/>
          <w:kern w:val="0"/>
          <w:sz w:val="24"/>
          <w:highlight w:val="none"/>
          <w14:textFill>
            <w14:solidFill>
              <w14:schemeClr w14:val="tx1"/>
            </w14:solidFill>
          </w14:textFill>
        </w:rPr>
        <w:t>户银行及账号见投标人须知前附表。</w:t>
      </w:r>
    </w:p>
    <w:p w14:paraId="28C2F47D">
      <w:pPr>
        <w:widowControl/>
        <w:autoSpaceDE w:val="0"/>
        <w:autoSpaceDN w:val="0"/>
        <w:adjustRightInd w:val="0"/>
        <w:snapToGrid w:val="0"/>
        <w:spacing w:line="360" w:lineRule="auto"/>
        <w:ind w:left="13" w:right="8" w:firstLine="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（2）若采用银行保函，则应由符合投标人须知前附表规定级别的银行开具，并采</w:t>
      </w:r>
      <w:r>
        <w:rPr>
          <w:rFonts w:ascii="宋体" w:hAnsi="宋体" w:cs="宋体"/>
          <w:snapToGrid w:val="0"/>
          <w:color w:val="000000" w:themeColor="text1"/>
          <w:spacing w:val="-2"/>
          <w:kern w:val="0"/>
          <w:sz w:val="24"/>
          <w:highlight w:val="none"/>
          <w14:textFill>
            <w14:solidFill>
              <w14:schemeClr w14:val="tx1"/>
            </w14:solidFill>
          </w14:textFill>
        </w:rPr>
        <w:t>用招标文件提供的格式。银行保函扫描件附在投标文件内，原件应在递交投标文件截止</w:t>
      </w:r>
      <w:r>
        <w:rPr>
          <w:rFonts w:ascii="宋体" w:hAnsi="宋体" w:cs="宋体"/>
          <w:snapToGrid w:val="0"/>
          <w:color w:val="000000" w:themeColor="text1"/>
          <w:spacing w:val="-1"/>
          <w:kern w:val="0"/>
          <w:sz w:val="24"/>
          <w:highlight w:val="none"/>
          <w14:textFill>
            <w14:solidFill>
              <w14:schemeClr w14:val="tx1"/>
            </w14:solidFill>
          </w14:textFill>
        </w:rPr>
        <w:t>时间之前单独密封递交给招标人。</w:t>
      </w:r>
    </w:p>
    <w:p w14:paraId="444090E1">
      <w:pPr>
        <w:widowControl/>
        <w:autoSpaceDE w:val="0"/>
        <w:autoSpaceDN w:val="0"/>
        <w:adjustRightInd w:val="0"/>
        <w:snapToGrid w:val="0"/>
        <w:spacing w:line="360" w:lineRule="auto"/>
        <w:ind w:right="8" w:firstLine="472" w:firstLineChars="20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无论采取何种形式的投标保证金，投标保证金有效期均应与投标有效期一致。招标</w:t>
      </w:r>
      <w:r>
        <w:rPr>
          <w:rFonts w:ascii="宋体" w:hAnsi="宋体" w:cs="宋体"/>
          <w:snapToGrid w:val="0"/>
          <w:color w:val="000000" w:themeColor="text1"/>
          <w:spacing w:val="-3"/>
          <w:kern w:val="0"/>
          <w:sz w:val="24"/>
          <w:highlight w:val="none"/>
          <w14:textFill>
            <w14:solidFill>
              <w14:schemeClr w14:val="tx1"/>
            </w14:solidFill>
          </w14:textFill>
        </w:rPr>
        <w:t>人如果按本章第3.3.3</w:t>
      </w:r>
      <w:r>
        <w:rPr>
          <w:rFonts w:ascii="宋体" w:hAnsi="宋体" w:cs="宋体"/>
          <w:snapToGrid w:val="0"/>
          <w:color w:val="000000" w:themeColor="text1"/>
          <w:spacing w:val="-5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项的规定延长了投标有效期，则投标保证金的有效期也相应延长。</w:t>
      </w:r>
    </w:p>
    <w:p w14:paraId="374A913F">
      <w:pPr>
        <w:widowControl/>
        <w:autoSpaceDE w:val="0"/>
        <w:autoSpaceDN w:val="0"/>
        <w:adjustRightInd w:val="0"/>
        <w:snapToGrid w:val="0"/>
        <w:spacing w:line="360" w:lineRule="auto"/>
        <w:ind w:left="9" w:right="181"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3.4.2 投标人不按本章第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3.4.1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项要求提交投标保证金的，评</w:t>
      </w:r>
      <w:r>
        <w:rPr>
          <w:rFonts w:ascii="宋体" w:hAnsi="宋体" w:cs="宋体"/>
          <w:snapToGrid w:val="0"/>
          <w:color w:val="000000" w:themeColor="text1"/>
          <w:spacing w:val="-3"/>
          <w:kern w:val="0"/>
          <w:sz w:val="24"/>
          <w:highlight w:val="none"/>
          <w14:textFill>
            <w14:solidFill>
              <w14:schemeClr w14:val="tx1"/>
            </w14:solidFill>
          </w14:textFill>
        </w:rPr>
        <w:t>标委员会将否决其投</w:t>
      </w:r>
      <w:r>
        <w:rPr>
          <w:rFonts w:ascii="宋体" w:hAnsi="宋体" w:cs="宋体"/>
          <w:snapToGrid w:val="0"/>
          <w:color w:val="000000" w:themeColor="text1"/>
          <w:spacing w:val="-6"/>
          <w:kern w:val="0"/>
          <w:sz w:val="24"/>
          <w:highlight w:val="none"/>
          <w14:textFill>
            <w14:solidFill>
              <w14:schemeClr w14:val="tx1"/>
            </w14:solidFill>
          </w14:textFill>
        </w:rPr>
        <w:t>标。</w:t>
      </w:r>
    </w:p>
    <w:p w14:paraId="0B2EFD7F">
      <w:pPr>
        <w:widowControl/>
        <w:autoSpaceDE w:val="0"/>
        <w:autoSpaceDN w:val="0"/>
        <w:adjustRightInd w:val="0"/>
        <w:snapToGrid w:val="0"/>
        <w:spacing w:line="360" w:lineRule="auto"/>
        <w:ind w:left="7" w:right="181"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3.4.3 根据《广东省实施&lt;中华人民共和国招标投标法&gt;办法》第二十五条规定，招标人应当在中标通知书发出之日起五日内将投标保证金退回中标候选人以外的投标人，在书面合同订立之日起五日内将投标保证金退回中标人和其他中标候选人。法律、行政法规规定不予退还或者可以不退还投标保证金的，从其规定。投标保证金以现金或支票形式递交的，招标人应同时退还投标保证金的银行同期活期存款利息，且退还至投标人的基本账户。</w:t>
      </w:r>
    </w:p>
    <w:p w14:paraId="5499BAB3">
      <w:pPr>
        <w:widowControl/>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利息计算原则见投标人须知前附表。</w:t>
      </w:r>
    </w:p>
    <w:p w14:paraId="59993E26">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3.4.4 有下列情形之一的，投标保证金将不予退还：</w:t>
      </w:r>
    </w:p>
    <w:p w14:paraId="196BAA41">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（1）投标人在投标有效期内撤销投标文件；</w:t>
      </w:r>
    </w:p>
    <w:p w14:paraId="1C2FD88F">
      <w:pPr>
        <w:widowControl/>
        <w:autoSpaceDE w:val="0"/>
        <w:autoSpaceDN w:val="0"/>
        <w:adjustRightInd w:val="0"/>
        <w:snapToGrid w:val="0"/>
        <w:spacing w:line="360" w:lineRule="auto"/>
        <w:ind w:left="19" w:right="18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（2）中标人在收到中标通知书后，无正当理由不与招标人订立合同，在签订合同</w:t>
      </w:r>
      <w:r>
        <w:rPr>
          <w:rFonts w:ascii="宋体" w:hAnsi="宋体" w:cs="宋体"/>
          <w:snapToGrid w:val="0"/>
          <w:color w:val="000000" w:themeColor="text1"/>
          <w:spacing w:val="-1"/>
          <w:kern w:val="0"/>
          <w:sz w:val="24"/>
          <w:highlight w:val="none"/>
          <w14:textFill>
            <w14:solidFill>
              <w14:schemeClr w14:val="tx1"/>
            </w14:solidFill>
          </w14:textFill>
        </w:rPr>
        <w:t>时向招标人提出附加条件，或不按照招标文件要求提交履约保证金；</w:t>
      </w:r>
    </w:p>
    <w:p w14:paraId="781DC842">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（3）发生投标人须知前附表规定的其他可以不予退还投标保证金的情形。</w:t>
      </w:r>
    </w:p>
    <w:p w14:paraId="4E3B9E63">
      <w:pPr>
        <w:pStyle w:val="6"/>
        <w:spacing w:before="218" w:after="156"/>
        <w:rPr>
          <w:color w:val="000000" w:themeColor="text1"/>
          <w:highlight w:val="none"/>
          <w14:textFill>
            <w14:solidFill>
              <w14:schemeClr w14:val="tx1"/>
            </w14:solidFill>
          </w14:textFill>
        </w:rPr>
      </w:pPr>
      <w:bookmarkStart w:id="48" w:name="_Toc10208"/>
      <w:r>
        <w:rPr>
          <w:color w:val="000000" w:themeColor="text1"/>
          <w:highlight w:val="none"/>
          <w14:textFill>
            <w14:solidFill>
              <w14:schemeClr w14:val="tx1"/>
            </w14:solidFill>
          </w14:textFill>
        </w:rPr>
        <w:t>3.5 资格审查资料</w:t>
      </w:r>
      <w:bookmarkEnd w:id="48"/>
    </w:p>
    <w:p w14:paraId="3F4A5A5E">
      <w:pPr>
        <w:widowControl/>
        <w:autoSpaceDE w:val="0"/>
        <w:autoSpaceDN w:val="0"/>
        <w:adjustRightInd w:val="0"/>
        <w:snapToGrid w:val="0"/>
        <w:spacing w:line="360" w:lineRule="auto"/>
        <w:ind w:left="12" w:right="1" w:firstLine="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除投标人须知前附表另有规定外，投标人应按下列规定提供资格审查资料，以证明其满足本章第</w:t>
      </w:r>
      <w:r>
        <w:rPr>
          <w:rFonts w:ascii="宋体" w:hAnsi="宋体" w:cs="宋体"/>
          <w:snapToGrid w:val="0"/>
          <w:color w:val="000000" w:themeColor="text1"/>
          <w:spacing w:val="-2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1.4</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款规定的资质、财务、业绩、信誉等要求。</w:t>
      </w:r>
    </w:p>
    <w:p w14:paraId="3D4036D1">
      <w:pPr>
        <w:widowControl/>
        <w:autoSpaceDE w:val="0"/>
        <w:autoSpaceDN w:val="0"/>
        <w:adjustRightInd w:val="0"/>
        <w:snapToGrid w:val="0"/>
        <w:spacing w:line="360" w:lineRule="auto"/>
        <w:ind w:left="11" w:right="1" w:firstLine="484"/>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3.5.1“投标人基本情况表</w:t>
      </w:r>
      <w:r>
        <w:rPr>
          <w:rFonts w:ascii="宋体" w:hAnsi="宋体" w:cs="宋体"/>
          <w:snapToGrid w:val="0"/>
          <w:color w:val="000000" w:themeColor="text1"/>
          <w:spacing w:val="-8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”应附企业法人营</w:t>
      </w:r>
      <w:r>
        <w:rPr>
          <w:rFonts w:ascii="宋体" w:hAnsi="宋体" w:cs="宋体"/>
          <w:snapToGrid w:val="0"/>
          <w:color w:val="000000" w:themeColor="text1"/>
          <w:kern w:val="0"/>
          <w:sz w:val="24"/>
          <w:highlight w:val="none"/>
          <w14:textFill>
            <w14:solidFill>
              <w14:schemeClr w14:val="tx1"/>
            </w14:solidFill>
          </w14:textFill>
        </w:rPr>
        <w:t>业执照、施工资质证书、安全生产许</w:t>
      </w:r>
      <w:r>
        <w:rPr>
          <w:rFonts w:ascii="宋体" w:hAnsi="宋体" w:cs="宋体"/>
          <w:snapToGrid w:val="0"/>
          <w:color w:val="000000" w:themeColor="text1"/>
          <w:spacing w:val="-2"/>
          <w:kern w:val="0"/>
          <w:sz w:val="24"/>
          <w:highlight w:val="none"/>
          <w14:textFill>
            <w14:solidFill>
              <w14:schemeClr w14:val="tx1"/>
            </w14:solidFill>
          </w14:textFill>
        </w:rPr>
        <w:t>可证、基本账户开户许可证（如企业所在地已取消企业银行账户许可而无法提供开户许可证的，则需附上开户银行出具的“基本存款账户信</w:t>
      </w:r>
      <w:r>
        <w:rPr>
          <w:rFonts w:ascii="宋体" w:hAnsi="宋体" w:cs="宋体"/>
          <w:snapToGrid w:val="0"/>
          <w:color w:val="000000" w:themeColor="text1"/>
          <w:spacing w:val="-3"/>
          <w:kern w:val="0"/>
          <w:sz w:val="24"/>
          <w:highlight w:val="none"/>
          <w14:textFill>
            <w14:solidFill>
              <w14:schemeClr w14:val="tx1"/>
            </w14:solidFill>
          </w14:textFill>
        </w:rPr>
        <w:t>息</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”或“人民银行账户管理系统查</w:t>
      </w:r>
      <w:r>
        <w:rPr>
          <w:rFonts w:ascii="宋体" w:hAnsi="宋体" w:cs="宋体"/>
          <w:snapToGrid w:val="0"/>
          <w:color w:val="000000" w:themeColor="text1"/>
          <w:spacing w:val="-2"/>
          <w:kern w:val="0"/>
          <w:sz w:val="24"/>
          <w:highlight w:val="none"/>
          <w14:textFill>
            <w14:solidFill>
              <w14:schemeClr w14:val="tx1"/>
            </w14:solidFill>
          </w14:textFill>
        </w:rPr>
        <w:t>询的基本账户信息截图</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”，下同）的扫描件，</w:t>
      </w:r>
      <w:r>
        <w:rPr>
          <w:rFonts w:ascii="宋体" w:hAnsi="宋体" w:cs="宋体"/>
          <w:snapToGrid w:val="0"/>
          <w:color w:val="000000" w:themeColor="text1"/>
          <w:spacing w:val="-2"/>
          <w:kern w:val="0"/>
          <w:sz w:val="24"/>
          <w:highlight w:val="none"/>
          <w:u w:val="single"/>
          <w14:textFill>
            <w14:solidFill>
              <w14:schemeClr w14:val="tx1"/>
            </w14:solidFill>
          </w14:textFill>
        </w:rPr>
        <w:t>投标人</w:t>
      </w:r>
      <w:r>
        <w:rPr>
          <w:rFonts w:ascii="宋体" w:hAnsi="宋体" w:cs="宋体"/>
          <w:snapToGrid w:val="0"/>
          <w:color w:val="000000" w:themeColor="text1"/>
          <w:spacing w:val="-3"/>
          <w:kern w:val="0"/>
          <w:sz w:val="24"/>
          <w:highlight w:val="none"/>
          <w:u w:val="single"/>
          <w14:textFill>
            <w14:solidFill>
              <w14:schemeClr w14:val="tx1"/>
            </w14:solidFill>
          </w14:textFill>
        </w:rPr>
        <w:t>在交通运输部“全国公路建设市场监督管理系统</w:t>
      </w:r>
      <w:r>
        <w:rPr>
          <w:rFonts w:ascii="宋体" w:hAnsi="宋体" w:cs="宋体"/>
          <w:snapToGrid w:val="0"/>
          <w:color w:val="000000" w:themeColor="text1"/>
          <w:spacing w:val="-8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”公路工程施工资质企业名录中</w:t>
      </w:r>
      <w:r>
        <w:rPr>
          <w:rFonts w:ascii="宋体" w:hAnsi="宋体" w:cs="宋体"/>
          <w:snapToGrid w:val="0"/>
          <w:color w:val="000000" w:themeColor="text1"/>
          <w:spacing w:val="-4"/>
          <w:kern w:val="0"/>
          <w:sz w:val="24"/>
          <w:highlight w:val="none"/>
          <w:u w:val="single"/>
          <w14:textFill>
            <w14:solidFill>
              <w14:schemeClr w14:val="tx1"/>
            </w14:solidFill>
          </w14:textFill>
        </w:rPr>
        <w:t>的网页截图</w:t>
      </w:r>
      <w:r>
        <w:rPr>
          <w:rFonts w:ascii="宋体" w:hAnsi="宋体" w:cs="宋体"/>
          <w:snapToGrid w:val="0"/>
          <w:color w:val="000000" w:themeColor="text1"/>
          <w:spacing w:val="-29"/>
          <w:kern w:val="0"/>
          <w:position w:val="12"/>
          <w:sz w:val="12"/>
          <w:szCs w:val="12"/>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4"/>
          <w:highlight w:val="none"/>
          <w:u w:val="single"/>
          <w14:textFill>
            <w14:solidFill>
              <w14:schemeClr w14:val="tx1"/>
            </w14:solidFill>
          </w14:textFill>
        </w:rPr>
        <w:t>,</w:t>
      </w:r>
      <w:r>
        <w:rPr>
          <w:rFonts w:ascii="宋体" w:hAnsi="宋体" w:cs="宋体"/>
          <w:snapToGrid w:val="0"/>
          <w:color w:val="000000" w:themeColor="text1"/>
          <w:spacing w:val="5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以及投标人在“</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国家企业</w:t>
      </w:r>
      <w:r>
        <w:rPr>
          <w:rFonts w:ascii="宋体" w:hAnsi="宋体" w:cs="宋体"/>
          <w:snapToGrid w:val="0"/>
          <w:color w:val="000000" w:themeColor="text1"/>
          <w:spacing w:val="-1"/>
          <w:kern w:val="0"/>
          <w:sz w:val="24"/>
          <w:highlight w:val="none"/>
          <w14:textFill>
            <w14:solidFill>
              <w14:schemeClr w14:val="tx1"/>
            </w14:solidFill>
          </w14:textFill>
        </w:rPr>
        <w:t>信用信息公示系统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”中基础信息（体现股东</w:t>
      </w:r>
      <w:r>
        <w:rPr>
          <w:rFonts w:ascii="宋体" w:hAnsi="宋体" w:cs="宋体"/>
          <w:snapToGrid w:val="0"/>
          <w:color w:val="000000" w:themeColor="text1"/>
          <w:spacing w:val="-2"/>
          <w:kern w:val="0"/>
          <w:sz w:val="24"/>
          <w:highlight w:val="none"/>
          <w14:textFill>
            <w14:solidFill>
              <w14:schemeClr w14:val="tx1"/>
            </w14:solidFill>
          </w14:textFill>
        </w:rPr>
        <w:t>及出资信息）的网页截图。</w:t>
      </w:r>
    </w:p>
    <w:p w14:paraId="12CF6632">
      <w:pPr>
        <w:widowControl/>
        <w:autoSpaceDE w:val="0"/>
        <w:autoSpaceDN w:val="0"/>
        <w:adjustRightInd w:val="0"/>
        <w:snapToGrid w:val="0"/>
        <w:spacing w:line="360" w:lineRule="auto"/>
        <w:ind w:right="1" w:firstLine="495"/>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企业法人营业执照、施工资质证书、安全生产许可证、基本账户开户许可证（如企</w:t>
      </w:r>
      <w:r>
        <w:rPr>
          <w:rFonts w:ascii="宋体" w:hAnsi="宋体" w:cs="宋体"/>
          <w:snapToGrid w:val="0"/>
          <w:color w:val="000000" w:themeColor="text1"/>
          <w:spacing w:val="-1"/>
          <w:kern w:val="0"/>
          <w:sz w:val="24"/>
          <w:highlight w:val="none"/>
          <w14:textFill>
            <w14:solidFill>
              <w14:schemeClr w14:val="tx1"/>
            </w14:solidFill>
          </w14:textFill>
        </w:rPr>
        <w:t>业所在地已取消企业银行账户许可而无法提供开户许可证的，则需</w:t>
      </w:r>
      <w:r>
        <w:rPr>
          <w:rFonts w:ascii="宋体" w:hAnsi="宋体" w:cs="宋体"/>
          <w:snapToGrid w:val="0"/>
          <w:color w:val="000000" w:themeColor="text1"/>
          <w:spacing w:val="-2"/>
          <w:kern w:val="0"/>
          <w:sz w:val="24"/>
          <w:highlight w:val="none"/>
          <w14:textFill>
            <w14:solidFill>
              <w14:schemeClr w14:val="tx1"/>
            </w14:solidFill>
          </w14:textFill>
        </w:rPr>
        <w:t>附上开户银行出具的</w:t>
      </w:r>
      <w:r>
        <w:rPr>
          <w:rFonts w:ascii="宋体" w:hAnsi="宋体" w:cs="宋体"/>
          <w:snapToGrid w:val="0"/>
          <w:color w:val="000000" w:themeColor="text1"/>
          <w:spacing w:val="-3"/>
          <w:kern w:val="0"/>
          <w:sz w:val="24"/>
          <w:highlight w:val="none"/>
          <w14:textFill>
            <w14:solidFill>
              <w14:schemeClr w14:val="tx1"/>
            </w14:solidFill>
          </w14:textFill>
        </w:rPr>
        <w:t>“基本存款账户信息</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”或“人民银行账户管理系统查询的基本账户信息截图</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”）的扫描</w:t>
      </w:r>
      <w:r>
        <w:rPr>
          <w:rFonts w:ascii="宋体" w:hAnsi="宋体" w:cs="宋体"/>
          <w:snapToGrid w:val="0"/>
          <w:color w:val="000000" w:themeColor="text1"/>
          <w:spacing w:val="-1"/>
          <w:kern w:val="0"/>
          <w:sz w:val="24"/>
          <w:highlight w:val="none"/>
          <w14:textFill>
            <w14:solidFill>
              <w14:schemeClr w14:val="tx1"/>
            </w14:solidFill>
          </w14:textFill>
        </w:rPr>
        <w:t>件应提供全本（证书封面、封底、空白页除外</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包括投标人名称、投标</w:t>
      </w:r>
      <w:r>
        <w:rPr>
          <w:rFonts w:ascii="宋体" w:hAnsi="宋体" w:cs="宋体"/>
          <w:snapToGrid w:val="0"/>
          <w:color w:val="000000" w:themeColor="text1"/>
          <w:spacing w:val="-2"/>
          <w:kern w:val="0"/>
          <w:sz w:val="24"/>
          <w:highlight w:val="none"/>
          <w14:textFill>
            <w14:solidFill>
              <w14:schemeClr w14:val="tx1"/>
            </w14:solidFill>
          </w14:textFill>
        </w:rPr>
        <w:t>人其他相关信</w:t>
      </w:r>
      <w:r>
        <w:rPr>
          <w:rFonts w:ascii="宋体" w:hAnsi="宋体" w:cs="宋体"/>
          <w:snapToGrid w:val="0"/>
          <w:color w:val="000000" w:themeColor="text1"/>
          <w:kern w:val="0"/>
          <w:sz w:val="24"/>
          <w:highlight w:val="none"/>
          <w14:textFill>
            <w14:solidFill>
              <w14:schemeClr w14:val="tx1"/>
            </w14:solidFill>
          </w14:textFill>
        </w:rPr>
        <w:t>息、颁发机构名称、投标人信息变更情况等关键页在内。</w:t>
      </w:r>
    </w:p>
    <w:p w14:paraId="76D33827">
      <w:pPr>
        <w:widowControl/>
        <w:autoSpaceDE w:val="0"/>
        <w:autoSpaceDN w:val="0"/>
        <w:adjustRightInd w:val="0"/>
        <w:snapToGrid w:val="0"/>
        <w:spacing w:line="360" w:lineRule="auto"/>
        <w:ind w:left="10" w:firstLine="485"/>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3.5.2（a）</w:t>
      </w:r>
      <w:r>
        <w:rPr>
          <w:rFonts w:ascii="宋体" w:hAnsi="宋体" w:cs="宋体"/>
          <w:snapToGrid w:val="0"/>
          <w:color w:val="000000" w:themeColor="text1"/>
          <w:spacing w:val="50"/>
          <w:w w:val="101"/>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“近年财务状况表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”具体年份要求见投标人须知前</w:t>
      </w:r>
      <w:r>
        <w:rPr>
          <w:rFonts w:ascii="宋体" w:hAnsi="宋体" w:cs="宋体"/>
          <w:snapToGrid w:val="0"/>
          <w:color w:val="000000" w:themeColor="text1"/>
          <w:spacing w:val="-3"/>
          <w:kern w:val="0"/>
          <w:sz w:val="24"/>
          <w:highlight w:val="none"/>
          <w14:textFill>
            <w14:solidFill>
              <w14:schemeClr w14:val="tx1"/>
            </w14:solidFill>
          </w14:textFill>
        </w:rPr>
        <w:t>附表，近年财务信</w:t>
      </w:r>
      <w:r>
        <w:rPr>
          <w:rFonts w:ascii="宋体" w:hAnsi="宋体" w:cs="宋体"/>
          <w:snapToGrid w:val="0"/>
          <w:color w:val="000000" w:themeColor="text1"/>
          <w:spacing w:val="-2"/>
          <w:kern w:val="0"/>
          <w:sz w:val="24"/>
          <w:highlight w:val="none"/>
          <w14:textFill>
            <w14:solidFill>
              <w14:schemeClr w14:val="tx1"/>
            </w14:solidFill>
          </w14:textFill>
        </w:rPr>
        <w:t>息以投标人提供的“全国公路建设市场监督管理系统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企业所填的信息截图为准。投标</w:t>
      </w:r>
      <w:r>
        <w:rPr>
          <w:rFonts w:ascii="宋体" w:hAnsi="宋体" w:cs="宋体"/>
          <w:snapToGrid w:val="0"/>
          <w:color w:val="000000" w:themeColor="text1"/>
          <w:spacing w:val="-2"/>
          <w:kern w:val="0"/>
          <w:sz w:val="24"/>
          <w:highlight w:val="none"/>
          <w14:textFill>
            <w14:solidFill>
              <w14:schemeClr w14:val="tx1"/>
            </w14:solidFill>
          </w14:textFill>
        </w:rPr>
        <w:t>人的成立时间少于投标人须知前附表规定年份的，应提供成立以来的财务信息截图，且</w:t>
      </w:r>
      <w:r>
        <w:rPr>
          <w:rFonts w:ascii="宋体" w:hAnsi="宋体" w:cs="宋体"/>
          <w:snapToGrid w:val="0"/>
          <w:color w:val="000000" w:themeColor="text1"/>
          <w:spacing w:val="5"/>
          <w:kern w:val="0"/>
          <w:sz w:val="24"/>
          <w:highlight w:val="none"/>
          <w14:textFill>
            <w14:solidFill>
              <w14:schemeClr w14:val="tx1"/>
            </w14:solidFill>
          </w14:textFill>
        </w:rPr>
        <w:t>规定年份的平均营业总收入按成立以来的财务数据结合招标文件规定的年份进</w:t>
      </w:r>
      <w:r>
        <w:rPr>
          <w:rFonts w:ascii="宋体" w:hAnsi="宋体" w:cs="宋体"/>
          <w:snapToGrid w:val="0"/>
          <w:color w:val="000000" w:themeColor="text1"/>
          <w:spacing w:val="4"/>
          <w:kern w:val="0"/>
          <w:sz w:val="24"/>
          <w:highlight w:val="none"/>
          <w14:textFill>
            <w14:solidFill>
              <w14:schemeClr w14:val="tx1"/>
            </w14:solidFill>
          </w14:textFill>
        </w:rPr>
        <w:t>行计算</w:t>
      </w:r>
      <w:bookmarkStart w:id="49" w:name="bookmark161"/>
      <w:bookmarkEnd w:id="49"/>
      <w:r>
        <w:rPr>
          <w:rFonts w:ascii="宋体" w:hAnsi="宋体" w:cs="宋体"/>
          <w:snapToGrid w:val="0"/>
          <w:color w:val="000000" w:themeColor="text1"/>
          <w:spacing w:val="-2"/>
          <w:kern w:val="0"/>
          <w:sz w:val="24"/>
          <w:highlight w:val="none"/>
          <w14:textFill>
            <w14:solidFill>
              <w14:schemeClr w14:val="tx1"/>
            </w14:solidFill>
          </w14:textFill>
        </w:rPr>
        <w:t>评审。“近年财务状况表</w:t>
      </w:r>
      <w:r>
        <w:rPr>
          <w:rFonts w:ascii="宋体" w:hAnsi="宋体" w:cs="宋体"/>
          <w:snapToGrid w:val="0"/>
          <w:color w:val="000000" w:themeColor="text1"/>
          <w:spacing w:val="-74"/>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”所填数据应与信息截图的数据一致。</w:t>
      </w:r>
      <w:r>
        <w:rPr>
          <w:rFonts w:hint="eastAsia" w:ascii="宋体" w:hAnsi="宋体" w:cs="宋体"/>
          <w:snapToGrid w:val="0"/>
          <w:color w:val="000000" w:themeColor="text1"/>
          <w:spacing w:val="-2"/>
          <w:kern w:val="0"/>
          <w:sz w:val="24"/>
          <w:highlight w:val="none"/>
          <w14:textFill>
            <w14:solidFill>
              <w14:schemeClr w14:val="tx1"/>
            </w14:solidFill>
          </w14:textFill>
        </w:rPr>
        <w:t>除上述资料外，投标人无需再提供任何证明材料。</w:t>
      </w:r>
    </w:p>
    <w:p w14:paraId="0AD4270B">
      <w:pPr>
        <w:widowControl/>
        <w:autoSpaceDE w:val="0"/>
        <w:autoSpaceDN w:val="0"/>
        <w:adjustRightInd w:val="0"/>
        <w:snapToGrid w:val="0"/>
        <w:spacing w:line="360" w:lineRule="auto"/>
        <w:ind w:left="6" w:right="80" w:firstLine="48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3.5.2（b）“近年财务状况表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”应附经会计师事务所或审计机构审</w:t>
      </w:r>
      <w:r>
        <w:rPr>
          <w:rFonts w:ascii="宋体" w:hAnsi="宋体" w:cs="宋体"/>
          <w:snapToGrid w:val="0"/>
          <w:color w:val="000000" w:themeColor="text1"/>
          <w:spacing w:val="-3"/>
          <w:kern w:val="0"/>
          <w:sz w:val="24"/>
          <w:highlight w:val="none"/>
          <w14:textFill>
            <w14:solidFill>
              <w14:schemeClr w14:val="tx1"/>
            </w14:solidFill>
          </w14:textFill>
        </w:rPr>
        <w:t>计的财务会计</w:t>
      </w:r>
      <w:r>
        <w:rPr>
          <w:rFonts w:ascii="宋体" w:hAnsi="宋体" w:cs="宋体"/>
          <w:snapToGrid w:val="0"/>
          <w:color w:val="000000" w:themeColor="text1"/>
          <w:spacing w:val="-1"/>
          <w:kern w:val="0"/>
          <w:sz w:val="24"/>
          <w:highlight w:val="none"/>
          <w14:textFill>
            <w14:solidFill>
              <w14:schemeClr w14:val="tx1"/>
            </w14:solidFill>
          </w14:textFill>
        </w:rPr>
        <w:t>报表，包括资产负债表、现金流量表、利润</w:t>
      </w:r>
      <w:r>
        <w:rPr>
          <w:rFonts w:ascii="宋体" w:hAnsi="宋体" w:cs="宋体"/>
          <w:snapToGrid w:val="0"/>
          <w:color w:val="000000" w:themeColor="text1"/>
          <w:spacing w:val="-2"/>
          <w:kern w:val="0"/>
          <w:sz w:val="24"/>
          <w:highlight w:val="none"/>
          <w14:textFill>
            <w14:solidFill>
              <w14:schemeClr w14:val="tx1"/>
            </w14:solidFill>
          </w14:textFill>
        </w:rPr>
        <w:t>表和财务情况说明书的扫描件，具体年份要</w:t>
      </w:r>
      <w:r>
        <w:rPr>
          <w:rFonts w:ascii="宋体" w:hAnsi="宋体" w:cs="宋体"/>
          <w:snapToGrid w:val="0"/>
          <w:color w:val="000000" w:themeColor="text1"/>
          <w:spacing w:val="-1"/>
          <w:kern w:val="0"/>
          <w:sz w:val="24"/>
          <w:highlight w:val="none"/>
          <w14:textFill>
            <w14:solidFill>
              <w14:schemeClr w14:val="tx1"/>
            </w14:solidFill>
          </w14:textFill>
        </w:rPr>
        <w:t>求见投标人须知前附表。投标人的成立时间</w:t>
      </w:r>
      <w:r>
        <w:rPr>
          <w:rFonts w:ascii="宋体" w:hAnsi="宋体" w:cs="宋体"/>
          <w:snapToGrid w:val="0"/>
          <w:color w:val="000000" w:themeColor="text1"/>
          <w:spacing w:val="-2"/>
          <w:kern w:val="0"/>
          <w:sz w:val="24"/>
          <w:highlight w:val="none"/>
          <w14:textFill>
            <w14:solidFill>
              <w14:schemeClr w14:val="tx1"/>
            </w14:solidFill>
          </w14:textFill>
        </w:rPr>
        <w:t>少于投标人须知前附表规定年份的，应提供</w:t>
      </w:r>
      <w:r>
        <w:rPr>
          <w:rFonts w:ascii="宋体" w:hAnsi="宋体" w:cs="宋体"/>
          <w:snapToGrid w:val="0"/>
          <w:color w:val="000000" w:themeColor="text1"/>
          <w:spacing w:val="-1"/>
          <w:kern w:val="0"/>
          <w:sz w:val="24"/>
          <w:highlight w:val="none"/>
          <w14:textFill>
            <w14:solidFill>
              <w14:schemeClr w14:val="tx1"/>
            </w14:solidFill>
          </w14:textFill>
        </w:rPr>
        <w:t>成立以来的财务状况表，且规定年份的平均</w:t>
      </w:r>
      <w:r>
        <w:rPr>
          <w:rFonts w:ascii="宋体" w:hAnsi="宋体" w:cs="宋体"/>
          <w:snapToGrid w:val="0"/>
          <w:color w:val="000000" w:themeColor="text1"/>
          <w:spacing w:val="-2"/>
          <w:kern w:val="0"/>
          <w:sz w:val="24"/>
          <w:highlight w:val="none"/>
          <w14:textFill>
            <w14:solidFill>
              <w14:schemeClr w14:val="tx1"/>
            </w14:solidFill>
          </w14:textFill>
        </w:rPr>
        <w:t>营业总收入按成立以来的财务数据结合招标文件规定的年份进行计算评审。“近年财务状况表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”所填</w:t>
      </w:r>
      <w:r>
        <w:rPr>
          <w:rFonts w:ascii="宋体" w:hAnsi="宋体" w:cs="宋体"/>
          <w:snapToGrid w:val="0"/>
          <w:color w:val="000000" w:themeColor="text1"/>
          <w:spacing w:val="-3"/>
          <w:kern w:val="0"/>
          <w:sz w:val="24"/>
          <w:highlight w:val="none"/>
          <w14:textFill>
            <w14:solidFill>
              <w14:schemeClr w14:val="tx1"/>
            </w14:solidFill>
          </w14:textFill>
        </w:rPr>
        <w:t>数据应与财务会计报表的数据一致。</w:t>
      </w:r>
    </w:p>
    <w:p w14:paraId="140639DA">
      <w:pPr>
        <w:widowControl/>
        <w:autoSpaceDE w:val="0"/>
        <w:autoSpaceDN w:val="0"/>
        <w:adjustRightInd w:val="0"/>
        <w:snapToGrid w:val="0"/>
        <w:spacing w:line="360" w:lineRule="auto"/>
        <w:ind w:left="9" w:right="8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3.5.3（a）</w:t>
      </w:r>
      <w:r>
        <w:rPr>
          <w:rFonts w:ascii="宋体" w:hAnsi="宋体" w:cs="宋体"/>
          <w:snapToGrid w:val="0"/>
          <w:color w:val="000000" w:themeColor="text1"/>
          <w:spacing w:val="50"/>
          <w:w w:val="101"/>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“近年完成的类似项目</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”应是已列入交通运输部“</w:t>
      </w:r>
      <w:r>
        <w:rPr>
          <w:rFonts w:ascii="宋体" w:hAnsi="宋体" w:cs="宋体"/>
          <w:snapToGrid w:val="0"/>
          <w:color w:val="000000" w:themeColor="text1"/>
          <w:spacing w:val="-3"/>
          <w:kern w:val="0"/>
          <w:sz w:val="24"/>
          <w:highlight w:val="none"/>
          <w14:textFill>
            <w14:solidFill>
              <w14:schemeClr w14:val="tx1"/>
            </w14:solidFill>
          </w14:textFill>
        </w:rPr>
        <w:t>全国公路建设市场</w:t>
      </w:r>
      <w:r>
        <w:rPr>
          <w:rFonts w:ascii="宋体" w:hAnsi="宋体" w:cs="宋体"/>
          <w:snapToGrid w:val="0"/>
          <w:color w:val="000000" w:themeColor="text1"/>
          <w:spacing w:val="-2"/>
          <w:kern w:val="0"/>
          <w:sz w:val="24"/>
          <w:highlight w:val="none"/>
          <w14:textFill>
            <w14:solidFill>
              <w14:schemeClr w14:val="tx1"/>
            </w14:solidFill>
          </w14:textFill>
        </w:rPr>
        <w:t>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”并公开的总包已建业绩或分包（不</w:t>
      </w:r>
      <w:r>
        <w:rPr>
          <w:rFonts w:ascii="宋体" w:hAnsi="宋体" w:cs="宋体"/>
          <w:snapToGrid w:val="0"/>
          <w:color w:val="000000" w:themeColor="text1"/>
          <w:spacing w:val="-3"/>
          <w:kern w:val="0"/>
          <w:sz w:val="24"/>
          <w:highlight w:val="none"/>
          <w14:textFill>
            <w14:solidFill>
              <w14:schemeClr w14:val="tx1"/>
            </w14:solidFill>
          </w14:textFill>
        </w:rPr>
        <w:t>包括劳务分包）已建业绩，具体时间</w:t>
      </w:r>
      <w:r>
        <w:rPr>
          <w:rFonts w:ascii="宋体" w:hAnsi="宋体" w:cs="宋体"/>
          <w:snapToGrid w:val="0"/>
          <w:color w:val="000000" w:themeColor="text1"/>
          <w:spacing w:val="-1"/>
          <w:kern w:val="0"/>
          <w:sz w:val="24"/>
          <w:highlight w:val="none"/>
          <w14:textFill>
            <w14:solidFill>
              <w14:schemeClr w14:val="tx1"/>
            </w14:solidFill>
          </w14:textFill>
        </w:rPr>
        <w:t>要求见投标人须知前附表。</w:t>
      </w:r>
    </w:p>
    <w:p w14:paraId="2F8C60D6">
      <w:pPr>
        <w:widowControl/>
        <w:autoSpaceDE w:val="0"/>
        <w:autoSpaceDN w:val="0"/>
        <w:adjustRightInd w:val="0"/>
        <w:snapToGrid w:val="0"/>
        <w:spacing w:line="360" w:lineRule="auto"/>
        <w:ind w:left="13" w:right="80" w:firstLine="46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“近年完成的类似项目情况表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”应附在交通运输部“全国公路建设</w:t>
      </w:r>
      <w:r>
        <w:rPr>
          <w:rFonts w:ascii="宋体" w:hAnsi="宋体" w:cs="宋体"/>
          <w:snapToGrid w:val="0"/>
          <w:color w:val="000000" w:themeColor="text1"/>
          <w:spacing w:val="-3"/>
          <w:kern w:val="0"/>
          <w:sz w:val="24"/>
          <w:highlight w:val="none"/>
          <w14:textFill>
            <w14:solidFill>
              <w14:schemeClr w14:val="tx1"/>
            </w14:solidFill>
          </w14:textFill>
        </w:rPr>
        <w:t>市场监督管理系</w:t>
      </w:r>
      <w:r>
        <w:rPr>
          <w:rFonts w:ascii="宋体" w:hAnsi="宋体" w:cs="宋体"/>
          <w:snapToGrid w:val="0"/>
          <w:color w:val="000000" w:themeColor="text1"/>
          <w:spacing w:val="-4"/>
          <w:kern w:val="0"/>
          <w:sz w:val="24"/>
          <w:highlight w:val="none"/>
          <w14:textFill>
            <w14:solidFill>
              <w14:schemeClr w14:val="tx1"/>
            </w14:solidFill>
          </w14:textFill>
        </w:rPr>
        <w:t>统</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”中查询到的企业“业绩信息</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”相关项目网页截图，即包括“项目名</w:t>
      </w:r>
      <w:r>
        <w:rPr>
          <w:rFonts w:ascii="宋体" w:hAnsi="宋体" w:cs="宋体"/>
          <w:snapToGrid w:val="0"/>
          <w:color w:val="000000" w:themeColor="text1"/>
          <w:spacing w:val="-5"/>
          <w:kern w:val="0"/>
          <w:sz w:val="24"/>
          <w:highlight w:val="none"/>
          <w14:textFill>
            <w14:solidFill>
              <w14:schemeClr w14:val="tx1"/>
            </w14:solidFill>
          </w14:textFill>
        </w:rPr>
        <w:t>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”、“标段类</w:t>
      </w:r>
      <w:r>
        <w:rPr>
          <w:rFonts w:ascii="宋体" w:hAnsi="宋体" w:cs="宋体"/>
          <w:snapToGrid w:val="0"/>
          <w:color w:val="000000" w:themeColor="text1"/>
          <w:spacing w:val="-4"/>
          <w:kern w:val="0"/>
          <w:sz w:val="24"/>
          <w:highlight w:val="none"/>
          <w14:textFill>
            <w14:solidFill>
              <w14:schemeClr w14:val="tx1"/>
            </w14:solidFill>
          </w14:textFill>
        </w:rPr>
        <w:t>型</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”、“合同价</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”、“主要工程量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”等栏目在内的项目详细信息网页截</w:t>
      </w:r>
      <w:r>
        <w:rPr>
          <w:rFonts w:ascii="宋体" w:hAnsi="宋体" w:cs="宋体"/>
          <w:snapToGrid w:val="0"/>
          <w:color w:val="000000" w:themeColor="text1"/>
          <w:spacing w:val="-5"/>
          <w:kern w:val="0"/>
          <w:sz w:val="24"/>
          <w:highlight w:val="none"/>
          <w14:textFill>
            <w14:solidFill>
              <w14:schemeClr w14:val="tx1"/>
            </w14:solidFill>
          </w14:textFill>
        </w:rPr>
        <w:t>图。除网页截图</w:t>
      </w:r>
      <w:r>
        <w:rPr>
          <w:rFonts w:ascii="宋体" w:hAnsi="宋体" w:cs="宋体"/>
          <w:snapToGrid w:val="0"/>
          <w:color w:val="000000" w:themeColor="text1"/>
          <w:spacing w:val="-1"/>
          <w:kern w:val="0"/>
          <w:sz w:val="24"/>
          <w:highlight w:val="none"/>
          <w14:textFill>
            <w14:solidFill>
              <w14:schemeClr w14:val="tx1"/>
            </w14:solidFill>
          </w14:textFill>
        </w:rPr>
        <w:t>外，投标人无需再提供任何业绩证明材料。</w:t>
      </w:r>
    </w:p>
    <w:p w14:paraId="6AF8FFD0">
      <w:pPr>
        <w:widowControl/>
        <w:autoSpaceDE w:val="0"/>
        <w:autoSpaceDN w:val="0"/>
        <w:adjustRightInd w:val="0"/>
        <w:snapToGrid w:val="0"/>
        <w:spacing w:line="360" w:lineRule="auto"/>
        <w:ind w:left="8" w:right="80"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如投标人未提供相关项目网页截图或相关项目网页截图中的信息无法证实投标人</w:t>
      </w:r>
      <w:r>
        <w:rPr>
          <w:rFonts w:ascii="宋体" w:hAnsi="宋体" w:cs="宋体"/>
          <w:snapToGrid w:val="0"/>
          <w:color w:val="000000" w:themeColor="text1"/>
          <w:spacing w:val="-2"/>
          <w:kern w:val="0"/>
          <w:sz w:val="24"/>
          <w:highlight w:val="none"/>
          <w14:textFill>
            <w14:solidFill>
              <w14:schemeClr w14:val="tx1"/>
            </w14:solidFill>
          </w14:textFill>
        </w:rPr>
        <w:t>满足招标文件规定的资格审查条件（业绩最低要求）或评标办法评分标准（如有</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则</w:t>
      </w:r>
      <w:r>
        <w:rPr>
          <w:rFonts w:ascii="宋体" w:hAnsi="宋体" w:cs="宋体"/>
          <w:snapToGrid w:val="0"/>
          <w:color w:val="000000" w:themeColor="text1"/>
          <w:spacing w:val="-1"/>
          <w:kern w:val="0"/>
          <w:sz w:val="24"/>
          <w:highlight w:val="none"/>
          <w14:textFill>
            <w14:solidFill>
              <w14:schemeClr w14:val="tx1"/>
            </w14:solidFill>
          </w14:textFill>
        </w:rPr>
        <w:t>该项目业绩不予认定。</w:t>
      </w:r>
    </w:p>
    <w:p w14:paraId="1AE2CDAF">
      <w:pPr>
        <w:widowControl/>
        <w:autoSpaceDE w:val="0"/>
        <w:autoSpaceDN w:val="0"/>
        <w:adjustRightInd w:val="0"/>
        <w:snapToGrid w:val="0"/>
        <w:spacing w:line="360" w:lineRule="auto"/>
        <w:ind w:left="8"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u w:val="single"/>
          <w14:textFill>
            <w14:solidFill>
              <w14:schemeClr w14:val="tx1"/>
            </w14:solidFill>
          </w14:textFill>
        </w:rPr>
        <w:t>如要求投标人具备声屏障工程施工业绩，投标人的业绩已列入交通运输部“全国公</w:t>
      </w:r>
      <w:r>
        <w:rPr>
          <w:rFonts w:ascii="宋体" w:hAnsi="宋体" w:cs="宋体"/>
          <w:snapToGrid w:val="0"/>
          <w:color w:val="000000" w:themeColor="text1"/>
          <w:spacing w:val="-4"/>
          <w:kern w:val="0"/>
          <w:sz w:val="24"/>
          <w:highlight w:val="none"/>
          <w:u w:val="single"/>
          <w14:textFill>
            <w14:solidFill>
              <w14:schemeClr w14:val="tx1"/>
            </w14:solidFill>
          </w14:textFill>
        </w:rPr>
        <w:t>路建设市场监督管理系统</w:t>
      </w:r>
      <w:r>
        <w:rPr>
          <w:rFonts w:ascii="宋体" w:hAnsi="宋体" w:cs="宋体"/>
          <w:snapToGrid w:val="0"/>
          <w:color w:val="000000" w:themeColor="text1"/>
          <w:spacing w:val="-8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4"/>
          <w:highlight w:val="none"/>
          <w:u w:val="single"/>
          <w14:textFill>
            <w14:solidFill>
              <w14:schemeClr w14:val="tx1"/>
            </w14:solidFill>
          </w14:textFill>
        </w:rPr>
        <w:t>”，则按本条款</w:t>
      </w:r>
      <w:r>
        <w:rPr>
          <w:rFonts w:ascii="宋体" w:hAnsi="宋体" w:cs="宋体"/>
          <w:snapToGrid w:val="0"/>
          <w:color w:val="000000" w:themeColor="text1"/>
          <w:spacing w:val="-4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4"/>
          <w:highlight w:val="none"/>
          <w:u w:val="single"/>
          <w14:textFill>
            <w14:solidFill>
              <w14:schemeClr w14:val="tx1"/>
            </w14:solidFill>
          </w14:textFill>
        </w:rPr>
        <w:t>3.5.3（a）上述规定的“全国公路建设市场监</w:t>
      </w:r>
      <w:r>
        <w:rPr>
          <w:rFonts w:ascii="宋体" w:hAnsi="宋体" w:cs="宋体"/>
          <w:snapToGrid w:val="0"/>
          <w:color w:val="000000" w:themeColor="text1"/>
          <w:spacing w:val="-2"/>
          <w:kern w:val="0"/>
          <w:sz w:val="24"/>
          <w:highlight w:val="none"/>
          <w:u w:val="single"/>
          <w14:textFill>
            <w14:solidFill>
              <w14:schemeClr w14:val="tx1"/>
            </w14:solidFill>
          </w14:textFill>
        </w:rPr>
        <w:t>督管理系统</w:t>
      </w:r>
      <w:r>
        <w:rPr>
          <w:rFonts w:ascii="宋体" w:hAnsi="宋体" w:cs="宋体"/>
          <w:snapToGrid w:val="0"/>
          <w:color w:val="000000" w:themeColor="text1"/>
          <w:spacing w:val="-8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”的业绩要求执行；如投标人的业绩未列</w:t>
      </w:r>
      <w:r>
        <w:rPr>
          <w:rFonts w:ascii="宋体" w:hAnsi="宋体" w:cs="宋体"/>
          <w:snapToGrid w:val="0"/>
          <w:color w:val="000000" w:themeColor="text1"/>
          <w:spacing w:val="-3"/>
          <w:kern w:val="0"/>
          <w:sz w:val="24"/>
          <w:highlight w:val="none"/>
          <w:u w:val="single"/>
          <w14:textFill>
            <w14:solidFill>
              <w14:schemeClr w14:val="tx1"/>
            </w14:solidFill>
          </w14:textFill>
        </w:rPr>
        <w:t>入交通运输部“全国公路建设市场</w:t>
      </w:r>
      <w:r>
        <w:rPr>
          <w:rFonts w:ascii="宋体" w:hAnsi="宋体" w:cs="宋体"/>
          <w:snapToGrid w:val="0"/>
          <w:color w:val="000000" w:themeColor="text1"/>
          <w:spacing w:val="-7"/>
          <w:kern w:val="0"/>
          <w:sz w:val="24"/>
          <w:highlight w:val="none"/>
          <w:u w:val="single"/>
          <w14:textFill>
            <w14:solidFill>
              <w14:schemeClr w14:val="tx1"/>
            </w14:solidFill>
          </w14:textFill>
        </w:rPr>
        <w:t>监督管理系统</w:t>
      </w:r>
      <w:r>
        <w:rPr>
          <w:rFonts w:ascii="宋体" w:hAnsi="宋体" w:cs="宋体"/>
          <w:snapToGrid w:val="0"/>
          <w:color w:val="000000" w:themeColor="text1"/>
          <w:spacing w:val="-8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7"/>
          <w:kern w:val="0"/>
          <w:sz w:val="24"/>
          <w:highlight w:val="none"/>
          <w:u w:val="single"/>
          <w14:textFill>
            <w14:solidFill>
              <w14:schemeClr w14:val="tx1"/>
            </w14:solidFill>
          </w14:textFill>
        </w:rPr>
        <w:t>”，则“近年完成的类似项目情况表</w:t>
      </w:r>
      <w:r>
        <w:rPr>
          <w:rFonts w:ascii="宋体" w:hAnsi="宋体" w:cs="宋体"/>
          <w:snapToGrid w:val="0"/>
          <w:color w:val="000000" w:themeColor="text1"/>
          <w:spacing w:val="-8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7"/>
          <w:kern w:val="0"/>
          <w:sz w:val="24"/>
          <w:highlight w:val="none"/>
          <w:u w:val="single"/>
          <w14:textFill>
            <w14:solidFill>
              <w14:schemeClr w14:val="tx1"/>
            </w14:solidFill>
          </w14:textFill>
        </w:rPr>
        <w:t>”应同时附中标通</w:t>
      </w:r>
      <w:r>
        <w:rPr>
          <w:rFonts w:ascii="宋体" w:hAnsi="宋体" w:cs="宋体"/>
          <w:snapToGrid w:val="0"/>
          <w:color w:val="000000" w:themeColor="text1"/>
          <w:spacing w:val="-8"/>
          <w:kern w:val="0"/>
          <w:sz w:val="24"/>
          <w:highlight w:val="none"/>
          <w:u w:val="single"/>
          <w14:textFill>
            <w14:solidFill>
              <w14:schemeClr w14:val="tx1"/>
            </w14:solidFill>
          </w14:textFill>
        </w:rPr>
        <w:t>知书、合同协议书、</w:t>
      </w:r>
      <w:r>
        <w:rPr>
          <w:rFonts w:ascii="宋体" w:hAnsi="宋体" w:cs="宋体"/>
          <w:snapToGrid w:val="0"/>
          <w:color w:val="000000" w:themeColor="text1"/>
          <w:spacing w:val="-2"/>
          <w:kern w:val="0"/>
          <w:sz w:val="24"/>
          <w:highlight w:val="none"/>
          <w:u w:val="single"/>
          <w14:textFill>
            <w14:solidFill>
              <w14:schemeClr w14:val="tx1"/>
            </w14:solidFill>
          </w14:textFill>
        </w:rPr>
        <w:t>交工验收（或未交工验收一次性竣工验收）证书扫描件，如上述资料均无法证实投标人满足招标文件规定的资格审查条件（业绩最低要求）或评标办法评分标准（如有</w:t>
      </w:r>
      <w:r>
        <w:rPr>
          <w:rFonts w:ascii="宋体" w:hAnsi="宋体" w:cs="宋体"/>
          <w:snapToGrid w:val="0"/>
          <w:color w:val="000000" w:themeColor="text1"/>
          <w:spacing w:val="6"/>
          <w:kern w:val="0"/>
          <w:sz w:val="24"/>
          <w:highlight w:val="none"/>
          <w:u w:val="single"/>
          <w14:textFill>
            <w14:solidFill>
              <w14:schemeClr w14:val="tx1"/>
            </w14:solidFill>
          </w14:textFill>
        </w:rPr>
        <w:t>），</w:t>
      </w:r>
      <w:r>
        <w:rPr>
          <w:rFonts w:ascii="宋体" w:hAnsi="宋体" w:cs="宋体"/>
          <w:snapToGrid w:val="0"/>
          <w:color w:val="000000" w:themeColor="text1"/>
          <w:spacing w:val="-2"/>
          <w:kern w:val="0"/>
          <w:sz w:val="24"/>
          <w:highlight w:val="none"/>
          <w:u w:val="single"/>
          <w14:textFill>
            <w14:solidFill>
              <w14:schemeClr w14:val="tx1"/>
            </w14:solidFill>
          </w14:textFill>
        </w:rPr>
        <w:t>则</w:t>
      </w:r>
      <w:r>
        <w:rPr>
          <w:rFonts w:ascii="宋体" w:hAnsi="宋体" w:cs="宋体"/>
          <w:snapToGrid w:val="0"/>
          <w:color w:val="000000" w:themeColor="text1"/>
          <w:spacing w:val="2"/>
          <w:kern w:val="0"/>
          <w:sz w:val="24"/>
          <w:highlight w:val="none"/>
          <w:u w:val="single"/>
          <w14:textFill>
            <w14:solidFill>
              <w14:schemeClr w14:val="tx1"/>
            </w14:solidFill>
          </w14:textFill>
        </w:rPr>
        <w:t>该项目业绩不予认定。</w:t>
      </w:r>
    </w:p>
    <w:p w14:paraId="73566974">
      <w:pPr>
        <w:widowControl/>
        <w:autoSpaceDE w:val="0"/>
        <w:autoSpaceDN w:val="0"/>
        <w:adjustRightInd w:val="0"/>
        <w:snapToGrid w:val="0"/>
        <w:spacing w:line="360" w:lineRule="auto"/>
        <w:ind w:left="35" w:right="80" w:firstLine="45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如近年来，投标人法人机构发生合法变更或重组或法人名称变更时，应提供相关部门的合法批件或其他相关证明材料来证明其所附业绩的继承性。</w:t>
      </w:r>
    </w:p>
    <w:p w14:paraId="6B984344">
      <w:pPr>
        <w:widowControl/>
        <w:autoSpaceDE w:val="0"/>
        <w:autoSpaceDN w:val="0"/>
        <w:adjustRightInd w:val="0"/>
        <w:snapToGrid w:val="0"/>
        <w:spacing w:line="360" w:lineRule="auto"/>
        <w:ind w:firstLine="468" w:firstLineChars="200"/>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3.5.3（b） “近年完成的类似项目 ”应是已列入交通运输部“全国公路建设市场监督管理系统 ”或省级交通运输主管部门“公路建设市场监督管理系统 ”并公开的总包已建业绩或分包（不包括劳务分包）已建业绩，具体时间要求见投标人须知前附表。</w:t>
      </w:r>
    </w:p>
    <w:p w14:paraId="135D0375">
      <w:pPr>
        <w:widowControl/>
        <w:autoSpaceDE w:val="0"/>
        <w:autoSpaceDN w:val="0"/>
        <w:adjustRightInd w:val="0"/>
        <w:snapToGrid w:val="0"/>
        <w:spacing w:line="360" w:lineRule="auto"/>
        <w:ind w:left="10" w:right="18" w:firstLine="466"/>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“近年完成的类似项目情况表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”应附在交通运输部“全国公路建设</w:t>
      </w:r>
      <w:r>
        <w:rPr>
          <w:rFonts w:ascii="宋体" w:hAnsi="宋体" w:cs="宋体"/>
          <w:snapToGrid w:val="0"/>
          <w:color w:val="000000" w:themeColor="text1"/>
          <w:spacing w:val="-3"/>
          <w:kern w:val="0"/>
          <w:sz w:val="24"/>
          <w:highlight w:val="none"/>
          <w14:textFill>
            <w14:solidFill>
              <w14:schemeClr w14:val="tx1"/>
            </w14:solidFill>
          </w14:textFill>
        </w:rPr>
        <w:t>市场监督管理系</w:t>
      </w:r>
      <w:r>
        <w:rPr>
          <w:rFonts w:ascii="宋体" w:hAnsi="宋体" w:cs="宋体"/>
          <w:snapToGrid w:val="0"/>
          <w:color w:val="000000" w:themeColor="text1"/>
          <w:spacing w:val="-4"/>
          <w:kern w:val="0"/>
          <w:sz w:val="24"/>
          <w:highlight w:val="none"/>
          <w14:textFill>
            <w14:solidFill>
              <w14:schemeClr w14:val="tx1"/>
            </w14:solidFill>
          </w14:textFill>
        </w:rPr>
        <w:t>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”中查询到的企业“业绩信息</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”相关项目网页截图，即包括“项目名称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w:t>
      </w:r>
      <w:r>
        <w:rPr>
          <w:rFonts w:ascii="宋体" w:hAnsi="宋体" w:cs="宋体"/>
          <w:snapToGrid w:val="0"/>
          <w:color w:val="000000" w:themeColor="text1"/>
          <w:spacing w:val="-5"/>
          <w:kern w:val="0"/>
          <w:sz w:val="24"/>
          <w:highlight w:val="none"/>
          <w14:textFill>
            <w14:solidFill>
              <w14:schemeClr w14:val="tx1"/>
            </w14:solidFill>
          </w14:textFill>
        </w:rPr>
        <w:t>、“标段类</w:t>
      </w:r>
      <w:r>
        <w:rPr>
          <w:rFonts w:ascii="宋体" w:hAnsi="宋体" w:cs="宋体"/>
          <w:snapToGrid w:val="0"/>
          <w:color w:val="000000" w:themeColor="text1"/>
          <w:spacing w:val="-4"/>
          <w:kern w:val="0"/>
          <w:sz w:val="24"/>
          <w:highlight w:val="none"/>
          <w14:textFill>
            <w14:solidFill>
              <w14:schemeClr w14:val="tx1"/>
            </w14:solidFill>
          </w14:textFill>
        </w:rPr>
        <w:t>型</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”、“合同价</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”、“主要工程量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”等栏目在内的项目详细信息网页截图。</w:t>
      </w:r>
      <w:r>
        <w:rPr>
          <w:rFonts w:ascii="宋体" w:hAnsi="宋体" w:cs="宋体"/>
          <w:snapToGrid w:val="0"/>
          <w:color w:val="000000" w:themeColor="text1"/>
          <w:spacing w:val="-5"/>
          <w:kern w:val="0"/>
          <w:sz w:val="24"/>
          <w:highlight w:val="none"/>
          <w14:textFill>
            <w14:solidFill>
              <w14:schemeClr w14:val="tx1"/>
            </w14:solidFill>
          </w14:textFill>
        </w:rPr>
        <w:t>在交通运输</w:t>
      </w:r>
      <w:r>
        <w:rPr>
          <w:rFonts w:ascii="宋体" w:hAnsi="宋体" w:cs="宋体"/>
          <w:snapToGrid w:val="0"/>
          <w:color w:val="000000" w:themeColor="text1"/>
          <w:spacing w:val="-2"/>
          <w:kern w:val="0"/>
          <w:sz w:val="24"/>
          <w:highlight w:val="none"/>
          <w14:textFill>
            <w14:solidFill>
              <w14:schemeClr w14:val="tx1"/>
            </w14:solidFill>
          </w14:textFill>
        </w:rPr>
        <w:t>部“全国公路建设市场监督管理系统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”中无法查</w:t>
      </w:r>
      <w:r>
        <w:rPr>
          <w:rFonts w:ascii="宋体" w:hAnsi="宋体" w:cs="宋体"/>
          <w:snapToGrid w:val="0"/>
          <w:color w:val="000000" w:themeColor="text1"/>
          <w:spacing w:val="-3"/>
          <w:kern w:val="0"/>
          <w:sz w:val="24"/>
          <w:highlight w:val="none"/>
          <w14:textFill>
            <w14:solidFill>
              <w14:schemeClr w14:val="tx1"/>
            </w14:solidFill>
          </w14:textFill>
        </w:rPr>
        <w:t>询，但可在省级交通运输主管部门“公</w:t>
      </w:r>
      <w:r>
        <w:rPr>
          <w:rFonts w:ascii="宋体" w:hAnsi="宋体" w:cs="宋体"/>
          <w:snapToGrid w:val="0"/>
          <w:color w:val="000000" w:themeColor="text1"/>
          <w:spacing w:val="-2"/>
          <w:kern w:val="0"/>
          <w:sz w:val="24"/>
          <w:highlight w:val="none"/>
          <w14:textFill>
            <w14:solidFill>
              <w14:schemeClr w14:val="tx1"/>
            </w14:solidFill>
          </w14:textFill>
        </w:rPr>
        <w:t>路建设市场监督管理系统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”中查询的，应附省级</w:t>
      </w:r>
      <w:r>
        <w:rPr>
          <w:rFonts w:ascii="宋体" w:hAnsi="宋体" w:cs="宋体"/>
          <w:snapToGrid w:val="0"/>
          <w:color w:val="000000" w:themeColor="text1"/>
          <w:spacing w:val="-3"/>
          <w:kern w:val="0"/>
          <w:sz w:val="24"/>
          <w:highlight w:val="none"/>
          <w14:textFill>
            <w14:solidFill>
              <w14:schemeClr w14:val="tx1"/>
            </w14:solidFill>
          </w14:textFill>
        </w:rPr>
        <w:t>交通运输主管部门“公路建设市场监督</w:t>
      </w:r>
      <w:r>
        <w:rPr>
          <w:rFonts w:ascii="宋体" w:hAnsi="宋体" w:cs="宋体"/>
          <w:snapToGrid w:val="0"/>
          <w:color w:val="000000" w:themeColor="text1"/>
          <w:spacing w:val="-6"/>
          <w:kern w:val="0"/>
          <w:sz w:val="24"/>
          <w:highlight w:val="none"/>
          <w14:textFill>
            <w14:solidFill>
              <w14:schemeClr w14:val="tx1"/>
            </w14:solidFill>
          </w14:textFill>
        </w:rPr>
        <w:t>管理系统</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”中查新到的网页截图。除网页截图外</w:t>
      </w:r>
      <w:r>
        <w:rPr>
          <w:rFonts w:ascii="宋体" w:hAnsi="宋体" w:cs="宋体"/>
          <w:snapToGrid w:val="0"/>
          <w:color w:val="000000" w:themeColor="text1"/>
          <w:spacing w:val="-7"/>
          <w:kern w:val="0"/>
          <w:sz w:val="24"/>
          <w:highlight w:val="none"/>
          <w14:textFill>
            <w14:solidFill>
              <w14:schemeClr w14:val="tx1"/>
            </w14:solidFill>
          </w14:textFill>
        </w:rPr>
        <w:t>，投标人无需再提供任何业绩证明材料。</w:t>
      </w:r>
    </w:p>
    <w:p w14:paraId="7671F975">
      <w:pPr>
        <w:widowControl/>
        <w:autoSpaceDE w:val="0"/>
        <w:autoSpaceDN w:val="0"/>
        <w:adjustRightInd w:val="0"/>
        <w:snapToGrid w:val="0"/>
        <w:spacing w:line="360" w:lineRule="auto"/>
        <w:ind w:left="8" w:right="99"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如投标人未提供相关项目网页截图或相关项目网页截图中的信息无法证实投标人</w:t>
      </w:r>
      <w:r>
        <w:rPr>
          <w:rFonts w:ascii="宋体" w:hAnsi="宋体" w:cs="宋体"/>
          <w:snapToGrid w:val="0"/>
          <w:color w:val="000000" w:themeColor="text1"/>
          <w:spacing w:val="-2"/>
          <w:kern w:val="0"/>
          <w:sz w:val="24"/>
          <w:highlight w:val="none"/>
          <w14:textFill>
            <w14:solidFill>
              <w14:schemeClr w14:val="tx1"/>
            </w14:solidFill>
          </w14:textFill>
        </w:rPr>
        <w:t>满足招标文件规定的资格审查条件（业绩最低要求）或评标办法评分标准（如有</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则</w:t>
      </w:r>
      <w:r>
        <w:rPr>
          <w:rFonts w:ascii="宋体" w:hAnsi="宋体" w:cs="宋体"/>
          <w:snapToGrid w:val="0"/>
          <w:color w:val="000000" w:themeColor="text1"/>
          <w:spacing w:val="-1"/>
          <w:kern w:val="0"/>
          <w:sz w:val="24"/>
          <w:highlight w:val="none"/>
          <w14:textFill>
            <w14:solidFill>
              <w14:schemeClr w14:val="tx1"/>
            </w14:solidFill>
          </w14:textFill>
        </w:rPr>
        <w:t>该项目业绩不予认定。</w:t>
      </w:r>
    </w:p>
    <w:p w14:paraId="1D5FEDFE">
      <w:pPr>
        <w:widowControl/>
        <w:autoSpaceDE w:val="0"/>
        <w:autoSpaceDN w:val="0"/>
        <w:adjustRightInd w:val="0"/>
        <w:snapToGrid w:val="0"/>
        <w:spacing w:line="360" w:lineRule="auto"/>
        <w:ind w:left="35" w:right="99" w:firstLine="45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如近年来，投标人法人机构发生合法变更或重组或法人名称变更时，应提供相关部门的合法批件或其他相关证明材料来证明其所附业绩的继承性。</w:t>
      </w:r>
    </w:p>
    <w:p w14:paraId="1546BAC0">
      <w:pPr>
        <w:widowControl/>
        <w:autoSpaceDE w:val="0"/>
        <w:autoSpaceDN w:val="0"/>
        <w:adjustRightInd w:val="0"/>
        <w:snapToGrid w:val="0"/>
        <w:spacing w:line="360" w:lineRule="auto"/>
        <w:ind w:left="10"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9"/>
          <w:kern w:val="0"/>
          <w:sz w:val="24"/>
          <w:highlight w:val="none"/>
          <w14:textFill>
            <w14:solidFill>
              <w14:schemeClr w14:val="tx1"/>
            </w14:solidFill>
          </w14:textFill>
        </w:rPr>
        <w:t>3.5.3（c）</w:t>
      </w:r>
      <w:r>
        <w:rPr>
          <w:rFonts w:ascii="宋体" w:hAnsi="宋体" w:cs="宋体"/>
          <w:snapToGrid w:val="0"/>
          <w:color w:val="000000" w:themeColor="text1"/>
          <w:spacing w:val="-4"/>
          <w:kern w:val="0"/>
          <w:sz w:val="24"/>
          <w:highlight w:val="none"/>
          <w14:textFill>
            <w14:solidFill>
              <w14:schemeClr w14:val="tx1"/>
            </w14:solidFill>
          </w14:textFill>
        </w:rPr>
        <w:t>“近年完成的类似项目情况表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”应同时附合同协议</w:t>
      </w:r>
      <w:r>
        <w:rPr>
          <w:rFonts w:ascii="宋体" w:hAnsi="宋体" w:cs="宋体"/>
          <w:snapToGrid w:val="0"/>
          <w:color w:val="000000" w:themeColor="text1"/>
          <w:spacing w:val="-5"/>
          <w:kern w:val="0"/>
          <w:sz w:val="24"/>
          <w:highlight w:val="none"/>
          <w14:textFill>
            <w14:solidFill>
              <w14:schemeClr w14:val="tx1"/>
            </w14:solidFill>
          </w14:textFill>
        </w:rPr>
        <w:t>书、项目已交（竣）</w:t>
      </w:r>
      <w:r>
        <w:rPr>
          <w:rFonts w:ascii="宋体" w:hAnsi="宋体" w:cs="宋体"/>
          <w:snapToGrid w:val="0"/>
          <w:color w:val="000000" w:themeColor="text1"/>
          <w:spacing w:val="-2"/>
          <w:kern w:val="0"/>
          <w:sz w:val="24"/>
          <w:highlight w:val="none"/>
          <w14:textFill>
            <w14:solidFill>
              <w14:schemeClr w14:val="tx1"/>
            </w14:solidFill>
          </w14:textFill>
        </w:rPr>
        <w:t>工证明文件（交工验收证书或竣工验收备案表或竣工验收证明材料或建设单位出具的完工证明或完工验收鉴定书等）扫描件，如上述资料均无法证实投标人满足招标文件规定</w:t>
      </w:r>
      <w:r>
        <w:rPr>
          <w:rFonts w:ascii="宋体" w:hAnsi="宋体" w:cs="宋体"/>
          <w:snapToGrid w:val="0"/>
          <w:color w:val="000000" w:themeColor="text1"/>
          <w:spacing w:val="-1"/>
          <w:kern w:val="0"/>
          <w:sz w:val="24"/>
          <w:highlight w:val="none"/>
          <w14:textFill>
            <w14:solidFill>
              <w14:schemeClr w14:val="tx1"/>
            </w14:solidFill>
          </w14:textFill>
        </w:rPr>
        <w:t>的资格审查条件（业绩最低要求）或评标办法评分</w:t>
      </w:r>
      <w:r>
        <w:rPr>
          <w:rFonts w:ascii="宋体" w:hAnsi="宋体" w:cs="宋体"/>
          <w:snapToGrid w:val="0"/>
          <w:color w:val="000000" w:themeColor="text1"/>
          <w:spacing w:val="-2"/>
          <w:kern w:val="0"/>
          <w:sz w:val="24"/>
          <w:highlight w:val="none"/>
          <w14:textFill>
            <w14:solidFill>
              <w14:schemeClr w14:val="tx1"/>
            </w14:solidFill>
          </w14:textFill>
        </w:rPr>
        <w:t>标准（如有</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还应补充提供项目业</w:t>
      </w:r>
      <w:r>
        <w:rPr>
          <w:rFonts w:ascii="宋体" w:hAnsi="宋体" w:cs="宋体"/>
          <w:snapToGrid w:val="0"/>
          <w:color w:val="000000" w:themeColor="text1"/>
          <w:spacing w:val="-1"/>
          <w:kern w:val="0"/>
          <w:sz w:val="24"/>
          <w:highlight w:val="none"/>
          <w14:textFill>
            <w14:solidFill>
              <w14:schemeClr w14:val="tx1"/>
            </w14:solidFill>
          </w14:textFill>
        </w:rPr>
        <w:t>主或主管部门开具的证明材料。</w:t>
      </w:r>
    </w:p>
    <w:p w14:paraId="265070D1">
      <w:pPr>
        <w:widowControl/>
        <w:autoSpaceDE w:val="0"/>
        <w:autoSpaceDN w:val="0"/>
        <w:adjustRightInd w:val="0"/>
        <w:snapToGrid w:val="0"/>
        <w:spacing w:line="360" w:lineRule="auto"/>
        <w:ind w:left="7" w:right="99"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3.5.3（d）“近年完成的类似项目情况表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”应同时附合同协议</w:t>
      </w:r>
      <w:r>
        <w:rPr>
          <w:rFonts w:ascii="宋体" w:hAnsi="宋体" w:cs="宋体"/>
          <w:snapToGrid w:val="0"/>
          <w:color w:val="000000" w:themeColor="text1"/>
          <w:spacing w:val="-3"/>
          <w:kern w:val="0"/>
          <w:sz w:val="24"/>
          <w:highlight w:val="none"/>
          <w14:textFill>
            <w14:solidFill>
              <w14:schemeClr w14:val="tx1"/>
            </w14:solidFill>
          </w14:textFill>
        </w:rPr>
        <w:t>书、竣工验收备案</w:t>
      </w:r>
      <w:r>
        <w:rPr>
          <w:rFonts w:ascii="宋体" w:hAnsi="宋体" w:cs="宋体"/>
          <w:snapToGrid w:val="0"/>
          <w:color w:val="000000" w:themeColor="text1"/>
          <w:spacing w:val="-2"/>
          <w:kern w:val="0"/>
          <w:sz w:val="24"/>
          <w:highlight w:val="none"/>
          <w14:textFill>
            <w14:solidFill>
              <w14:schemeClr w14:val="tx1"/>
            </w14:solidFill>
          </w14:textFill>
        </w:rPr>
        <w:t>表或竣工验收证明材料或建设单位出具的完工证明或完工验收鉴定书扫描件，如上述资料均无法证实申请人满足资格预审文件规定的资格预审条件（业绩最低要求）或资格审</w:t>
      </w:r>
      <w:r>
        <w:rPr>
          <w:rFonts w:ascii="宋体" w:hAnsi="宋体" w:cs="宋体"/>
          <w:snapToGrid w:val="0"/>
          <w:color w:val="000000" w:themeColor="text1"/>
          <w:spacing w:val="-1"/>
          <w:kern w:val="0"/>
          <w:sz w:val="24"/>
          <w:highlight w:val="none"/>
          <w14:textFill>
            <w14:solidFill>
              <w14:schemeClr w14:val="tx1"/>
            </w14:solidFill>
          </w14:textFill>
        </w:rPr>
        <w:t>查办法评分标准（如有</w:t>
      </w:r>
      <w:r>
        <w:rPr>
          <w:rFonts w:ascii="宋体" w:hAnsi="宋体" w:cs="宋体"/>
          <w:snapToGrid w:val="0"/>
          <w:color w:val="000000" w:themeColor="text1"/>
          <w:spacing w:val="11"/>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还应补充提供项目业主或主管部门开具的证明材料。</w:t>
      </w:r>
    </w:p>
    <w:p w14:paraId="6921F89E">
      <w:pPr>
        <w:widowControl/>
        <w:autoSpaceDE w:val="0"/>
        <w:autoSpaceDN w:val="0"/>
        <w:adjustRightInd w:val="0"/>
        <w:snapToGrid w:val="0"/>
        <w:spacing w:line="360" w:lineRule="auto"/>
        <w:ind w:left="9" w:right="99" w:firstLine="483"/>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3.5.4</w:t>
      </w:r>
      <w:r>
        <w:rPr>
          <w:rFonts w:ascii="宋体" w:hAnsi="宋体" w:cs="宋体"/>
          <w:snapToGrid w:val="0"/>
          <w:color w:val="000000" w:themeColor="text1"/>
          <w:spacing w:val="-2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“投标人的信誉情况</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”应附投标人在国家企业信用信息公示系统中未被列入</w:t>
      </w:r>
      <w:r>
        <w:rPr>
          <w:rFonts w:ascii="宋体" w:hAnsi="宋体" w:cs="宋体"/>
          <w:snapToGrid w:val="0"/>
          <w:color w:val="000000" w:themeColor="text1"/>
          <w:spacing w:val="-1"/>
          <w:kern w:val="0"/>
          <w:sz w:val="24"/>
          <w:highlight w:val="none"/>
          <w14:textFill>
            <w14:solidFill>
              <w14:schemeClr w14:val="tx1"/>
            </w14:solidFill>
          </w14:textFill>
        </w:rPr>
        <w:t>严重违法失信名单、“信用中国</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”网站中被列入失信被执行人</w:t>
      </w:r>
      <w:r>
        <w:rPr>
          <w:rFonts w:ascii="宋体" w:hAnsi="宋体" w:cs="宋体"/>
          <w:snapToGrid w:val="0"/>
          <w:color w:val="000000" w:themeColor="text1"/>
          <w:spacing w:val="-2"/>
          <w:kern w:val="0"/>
          <w:sz w:val="24"/>
          <w:highlight w:val="none"/>
          <w14:textFill>
            <w14:solidFill>
              <w14:schemeClr w14:val="tx1"/>
            </w14:solidFill>
          </w14:textFill>
        </w:rPr>
        <w:t>名单的网页截图</w:t>
      </w:r>
      <w:r>
        <w:rPr>
          <w:rFonts w:hint="eastAsia" w:ascii="宋体" w:hAnsi="宋体" w:cs="宋体"/>
          <w:snapToGrid w:val="0"/>
          <w:color w:val="000000" w:themeColor="text1"/>
          <w:spacing w:val="-2"/>
          <w:kern w:val="0"/>
          <w:sz w:val="24"/>
          <w:highlight w:val="none"/>
          <w14:textFill>
            <w14:solidFill>
              <w14:schemeClr w14:val="tx1"/>
            </w14:solidFill>
          </w14:textFill>
        </w:rPr>
        <w:t>（注：提供“中国执行信息公开网 ”查询信息也认可)</w:t>
      </w:r>
      <w:r>
        <w:rPr>
          <w:rFonts w:ascii="宋体" w:hAnsi="宋体" w:cs="宋体"/>
          <w:snapToGrid w:val="0"/>
          <w:color w:val="000000" w:themeColor="text1"/>
          <w:spacing w:val="-2"/>
          <w:kern w:val="0"/>
          <w:sz w:val="24"/>
          <w:highlight w:val="none"/>
          <w14:textFill>
            <w14:solidFill>
              <w14:schemeClr w14:val="tx1"/>
            </w14:solidFill>
          </w14:textFill>
        </w:rPr>
        <w:t>。</w:t>
      </w:r>
    </w:p>
    <w:p w14:paraId="47B38921">
      <w:pPr>
        <w:widowControl/>
        <w:autoSpaceDE w:val="0"/>
        <w:autoSpaceDN w:val="0"/>
        <w:adjustRightInd w:val="0"/>
        <w:snapToGrid w:val="0"/>
        <w:spacing w:line="360" w:lineRule="auto"/>
        <w:ind w:left="9" w:right="99" w:firstLine="483"/>
        <w:jc w:val="left"/>
        <w:textAlignment w:val="baseline"/>
        <w:rPr>
          <w:rFonts w:hint="eastAsia" w:ascii="宋体" w:hAnsi="宋体" w:cs="宋体"/>
          <w:snapToGrid w:val="0"/>
          <w:color w:val="000000" w:themeColor="text1"/>
          <w:spacing w:val="-2"/>
          <w:kern w:val="0"/>
          <w:position w:val="4"/>
          <w:sz w:val="24"/>
          <w:highlight w:val="none"/>
          <w14:textFill>
            <w14:solidFill>
              <w14:schemeClr w14:val="tx1"/>
            </w14:solidFill>
          </w14:textFill>
        </w:rPr>
      </w:pPr>
      <w:r>
        <w:rPr>
          <w:rFonts w:ascii="宋体" w:hAnsi="宋体" w:cs="宋体"/>
          <w:snapToGrid w:val="0"/>
          <w:color w:val="000000" w:themeColor="text1"/>
          <w:spacing w:val="-2"/>
          <w:kern w:val="0"/>
          <w:position w:val="4"/>
          <w:sz w:val="24"/>
          <w:highlight w:val="none"/>
          <w14:textFill>
            <w14:solidFill>
              <w14:schemeClr w14:val="tx1"/>
            </w14:solidFill>
          </w14:textFill>
        </w:rPr>
        <w:t>3.5.5（a）“拟委任的项目经理和项目总工等主要管理人员资历表</w:t>
      </w:r>
      <w:r>
        <w:rPr>
          <w:rFonts w:ascii="宋体" w:hAnsi="宋体" w:cs="宋体"/>
          <w:snapToGrid w:val="0"/>
          <w:color w:val="000000" w:themeColor="text1"/>
          <w:spacing w:val="-88"/>
          <w:kern w:val="0"/>
          <w:position w:val="4"/>
          <w:sz w:val="24"/>
          <w:highlight w:val="none"/>
          <w14:textFill>
            <w14:solidFill>
              <w14:schemeClr w14:val="tx1"/>
            </w14:solidFill>
          </w14:textFill>
        </w:rPr>
        <w:t xml:space="preserve"> </w:t>
      </w:r>
      <w:r>
        <w:rPr>
          <w:rFonts w:ascii="宋体" w:hAnsi="宋体" w:cs="宋体"/>
          <w:snapToGrid w:val="0"/>
          <w:color w:val="000000" w:themeColor="text1"/>
          <w:spacing w:val="-3"/>
          <w:kern w:val="0"/>
          <w:position w:val="4"/>
          <w:sz w:val="24"/>
          <w:highlight w:val="none"/>
          <w14:textFill>
            <w14:solidFill>
              <w14:schemeClr w14:val="tx1"/>
            </w14:solidFill>
          </w14:textFill>
        </w:rPr>
        <w:t>”应同时附①</w:t>
      </w:r>
      <w:r>
        <w:rPr>
          <w:rFonts w:ascii="宋体" w:hAnsi="宋体" w:cs="宋体"/>
          <w:snapToGrid w:val="0"/>
          <w:color w:val="000000" w:themeColor="text1"/>
          <w:spacing w:val="-2"/>
          <w:kern w:val="0"/>
          <w:position w:val="4"/>
          <w:sz w:val="24"/>
          <w:highlight w:val="none"/>
          <w14:textFill>
            <w14:solidFill>
              <w14:schemeClr w14:val="tx1"/>
            </w14:solidFill>
          </w14:textFill>
        </w:rPr>
        <w:t>交通运输部“全国公路建设市场监督管理系统 ”中载明的、能够证明项目经理（以及备选人，如有）、项目总工（以及备选人，如有）、</w:t>
      </w:r>
      <w:r>
        <w:rPr>
          <w:rFonts w:ascii="宋体" w:hAnsi="宋体" w:cs="宋体"/>
          <w:snapToGrid w:val="0"/>
          <w:color w:val="000000" w:themeColor="text1"/>
          <w:spacing w:val="-2"/>
          <w:kern w:val="0"/>
          <w:position w:val="4"/>
          <w:sz w:val="24"/>
          <w:highlight w:val="none"/>
          <w:u w:val="single"/>
          <w14:textFill>
            <w14:solidFill>
              <w14:schemeClr w14:val="tx1"/>
            </w14:solidFill>
          </w14:textFill>
        </w:rPr>
        <w:t>安全总监（如有）、质量总监（如有）</w:t>
      </w:r>
      <w:r>
        <w:rPr>
          <w:rFonts w:ascii="宋体" w:hAnsi="宋体" w:cs="宋体"/>
          <w:snapToGrid w:val="0"/>
          <w:color w:val="000000" w:themeColor="text1"/>
          <w:spacing w:val="-2"/>
          <w:kern w:val="0"/>
          <w:position w:val="4"/>
          <w:sz w:val="24"/>
          <w:highlight w:val="none"/>
          <w14:textFill>
            <w14:solidFill>
              <w14:schemeClr w14:val="tx1"/>
            </w14:solidFill>
          </w14:textFill>
        </w:rPr>
        <w:t>满足投标人须知前附表附录 5 或者评标办法评分标准（如有）所提出的各项指标（即包括人员的“基本信息 ”、“职称信息 ”、“执业资格 ”、“个人业绩 ”等栏目在内）的网页截图；②建造师注册证书在全国建筑市场监管公共服务平台上公开信息的网页截图（仅项目经理（以及备选人，如有）提供）；③安全生产考核合格证书在交通运输工程施工单位安管人员安全生产考核管理系统信息公共查询平台(或省级交通运输工程施工单位安管人员安全生产考核管理系统信息公共查询平台)上查询公开信息的网页截图（仅项目经理（以及备选人，如有）、</w:t>
      </w:r>
      <w:r>
        <w:rPr>
          <w:rFonts w:ascii="宋体" w:hAnsi="宋体" w:cs="宋体"/>
          <w:snapToGrid w:val="0"/>
          <w:color w:val="000000" w:themeColor="text1"/>
          <w:spacing w:val="-2"/>
          <w:kern w:val="0"/>
          <w:position w:val="4"/>
          <w:sz w:val="24"/>
          <w:highlight w:val="none"/>
          <w:u w:val="single"/>
          <w14:textFill>
            <w14:solidFill>
              <w14:schemeClr w14:val="tx1"/>
            </w14:solidFill>
          </w14:textFill>
        </w:rPr>
        <w:t>安全总监（如有）</w:t>
      </w:r>
      <w:r>
        <w:rPr>
          <w:rFonts w:ascii="宋体" w:hAnsi="宋体" w:cs="宋体"/>
          <w:snapToGrid w:val="0"/>
          <w:color w:val="000000" w:themeColor="text1"/>
          <w:spacing w:val="-2"/>
          <w:kern w:val="0"/>
          <w:position w:val="4"/>
          <w:sz w:val="24"/>
          <w:highlight w:val="none"/>
          <w14:textFill>
            <w14:solidFill>
              <w14:schemeClr w14:val="tx1"/>
            </w14:solidFill>
          </w14:textFill>
        </w:rPr>
        <w:t>提供）；④投标人在社保系统打印的拟委任的项目经理（以及备选人，如有）、项目总工（以及备选人，如有）、</w:t>
      </w:r>
      <w:r>
        <w:rPr>
          <w:rFonts w:ascii="宋体" w:hAnsi="宋体" w:cs="宋体"/>
          <w:snapToGrid w:val="0"/>
          <w:color w:val="000000" w:themeColor="text1"/>
          <w:spacing w:val="-2"/>
          <w:kern w:val="0"/>
          <w:position w:val="4"/>
          <w:sz w:val="24"/>
          <w:highlight w:val="none"/>
          <w:u w:val="single"/>
          <w14:textFill>
            <w14:solidFill>
              <w14:schemeClr w14:val="tx1"/>
            </w14:solidFill>
          </w14:textFill>
        </w:rPr>
        <w:t>安全总监（如有）、质量总监（如有）</w:t>
      </w:r>
      <w:r>
        <w:rPr>
          <w:rFonts w:ascii="宋体" w:hAnsi="宋体" w:cs="宋体"/>
          <w:snapToGrid w:val="0"/>
          <w:color w:val="000000" w:themeColor="text1"/>
          <w:spacing w:val="-2"/>
          <w:kern w:val="0"/>
          <w:position w:val="4"/>
          <w:sz w:val="24"/>
          <w:highlight w:val="none"/>
          <w14:textFill>
            <w14:solidFill>
              <w14:schemeClr w14:val="tx1"/>
            </w14:solidFill>
          </w14:textFill>
        </w:rPr>
        <w:t>参加社保的缴费明细扫描件（社保时段为投标文件递交截止日前半年时间内连续不少于三个月），总公司参与投标的，提供的分公司人员的社保也视为有效。</w:t>
      </w:r>
    </w:p>
    <w:p w14:paraId="3DEF7312">
      <w:pPr>
        <w:widowControl/>
        <w:autoSpaceDE w:val="0"/>
        <w:autoSpaceDN w:val="0"/>
        <w:adjustRightInd w:val="0"/>
        <w:snapToGrid w:val="0"/>
        <w:spacing w:line="360" w:lineRule="auto"/>
        <w:ind w:left="502" w:right="330" w:hanging="1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建造师注册信息以②的证明材料为准，安全生产考核信息以③的证明材料为准。</w:t>
      </w:r>
      <w:r>
        <w:rPr>
          <w:rFonts w:ascii="宋体" w:hAnsi="宋体" w:cs="宋体"/>
          <w:snapToGrid w:val="0"/>
          <w:color w:val="000000" w:themeColor="text1"/>
          <w:spacing w:val="-1"/>
          <w:kern w:val="0"/>
          <w:sz w:val="24"/>
          <w:highlight w:val="none"/>
          <w14:textFill>
            <w14:solidFill>
              <w14:schemeClr w14:val="tx1"/>
            </w14:solidFill>
          </w14:textFill>
        </w:rPr>
        <w:t>除上述资料外，投标人无需再提供任何证明</w:t>
      </w:r>
      <w:r>
        <w:rPr>
          <w:rFonts w:ascii="宋体" w:hAnsi="宋体" w:cs="宋体"/>
          <w:snapToGrid w:val="0"/>
          <w:color w:val="000000" w:themeColor="text1"/>
          <w:spacing w:val="-2"/>
          <w:kern w:val="0"/>
          <w:sz w:val="24"/>
          <w:highlight w:val="none"/>
          <w14:textFill>
            <w14:solidFill>
              <w14:schemeClr w14:val="tx1"/>
            </w14:solidFill>
          </w14:textFill>
        </w:rPr>
        <w:t>材料。</w:t>
      </w:r>
    </w:p>
    <w:p w14:paraId="2DA1758B">
      <w:pPr>
        <w:widowControl/>
        <w:autoSpaceDE w:val="0"/>
        <w:autoSpaceDN w:val="0"/>
        <w:adjustRightInd w:val="0"/>
        <w:snapToGrid w:val="0"/>
        <w:spacing w:line="360" w:lineRule="auto"/>
        <w:ind w:left="12" w:right="99"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如项目经理（以及备选人，如有）和项目总工（以及备选人，如有）目前仍在其他</w:t>
      </w:r>
      <w:r>
        <w:rPr>
          <w:rFonts w:ascii="宋体" w:hAnsi="宋体" w:cs="宋体"/>
          <w:snapToGrid w:val="0"/>
          <w:color w:val="000000" w:themeColor="text1"/>
          <w:spacing w:val="-1"/>
          <w:kern w:val="0"/>
          <w:sz w:val="24"/>
          <w:highlight w:val="none"/>
          <w14:textFill>
            <w14:solidFill>
              <w14:schemeClr w14:val="tx1"/>
            </w14:solidFill>
          </w14:textFill>
        </w:rPr>
        <w:t>项目上任职，则投标人应按投标函的格式承诺上述人员能够从该项目撤离。</w:t>
      </w:r>
    </w:p>
    <w:p w14:paraId="21FCB8CA">
      <w:pPr>
        <w:widowControl/>
        <w:autoSpaceDE w:val="0"/>
        <w:autoSpaceDN w:val="0"/>
        <w:adjustRightInd w:val="0"/>
        <w:snapToGrid w:val="0"/>
        <w:spacing w:line="360" w:lineRule="auto"/>
        <w:ind w:left="9" w:right="18"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3.5.5（b）</w:t>
      </w:r>
      <w:r>
        <w:rPr>
          <w:rFonts w:ascii="宋体" w:hAnsi="宋体" w:cs="宋体"/>
          <w:snapToGrid w:val="0"/>
          <w:color w:val="000000" w:themeColor="text1"/>
          <w:spacing w:val="48"/>
          <w:w w:val="101"/>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“拟委任的项目经理和项目总工等主要管理人员资历表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”应同时附①</w:t>
      </w:r>
      <w:r>
        <w:rPr>
          <w:rFonts w:ascii="宋体" w:hAnsi="宋体" w:cs="宋体"/>
          <w:snapToGrid w:val="0"/>
          <w:color w:val="000000" w:themeColor="text1"/>
          <w:spacing w:val="-6"/>
          <w:kern w:val="0"/>
          <w:sz w:val="24"/>
          <w:highlight w:val="none"/>
          <w14:textFill>
            <w14:solidFill>
              <w14:schemeClr w14:val="tx1"/>
            </w14:solidFill>
          </w14:textFill>
        </w:rPr>
        <w:t>项目经理（以及备选人，如有）、项目总工（以及备选人，如有）</w:t>
      </w:r>
      <w:r>
        <w:rPr>
          <w:rFonts w:ascii="宋体" w:hAnsi="宋体" w:cs="宋体"/>
          <w:snapToGrid w:val="0"/>
          <w:color w:val="000000" w:themeColor="text1"/>
          <w:spacing w:val="-6"/>
          <w:kern w:val="0"/>
          <w:sz w:val="24"/>
          <w:highlight w:val="none"/>
          <w:u w:val="single"/>
          <w14:textFill>
            <w14:solidFill>
              <w14:schemeClr w14:val="tx1"/>
            </w14:solidFill>
          </w14:textFill>
        </w:rPr>
        <w:t>、安全总监（如有）、</w:t>
      </w:r>
      <w:r>
        <w:rPr>
          <w:rFonts w:ascii="宋体" w:hAnsi="宋体" w:cs="宋体"/>
          <w:snapToGrid w:val="0"/>
          <w:color w:val="000000" w:themeColor="text1"/>
          <w:spacing w:val="-2"/>
          <w:kern w:val="0"/>
          <w:sz w:val="24"/>
          <w:highlight w:val="none"/>
          <w:u w:val="single"/>
          <w14:textFill>
            <w14:solidFill>
              <w14:schemeClr w14:val="tx1"/>
            </w14:solidFill>
          </w14:textFill>
        </w:rPr>
        <w:t>质量总监（如有）</w:t>
      </w:r>
      <w:r>
        <w:rPr>
          <w:rFonts w:ascii="宋体" w:hAnsi="宋体" w:cs="宋体"/>
          <w:snapToGrid w:val="0"/>
          <w:color w:val="000000" w:themeColor="text1"/>
          <w:spacing w:val="-2"/>
          <w:kern w:val="0"/>
          <w:sz w:val="24"/>
          <w:highlight w:val="none"/>
          <w14:textFill>
            <w14:solidFill>
              <w14:schemeClr w14:val="tx1"/>
            </w14:solidFill>
          </w14:textFill>
        </w:rPr>
        <w:t>的身份证、职称资格证书扫描件；②建造师注册证书在全国建筑市场</w:t>
      </w:r>
      <w:r>
        <w:rPr>
          <w:rFonts w:ascii="宋体" w:hAnsi="宋体" w:cs="宋体"/>
          <w:snapToGrid w:val="0"/>
          <w:color w:val="000000" w:themeColor="text1"/>
          <w:kern w:val="0"/>
          <w:sz w:val="24"/>
          <w:highlight w:val="none"/>
          <w14:textFill>
            <w14:solidFill>
              <w14:schemeClr w14:val="tx1"/>
            </w14:solidFill>
          </w14:textFill>
        </w:rPr>
        <w:t>监管公共服务平台上公开信息的网页截图（仅项目经理</w:t>
      </w:r>
      <w:r>
        <w:rPr>
          <w:rFonts w:ascii="宋体" w:hAnsi="宋体" w:cs="宋体"/>
          <w:snapToGrid w:val="0"/>
          <w:color w:val="000000" w:themeColor="text1"/>
          <w:spacing w:val="-1"/>
          <w:kern w:val="0"/>
          <w:sz w:val="24"/>
          <w:highlight w:val="none"/>
          <w14:textFill>
            <w14:solidFill>
              <w14:schemeClr w14:val="tx1"/>
            </w14:solidFill>
          </w14:textFill>
        </w:rPr>
        <w:t>（以及备选人，如有）提供</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spacing w:val="5"/>
          <w:kern w:val="0"/>
          <w:sz w:val="24"/>
          <w:highlight w:val="none"/>
          <w14:textFill>
            <w14:solidFill>
              <w14:schemeClr w14:val="tx1"/>
            </w14:solidFill>
          </w14:textFill>
        </w:rPr>
        <w:t>③安全生产考核合格证书在交通运输工程施工单位安管人员安全生产考核管理系</w:t>
      </w:r>
      <w:r>
        <w:rPr>
          <w:rFonts w:ascii="宋体" w:hAnsi="宋体" w:cs="宋体"/>
          <w:snapToGrid w:val="0"/>
          <w:color w:val="000000" w:themeColor="text1"/>
          <w:spacing w:val="4"/>
          <w:kern w:val="0"/>
          <w:sz w:val="24"/>
          <w:highlight w:val="none"/>
          <w14:textFill>
            <w14:solidFill>
              <w14:schemeClr w14:val="tx1"/>
            </w14:solidFill>
          </w14:textFill>
        </w:rPr>
        <w:t>统信</w:t>
      </w:r>
      <w:r>
        <w:rPr>
          <w:rFonts w:ascii="宋体" w:hAnsi="宋体" w:cs="宋体"/>
          <w:snapToGrid w:val="0"/>
          <w:color w:val="000000" w:themeColor="text1"/>
          <w:spacing w:val="2"/>
          <w:kern w:val="0"/>
          <w:sz w:val="24"/>
          <w:highlight w:val="none"/>
          <w14:textFill>
            <w14:solidFill>
              <w14:schemeClr w14:val="tx1"/>
            </w14:solidFill>
          </w14:textFill>
        </w:rPr>
        <w:t>息公共查询平台(或省级交通运输工程施工单位安管人员安</w:t>
      </w:r>
      <w:r>
        <w:rPr>
          <w:rFonts w:ascii="宋体" w:hAnsi="宋体" w:cs="宋体"/>
          <w:snapToGrid w:val="0"/>
          <w:color w:val="000000" w:themeColor="text1"/>
          <w:spacing w:val="1"/>
          <w:kern w:val="0"/>
          <w:sz w:val="24"/>
          <w:highlight w:val="none"/>
          <w14:textFill>
            <w14:solidFill>
              <w14:schemeClr w14:val="tx1"/>
            </w14:solidFill>
          </w14:textFill>
        </w:rPr>
        <w:t>全生产考核管理系统信息公</w:t>
      </w:r>
      <w:r>
        <w:rPr>
          <w:rFonts w:ascii="宋体" w:hAnsi="宋体" w:cs="宋体"/>
          <w:snapToGrid w:val="0"/>
          <w:color w:val="000000" w:themeColor="text1"/>
          <w:spacing w:val="2"/>
          <w:kern w:val="0"/>
          <w:sz w:val="24"/>
          <w:highlight w:val="none"/>
          <w14:textFill>
            <w14:solidFill>
              <w14:schemeClr w14:val="tx1"/>
            </w14:solidFill>
          </w14:textFill>
        </w:rPr>
        <w:t>共查询平台)上查询公开信息的网页截图（仅项目经理</w:t>
      </w:r>
      <w:r>
        <w:rPr>
          <w:rFonts w:ascii="宋体" w:hAnsi="宋体" w:cs="宋体"/>
          <w:snapToGrid w:val="0"/>
          <w:color w:val="000000" w:themeColor="text1"/>
          <w:spacing w:val="1"/>
          <w:kern w:val="0"/>
          <w:sz w:val="24"/>
          <w:highlight w:val="none"/>
          <w14:textFill>
            <w14:solidFill>
              <w14:schemeClr w14:val="tx1"/>
            </w14:solidFill>
          </w14:textFill>
        </w:rPr>
        <w:t>（以及备选人，如有）</w:t>
      </w:r>
      <w:r>
        <w:rPr>
          <w:rFonts w:ascii="宋体" w:hAnsi="宋体" w:cs="宋体"/>
          <w:snapToGrid w:val="0"/>
          <w:color w:val="000000" w:themeColor="text1"/>
          <w:spacing w:val="1"/>
          <w:kern w:val="0"/>
          <w:sz w:val="24"/>
          <w:highlight w:val="none"/>
          <w:u w:val="single"/>
          <w14:textFill>
            <w14:solidFill>
              <w14:schemeClr w14:val="tx1"/>
            </w14:solidFill>
          </w14:textFill>
        </w:rPr>
        <w:t>、安全总</w:t>
      </w:r>
      <w:r>
        <w:rPr>
          <w:rFonts w:ascii="宋体" w:hAnsi="宋体" w:cs="宋体"/>
          <w:snapToGrid w:val="0"/>
          <w:color w:val="000000" w:themeColor="text1"/>
          <w:spacing w:val="-10"/>
          <w:kern w:val="0"/>
          <w:sz w:val="24"/>
          <w:highlight w:val="none"/>
          <w:u w:val="single"/>
          <w14:textFill>
            <w14:solidFill>
              <w14:schemeClr w14:val="tx1"/>
            </w14:solidFill>
          </w14:textFill>
        </w:rPr>
        <w:t>监（如有）</w:t>
      </w:r>
      <w:r>
        <w:rPr>
          <w:rFonts w:ascii="宋体" w:hAnsi="宋体" w:cs="宋体"/>
          <w:snapToGrid w:val="0"/>
          <w:color w:val="000000" w:themeColor="text1"/>
          <w:spacing w:val="-10"/>
          <w:kern w:val="0"/>
          <w:sz w:val="24"/>
          <w:highlight w:val="none"/>
          <w14:textFill>
            <w14:solidFill>
              <w14:schemeClr w14:val="tx1"/>
            </w14:solidFill>
          </w14:textFill>
        </w:rPr>
        <w:t>提供</w:t>
      </w:r>
      <w:r>
        <w:rPr>
          <w:rFonts w:ascii="宋体" w:hAnsi="宋体" w:cs="宋体"/>
          <w:snapToGrid w:val="0"/>
          <w:color w:val="000000" w:themeColor="text1"/>
          <w:spacing w:val="-39"/>
          <w:kern w:val="0"/>
          <w:sz w:val="24"/>
          <w:highlight w:val="none"/>
          <w14:textFill>
            <w14:solidFill>
              <w14:schemeClr w14:val="tx1"/>
            </w14:solidFill>
          </w14:textFill>
        </w:rPr>
        <w:t>）；</w:t>
      </w:r>
      <w:r>
        <w:rPr>
          <w:rFonts w:ascii="宋体" w:hAnsi="宋体" w:cs="宋体"/>
          <w:snapToGrid w:val="0"/>
          <w:color w:val="000000" w:themeColor="text1"/>
          <w:spacing w:val="-10"/>
          <w:kern w:val="0"/>
          <w:sz w:val="24"/>
          <w:highlight w:val="none"/>
          <w14:textFill>
            <w14:solidFill>
              <w14:schemeClr w14:val="tx1"/>
            </w14:solidFill>
          </w14:textFill>
        </w:rPr>
        <w:t>④投标人在社保系统打印的拟委任的项目经理（以及备选人，如有）、</w:t>
      </w:r>
      <w:r>
        <w:rPr>
          <w:rFonts w:ascii="宋体" w:hAnsi="宋体" w:cs="宋体"/>
          <w:snapToGrid w:val="0"/>
          <w:color w:val="000000" w:themeColor="text1"/>
          <w:spacing w:val="-2"/>
          <w:kern w:val="0"/>
          <w:sz w:val="24"/>
          <w:highlight w:val="none"/>
          <w14:textFill>
            <w14:solidFill>
              <w14:schemeClr w14:val="tx1"/>
            </w14:solidFill>
          </w14:textFill>
        </w:rPr>
        <w:t>项目总工（以及备选人，如有）</w:t>
      </w:r>
      <w:r>
        <w:rPr>
          <w:rFonts w:ascii="宋体" w:hAnsi="宋体" w:cs="宋体"/>
          <w:snapToGrid w:val="0"/>
          <w:color w:val="000000" w:themeColor="text1"/>
          <w:spacing w:val="-2"/>
          <w:kern w:val="0"/>
          <w:sz w:val="24"/>
          <w:highlight w:val="none"/>
          <w:u w:val="single"/>
          <w14:textFill>
            <w14:solidFill>
              <w14:schemeClr w14:val="tx1"/>
            </w14:solidFill>
          </w14:textFill>
        </w:rPr>
        <w:t>、安全总监（如有）、质量总监（如有）</w:t>
      </w:r>
      <w:r>
        <w:rPr>
          <w:rFonts w:ascii="宋体" w:hAnsi="宋体" w:cs="宋体"/>
          <w:snapToGrid w:val="0"/>
          <w:color w:val="000000" w:themeColor="text1"/>
          <w:spacing w:val="-2"/>
          <w:kern w:val="0"/>
          <w:sz w:val="24"/>
          <w:highlight w:val="none"/>
          <w14:textFill>
            <w14:solidFill>
              <w14:schemeClr w14:val="tx1"/>
            </w14:solidFill>
          </w14:textFill>
        </w:rPr>
        <w:t>参加社保的缴</w:t>
      </w:r>
      <w:r>
        <w:rPr>
          <w:rFonts w:ascii="宋体" w:hAnsi="宋体" w:cs="宋体"/>
          <w:snapToGrid w:val="0"/>
          <w:color w:val="000000" w:themeColor="text1"/>
          <w:spacing w:val="-1"/>
          <w:kern w:val="0"/>
          <w:sz w:val="24"/>
          <w:highlight w:val="none"/>
          <w14:textFill>
            <w14:solidFill>
              <w14:schemeClr w14:val="tx1"/>
            </w14:solidFill>
          </w14:textFill>
        </w:rPr>
        <w:t>费明细扫描件（社保时段为投标文件递交截止日前半年时间内连续不少于</w:t>
      </w:r>
      <w:r>
        <w:rPr>
          <w:rFonts w:ascii="宋体" w:hAnsi="宋体" w:cs="宋体"/>
          <w:snapToGrid w:val="0"/>
          <w:color w:val="000000" w:themeColor="text1"/>
          <w:spacing w:val="-2"/>
          <w:kern w:val="0"/>
          <w:sz w:val="24"/>
          <w:highlight w:val="none"/>
          <w14:textFill>
            <w14:solidFill>
              <w14:schemeClr w14:val="tx1"/>
            </w14:solidFill>
          </w14:textFill>
        </w:rPr>
        <w:t>三个月</w:t>
      </w:r>
      <w:r>
        <w:rPr>
          <w:rFonts w:ascii="宋体" w:hAnsi="宋体" w:cs="宋体"/>
          <w:snapToGrid w:val="0"/>
          <w:color w:val="000000" w:themeColor="text1"/>
          <w:spacing w:val="-9"/>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总公司参与投标的，提供的分公司人员的社保也视为有效</w:t>
      </w:r>
      <w:r>
        <w:rPr>
          <w:rFonts w:hint="eastAsia" w:ascii="宋体" w:hAnsi="宋体" w:cs="宋体"/>
          <w:snapToGrid w:val="0"/>
          <w:color w:val="000000" w:themeColor="text1"/>
          <w:spacing w:val="-2"/>
          <w:kern w:val="0"/>
          <w:sz w:val="24"/>
          <w:highlight w:val="none"/>
          <w14:textFill>
            <w14:solidFill>
              <w14:schemeClr w14:val="tx1"/>
            </w14:solidFill>
          </w14:textFill>
        </w:rPr>
        <w:t>。⑤交通运输部“全国公路建设市场监督管理系统 ”中载明的、能够证明项目经理（以及备选人，如有）和项目总工（以及备选人，如有）具有相关业绩的网页截图。在交通运输部“全国公路建设市场监督管理系统 ”中无法查询的，但可在省级交通运输主管部门“公路建设市场监督管理系统 ”中查询的，应附省级交通运输主管部门“公路建设市场监督管理系统 ”中查询到的网页截图。除网页截图外，投标人无需再提供任何业绩证明材料。如投标人未提供相关业绩网页截图或相关业绩网页截图中的信息无法证实投标人满足招标文件规定的资格审查条件(项目经理和项目总工等主要管理人员最低要求)，则该业绩不予认定。</w:t>
      </w:r>
    </w:p>
    <w:p w14:paraId="235DE53C">
      <w:pPr>
        <w:widowControl/>
        <w:autoSpaceDE w:val="0"/>
        <w:autoSpaceDN w:val="0"/>
        <w:adjustRightInd w:val="0"/>
        <w:snapToGrid w:val="0"/>
        <w:spacing w:line="36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建造师注册信息以②的证明材料为准，安全生产</w:t>
      </w:r>
      <w:r>
        <w:rPr>
          <w:rFonts w:ascii="宋体" w:hAnsi="宋体" w:cs="宋体"/>
          <w:snapToGrid w:val="0"/>
          <w:color w:val="000000" w:themeColor="text1"/>
          <w:spacing w:val="-1"/>
          <w:kern w:val="0"/>
          <w:sz w:val="24"/>
          <w:highlight w:val="none"/>
          <w14:textFill>
            <w14:solidFill>
              <w14:schemeClr w14:val="tx1"/>
            </w14:solidFill>
          </w14:textFill>
        </w:rPr>
        <w:t>考核信息以③的证明材料为准。</w:t>
      </w:r>
    </w:p>
    <w:p w14:paraId="332A8840">
      <w:pPr>
        <w:widowControl/>
        <w:autoSpaceDE w:val="0"/>
        <w:autoSpaceDN w:val="0"/>
        <w:adjustRightInd w:val="0"/>
        <w:snapToGrid w:val="0"/>
        <w:spacing w:line="360" w:lineRule="auto"/>
        <w:ind w:left="50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除上述资料外，投标人无需再提供任何证明</w:t>
      </w:r>
      <w:r>
        <w:rPr>
          <w:rFonts w:ascii="宋体" w:hAnsi="宋体" w:cs="宋体"/>
          <w:snapToGrid w:val="0"/>
          <w:color w:val="000000" w:themeColor="text1"/>
          <w:spacing w:val="-2"/>
          <w:kern w:val="0"/>
          <w:sz w:val="24"/>
          <w:highlight w:val="none"/>
          <w14:textFill>
            <w14:solidFill>
              <w14:schemeClr w14:val="tx1"/>
            </w14:solidFill>
          </w14:textFill>
        </w:rPr>
        <w:t>材料。</w:t>
      </w:r>
    </w:p>
    <w:p w14:paraId="2BD37814">
      <w:pPr>
        <w:widowControl/>
        <w:autoSpaceDE w:val="0"/>
        <w:autoSpaceDN w:val="0"/>
        <w:adjustRightInd w:val="0"/>
        <w:snapToGrid w:val="0"/>
        <w:spacing w:line="360" w:lineRule="auto"/>
        <w:ind w:left="12" w:right="163"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如项目经理（以及备选人，如有）和项目总工（以及备选人，如有）目前仍在其他</w:t>
      </w:r>
      <w:r>
        <w:rPr>
          <w:rFonts w:ascii="宋体" w:hAnsi="宋体" w:cs="宋体"/>
          <w:snapToGrid w:val="0"/>
          <w:color w:val="000000" w:themeColor="text1"/>
          <w:spacing w:val="-1"/>
          <w:kern w:val="0"/>
          <w:sz w:val="24"/>
          <w:highlight w:val="none"/>
          <w14:textFill>
            <w14:solidFill>
              <w14:schemeClr w14:val="tx1"/>
            </w14:solidFill>
          </w14:textFill>
        </w:rPr>
        <w:t>项目上任职，则投标人应按投标函的格式承诺上述人员能够从该项目撤离。</w:t>
      </w:r>
    </w:p>
    <w:p w14:paraId="0592AA8D">
      <w:pPr>
        <w:widowControl/>
        <w:autoSpaceDE w:val="0"/>
        <w:autoSpaceDN w:val="0"/>
        <w:adjustRightInd w:val="0"/>
        <w:snapToGrid w:val="0"/>
        <w:spacing w:line="360" w:lineRule="auto"/>
        <w:ind w:left="7" w:right="162"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3.5.5（c）“拟委任的项目经理和项目总工等主要管理人员资历表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”应同时附项</w:t>
      </w:r>
      <w:r>
        <w:rPr>
          <w:rFonts w:ascii="宋体" w:hAnsi="宋体" w:cs="宋体"/>
          <w:snapToGrid w:val="0"/>
          <w:color w:val="000000" w:themeColor="text1"/>
          <w:spacing w:val="-2"/>
          <w:kern w:val="0"/>
          <w:sz w:val="24"/>
          <w:highlight w:val="none"/>
          <w14:textFill>
            <w14:solidFill>
              <w14:schemeClr w14:val="tx1"/>
            </w14:solidFill>
          </w14:textFill>
        </w:rPr>
        <w:t>目经理（以及备选人，如有）、项目总工（以及备选人，如有）</w:t>
      </w:r>
      <w:r>
        <w:rPr>
          <w:rFonts w:ascii="宋体" w:hAnsi="宋体" w:cs="宋体"/>
          <w:snapToGrid w:val="0"/>
          <w:color w:val="000000" w:themeColor="text1"/>
          <w:spacing w:val="-2"/>
          <w:kern w:val="0"/>
          <w:sz w:val="24"/>
          <w:highlight w:val="none"/>
          <w:u w:val="single"/>
          <w14:textFill>
            <w14:solidFill>
              <w14:schemeClr w14:val="tx1"/>
            </w14:solidFill>
          </w14:textFill>
        </w:rPr>
        <w:t>、安全总监（如有）、质量总监（如有）的</w:t>
      </w:r>
      <w:r>
        <w:rPr>
          <w:rFonts w:ascii="宋体" w:hAnsi="宋体" w:cs="宋体"/>
          <w:snapToGrid w:val="0"/>
          <w:color w:val="000000" w:themeColor="text1"/>
          <w:spacing w:val="-2"/>
          <w:kern w:val="0"/>
          <w:sz w:val="24"/>
          <w:highlight w:val="none"/>
          <w14:textFill>
            <w14:solidFill>
              <w14:schemeClr w14:val="tx1"/>
            </w14:solidFill>
          </w14:textFill>
        </w:rPr>
        <w:t>身份证、职称资格证书、资格审查条件所要求的其他相关证书、类似工程经验的相关证明材料的扫描件，以及投标人在社保系统打印的拟委任的项目经理（以及备选人，如有）、项目总工（以及备选人，如有）</w:t>
      </w:r>
      <w:r>
        <w:rPr>
          <w:rFonts w:ascii="宋体" w:hAnsi="宋体" w:cs="宋体"/>
          <w:snapToGrid w:val="0"/>
          <w:color w:val="000000" w:themeColor="text1"/>
          <w:spacing w:val="-2"/>
          <w:kern w:val="0"/>
          <w:sz w:val="24"/>
          <w:highlight w:val="none"/>
          <w:u w:val="single"/>
          <w14:textFill>
            <w14:solidFill>
              <w14:schemeClr w14:val="tx1"/>
            </w14:solidFill>
          </w14:textFill>
        </w:rPr>
        <w:t>、安全总监（如有）、质量总监（如有）</w:t>
      </w:r>
      <w:r>
        <w:rPr>
          <w:rFonts w:ascii="宋体" w:hAnsi="宋体" w:cs="宋体"/>
          <w:snapToGrid w:val="0"/>
          <w:color w:val="000000" w:themeColor="text1"/>
          <w:spacing w:val="-2"/>
          <w:kern w:val="0"/>
          <w:sz w:val="24"/>
          <w:highlight w:val="none"/>
          <w14:textFill>
            <w14:solidFill>
              <w14:schemeClr w14:val="tx1"/>
            </w14:solidFill>
          </w14:textFill>
        </w:rPr>
        <w:t>参加社保的缴费明细扫描件（社保时段为投标文件递交截止日前半年时间内</w:t>
      </w:r>
      <w:r>
        <w:rPr>
          <w:rFonts w:ascii="宋体" w:hAnsi="宋体" w:cs="宋体"/>
          <w:snapToGrid w:val="0"/>
          <w:color w:val="000000" w:themeColor="text1"/>
          <w:spacing w:val="-1"/>
          <w:kern w:val="0"/>
          <w:sz w:val="24"/>
          <w:highlight w:val="none"/>
          <w14:textFill>
            <w14:solidFill>
              <w14:schemeClr w14:val="tx1"/>
            </w14:solidFill>
          </w14:textFill>
        </w:rPr>
        <w:t>连续不少于三个月</w:t>
      </w:r>
      <w:r>
        <w:rPr>
          <w:rFonts w:ascii="宋体" w:hAnsi="宋体" w:cs="宋体"/>
          <w:snapToGrid w:val="0"/>
          <w:color w:val="000000" w:themeColor="text1"/>
          <w:spacing w:val="12"/>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总公司参与投标的，提供的分公司人员的社保也视为有效。</w:t>
      </w:r>
    </w:p>
    <w:p w14:paraId="41612E5E">
      <w:pPr>
        <w:widowControl/>
        <w:autoSpaceDE w:val="0"/>
        <w:autoSpaceDN w:val="0"/>
        <w:adjustRightInd w:val="0"/>
        <w:snapToGrid w:val="0"/>
        <w:spacing w:line="360" w:lineRule="auto"/>
        <w:ind w:left="9" w:right="162"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3.5.6 “拟委任的其他管理和技术人员汇</w:t>
      </w:r>
      <w:r>
        <w:rPr>
          <w:rFonts w:ascii="宋体" w:hAnsi="宋体" w:cs="宋体"/>
          <w:snapToGrid w:val="0"/>
          <w:color w:val="000000" w:themeColor="text1"/>
          <w:spacing w:val="-3"/>
          <w:kern w:val="0"/>
          <w:sz w:val="24"/>
          <w:highlight w:val="none"/>
          <w14:textFill>
            <w14:solidFill>
              <w14:schemeClr w14:val="tx1"/>
            </w14:solidFill>
          </w14:textFill>
        </w:rPr>
        <w:t>总表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”（如有）应填报满足投标人须知前附表附录</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6</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规定的其他人员的相关信息。“拟委任的其他管理和技术人员资历表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”（如</w:t>
      </w:r>
      <w:r>
        <w:rPr>
          <w:rFonts w:ascii="宋体" w:hAnsi="宋体" w:cs="宋体"/>
          <w:snapToGrid w:val="0"/>
          <w:color w:val="000000" w:themeColor="text1"/>
          <w:spacing w:val="-2"/>
          <w:kern w:val="0"/>
          <w:sz w:val="24"/>
          <w:highlight w:val="none"/>
          <w14:textFill>
            <w14:solidFill>
              <w14:schemeClr w14:val="tx1"/>
            </w14:solidFill>
          </w14:textFill>
        </w:rPr>
        <w:t>有）中相关人员应附身份证、职称资格证书以及资格审查条件所要求的其他相关证书的扫描件，相关业绩证明材料扫描件，以及投标人在社保系统打印的拟委任的其他管理和技术人员参加社保的缴费明细扫描件（社保时段为投标文件递交截止日前半年时间内连</w:t>
      </w:r>
      <w:r>
        <w:rPr>
          <w:rFonts w:ascii="宋体" w:hAnsi="宋体" w:cs="宋体"/>
          <w:snapToGrid w:val="0"/>
          <w:color w:val="000000" w:themeColor="text1"/>
          <w:spacing w:val="-1"/>
          <w:kern w:val="0"/>
          <w:sz w:val="24"/>
          <w:highlight w:val="none"/>
          <w14:textFill>
            <w14:solidFill>
              <w14:schemeClr w14:val="tx1"/>
            </w14:solidFill>
          </w14:textFill>
        </w:rPr>
        <w:t>续不少于三个月</w:t>
      </w:r>
      <w:r>
        <w:rPr>
          <w:rFonts w:ascii="宋体" w:hAnsi="宋体" w:cs="宋体"/>
          <w:snapToGrid w:val="0"/>
          <w:color w:val="000000" w:themeColor="text1"/>
          <w:spacing w:val="10"/>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总公司参与投标的，提供的分公司人员的社保也视为有效。</w:t>
      </w:r>
    </w:p>
    <w:p w14:paraId="484B7265">
      <w:pPr>
        <w:widowControl/>
        <w:autoSpaceDE w:val="0"/>
        <w:autoSpaceDN w:val="0"/>
        <w:adjustRightInd w:val="0"/>
        <w:snapToGrid w:val="0"/>
        <w:spacing w:line="360" w:lineRule="auto"/>
        <w:ind w:left="28" w:right="163" w:firstLine="46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3.5.7 “拟投入本标段的主要设备表</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”（如有）应填报满足本章前附表附</w:t>
      </w:r>
      <w:r>
        <w:rPr>
          <w:rFonts w:ascii="宋体" w:hAnsi="宋体" w:cs="宋体"/>
          <w:snapToGrid w:val="0"/>
          <w:color w:val="000000" w:themeColor="text1"/>
          <w:spacing w:val="-4"/>
          <w:kern w:val="0"/>
          <w:sz w:val="24"/>
          <w:highlight w:val="none"/>
          <w14:textFill>
            <w14:solidFill>
              <w14:schemeClr w14:val="tx1"/>
            </w14:solidFill>
          </w14:textFill>
        </w:rPr>
        <w:t>录</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7</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规定</w:t>
      </w:r>
      <w:r>
        <w:rPr>
          <w:rFonts w:ascii="宋体" w:hAnsi="宋体" w:cs="宋体"/>
          <w:snapToGrid w:val="0"/>
          <w:color w:val="000000" w:themeColor="text1"/>
          <w:spacing w:val="-5"/>
          <w:kern w:val="0"/>
          <w:sz w:val="24"/>
          <w:highlight w:val="none"/>
          <w14:textFill>
            <w14:solidFill>
              <w14:schemeClr w14:val="tx1"/>
            </w14:solidFill>
          </w14:textFill>
        </w:rPr>
        <w:t>的主要设备。</w:t>
      </w:r>
    </w:p>
    <w:p w14:paraId="372494A0">
      <w:pPr>
        <w:widowControl/>
        <w:autoSpaceDE w:val="0"/>
        <w:autoSpaceDN w:val="0"/>
        <w:adjustRightInd w:val="0"/>
        <w:snapToGrid w:val="0"/>
        <w:spacing w:line="360" w:lineRule="auto"/>
        <w:ind w:left="14" w:right="163" w:firstLine="479"/>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3.5.8 投标人须知前附表规定接受联合体投标的，本章第</w:t>
      </w:r>
      <w:r>
        <w:rPr>
          <w:rFonts w:ascii="宋体" w:hAnsi="宋体" w:cs="宋体"/>
          <w:snapToGrid w:val="0"/>
          <w:color w:val="000000" w:themeColor="text1"/>
          <w:spacing w:val="-3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3.5.1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项至第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3.5.7</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项规</w:t>
      </w:r>
      <w:bookmarkStart w:id="50" w:name="bookmark171"/>
      <w:bookmarkEnd w:id="50"/>
      <w:r>
        <w:rPr>
          <w:rFonts w:ascii="宋体" w:hAnsi="宋体" w:cs="宋体"/>
          <w:snapToGrid w:val="0"/>
          <w:color w:val="000000" w:themeColor="text1"/>
          <w:spacing w:val="-1"/>
          <w:kern w:val="0"/>
          <w:sz w:val="24"/>
          <w:highlight w:val="none"/>
          <w14:textFill>
            <w14:solidFill>
              <w14:schemeClr w14:val="tx1"/>
            </w14:solidFill>
          </w14:textFill>
        </w:rPr>
        <w:t>定的表格和资料应包括联合体各方相关情况。</w:t>
      </w:r>
    </w:p>
    <w:p w14:paraId="04AE3FC0">
      <w:pPr>
        <w:widowControl/>
        <w:autoSpaceDE w:val="0"/>
        <w:autoSpaceDN w:val="0"/>
        <w:adjustRightInd w:val="0"/>
        <w:snapToGrid w:val="0"/>
        <w:spacing w:line="360" w:lineRule="auto"/>
        <w:ind w:left="14" w:right="61" w:firstLine="478"/>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3.5.9 除合同条款约定的特殊情形外，投标人在投标文件中填报的项目经理和项目总工不允许更换。</w:t>
      </w:r>
    </w:p>
    <w:p w14:paraId="3105C2EC">
      <w:pPr>
        <w:widowControl/>
        <w:autoSpaceDE w:val="0"/>
        <w:autoSpaceDN w:val="0"/>
        <w:adjustRightInd w:val="0"/>
        <w:snapToGrid w:val="0"/>
        <w:spacing w:line="360" w:lineRule="auto"/>
        <w:ind w:left="14" w:right="61" w:firstLine="478"/>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3.5.10 投标人在投标文件中填报的资质、业绩、主要人员资历和目前在岗情况、</w:t>
      </w:r>
      <w:r>
        <w:rPr>
          <w:rFonts w:ascii="宋体" w:hAnsi="宋体" w:cs="宋体"/>
          <w:snapToGrid w:val="0"/>
          <w:color w:val="000000" w:themeColor="text1"/>
          <w:spacing w:val="-2"/>
          <w:kern w:val="0"/>
          <w:sz w:val="24"/>
          <w:highlight w:val="none"/>
          <w14:textFill>
            <w14:solidFill>
              <w14:schemeClr w14:val="tx1"/>
            </w14:solidFill>
          </w14:textFill>
        </w:rPr>
        <w:t>信用等级等信息，应与其在交通运输主管部门“公路</w:t>
      </w:r>
      <w:r>
        <w:rPr>
          <w:rFonts w:ascii="宋体" w:hAnsi="宋体" w:cs="宋体"/>
          <w:snapToGrid w:val="0"/>
          <w:color w:val="000000" w:themeColor="text1"/>
          <w:spacing w:val="-3"/>
          <w:kern w:val="0"/>
          <w:sz w:val="24"/>
          <w:highlight w:val="none"/>
          <w14:textFill>
            <w14:solidFill>
              <w14:schemeClr w14:val="tx1"/>
            </w14:solidFill>
          </w14:textFill>
        </w:rPr>
        <w:t>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”上填报并</w:t>
      </w:r>
      <w:r>
        <w:rPr>
          <w:rFonts w:ascii="宋体" w:hAnsi="宋体" w:cs="宋体"/>
          <w:snapToGrid w:val="0"/>
          <w:color w:val="000000" w:themeColor="text1"/>
          <w:spacing w:val="-2"/>
          <w:kern w:val="0"/>
          <w:sz w:val="24"/>
          <w:highlight w:val="none"/>
          <w14:textFill>
            <w14:solidFill>
              <w14:schemeClr w14:val="tx1"/>
            </w14:solidFill>
          </w14:textFill>
        </w:rPr>
        <w:t>发布的相关信息一致。投标人应根据本单位实际情况及时完</w:t>
      </w:r>
      <w:r>
        <w:rPr>
          <w:rFonts w:ascii="宋体" w:hAnsi="宋体" w:cs="宋体"/>
          <w:snapToGrid w:val="0"/>
          <w:color w:val="000000" w:themeColor="text1"/>
          <w:spacing w:val="-3"/>
          <w:kern w:val="0"/>
          <w:sz w:val="24"/>
          <w:highlight w:val="none"/>
          <w14:textFill>
            <w14:solidFill>
              <w14:schemeClr w14:val="tx1"/>
            </w14:solidFill>
          </w14:textFill>
        </w:rPr>
        <w:t>成相关信息的申报、录入和动态更新，并对相关信息的真实性、完整性和准确性负责。</w:t>
      </w:r>
      <w:r>
        <w:rPr>
          <w:rFonts w:hint="eastAsia" w:ascii="宋体" w:hAnsi="宋体" w:cs="宋体"/>
          <w:snapToGrid w:val="0"/>
          <w:color w:val="000000" w:themeColor="text1"/>
          <w:spacing w:val="-3"/>
          <w:kern w:val="0"/>
          <w:sz w:val="24"/>
          <w:highlight w:val="none"/>
          <w14:textFill>
            <w14:solidFill>
              <w14:schemeClr w14:val="tx1"/>
            </w14:solidFill>
          </w14:textFill>
        </w:rPr>
        <w:t>（注：本项仅适用于采用交通运输主管部门“公路建设市场监督管理系统 ”截图作为证明材料的情形。）</w:t>
      </w:r>
    </w:p>
    <w:p w14:paraId="2FEAC42F">
      <w:pPr>
        <w:widowControl/>
        <w:autoSpaceDE w:val="0"/>
        <w:autoSpaceDN w:val="0"/>
        <w:adjustRightInd w:val="0"/>
        <w:snapToGrid w:val="0"/>
        <w:spacing w:line="360" w:lineRule="auto"/>
        <w:ind w:left="7" w:right="61"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3.5.11 招标人有权核查投标人在资格预审申请文件和投标文件中提供的资料，若</w:t>
      </w:r>
      <w:r>
        <w:rPr>
          <w:rFonts w:ascii="宋体" w:hAnsi="宋体" w:cs="宋体"/>
          <w:snapToGrid w:val="0"/>
          <w:color w:val="000000" w:themeColor="text1"/>
          <w:spacing w:val="-2"/>
          <w:kern w:val="0"/>
          <w:sz w:val="24"/>
          <w:highlight w:val="none"/>
          <w14:textFill>
            <w14:solidFill>
              <w14:schemeClr w14:val="tx1"/>
            </w14:solidFill>
          </w14:textFill>
        </w:rPr>
        <w:t>在评标期间发现投标人提供了虚假资料，其投标将被否决；若在签订合同前发现作为中标候选人的投标人提供了虚假资料，招标人有权取消其中标资格；若在合同实施期间发</w:t>
      </w:r>
      <w:r>
        <w:rPr>
          <w:rFonts w:ascii="宋体" w:hAnsi="宋体" w:cs="宋体"/>
          <w:snapToGrid w:val="0"/>
          <w:color w:val="000000" w:themeColor="text1"/>
          <w:spacing w:val="-4"/>
          <w:kern w:val="0"/>
          <w:sz w:val="24"/>
          <w:highlight w:val="none"/>
          <w14:textFill>
            <w14:solidFill>
              <w14:schemeClr w14:val="tx1"/>
            </w14:solidFill>
          </w14:textFill>
        </w:rPr>
        <w:t>现投标人提供了虚假资料，招标人有权从工程支付款或履约保证金中扣除不超过</w:t>
      </w:r>
      <w:r>
        <w:rPr>
          <w:rFonts w:ascii="宋体" w:hAnsi="宋体" w:cs="宋体"/>
          <w:snapToGrid w:val="0"/>
          <w:color w:val="000000" w:themeColor="text1"/>
          <w:spacing w:val="-22"/>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10％签</w:t>
      </w:r>
      <w:r>
        <w:rPr>
          <w:rFonts w:ascii="宋体" w:hAnsi="宋体" w:cs="宋体"/>
          <w:snapToGrid w:val="0"/>
          <w:color w:val="000000" w:themeColor="text1"/>
          <w:spacing w:val="-2"/>
          <w:kern w:val="0"/>
          <w:sz w:val="24"/>
          <w:highlight w:val="none"/>
          <w14:textFill>
            <w14:solidFill>
              <w14:schemeClr w14:val="tx1"/>
            </w14:solidFill>
          </w14:textFill>
        </w:rPr>
        <w:t>约合同价的金额作为违约金。同时招标人将投标人上述弄虚作假行为上报省级交通运输</w:t>
      </w:r>
      <w:r>
        <w:rPr>
          <w:rFonts w:ascii="宋体" w:hAnsi="宋体" w:cs="宋体"/>
          <w:snapToGrid w:val="0"/>
          <w:color w:val="000000" w:themeColor="text1"/>
          <w:spacing w:val="-1"/>
          <w:kern w:val="0"/>
          <w:sz w:val="24"/>
          <w:highlight w:val="none"/>
          <w14:textFill>
            <w14:solidFill>
              <w14:schemeClr w14:val="tx1"/>
            </w14:solidFill>
          </w14:textFill>
        </w:rPr>
        <w:t>主管部门，作为不良记录纳入公路建设市场监督管理系统。</w:t>
      </w:r>
    </w:p>
    <w:p w14:paraId="31DB8AF8">
      <w:pPr>
        <w:pStyle w:val="6"/>
        <w:spacing w:before="218" w:after="156"/>
        <w:rPr>
          <w:color w:val="000000" w:themeColor="text1"/>
          <w:highlight w:val="none"/>
          <w14:textFill>
            <w14:solidFill>
              <w14:schemeClr w14:val="tx1"/>
            </w14:solidFill>
          </w14:textFill>
        </w:rPr>
      </w:pPr>
      <w:bookmarkStart w:id="51" w:name="_Toc26314"/>
      <w:r>
        <w:rPr>
          <w:color w:val="000000" w:themeColor="text1"/>
          <w:highlight w:val="none"/>
          <w14:textFill>
            <w14:solidFill>
              <w14:schemeClr w14:val="tx1"/>
            </w14:solidFill>
          </w14:textFill>
        </w:rPr>
        <w:t>3.6 备选投标方案</w:t>
      </w:r>
      <w:bookmarkEnd w:id="51"/>
    </w:p>
    <w:p w14:paraId="690614F8">
      <w:pPr>
        <w:widowControl/>
        <w:kinsoku w:val="0"/>
        <w:autoSpaceDE w:val="0"/>
        <w:autoSpaceDN w:val="0"/>
        <w:adjustRightInd w:val="0"/>
        <w:snapToGrid w:val="0"/>
        <w:spacing w:line="360" w:lineRule="auto"/>
        <w:ind w:left="9"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3.6.1 除投标人须知前附表规定允许外，投标人不得递交备选投标方案，否则其投标将被否决。</w:t>
      </w:r>
    </w:p>
    <w:p w14:paraId="1DF923F3">
      <w:pPr>
        <w:widowControl/>
        <w:kinsoku w:val="0"/>
        <w:autoSpaceDE w:val="0"/>
        <w:autoSpaceDN w:val="0"/>
        <w:adjustRightInd w:val="0"/>
        <w:snapToGrid w:val="0"/>
        <w:spacing w:line="360" w:lineRule="auto"/>
        <w:ind w:left="10"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3.6.2 允许投标人递交备选投标方案的，只有中标人所递交的备选投标方案方可予以考虑。评标委员会认为中标人的备选投标方案优于其按照招标文件要求编制的投标方</w:t>
      </w:r>
      <w:r>
        <w:rPr>
          <w:rFonts w:ascii="宋体" w:hAnsi="宋体" w:cs="宋体"/>
          <w:snapToGrid w:val="0"/>
          <w:color w:val="000000" w:themeColor="text1"/>
          <w:spacing w:val="-1"/>
          <w:kern w:val="0"/>
          <w:sz w:val="24"/>
          <w:highlight w:val="none"/>
          <w14:textFill>
            <w14:solidFill>
              <w14:schemeClr w14:val="tx1"/>
            </w14:solidFill>
          </w14:textFill>
        </w:rPr>
        <w:t>案的，招标人可以接受该备选投标方案。</w:t>
      </w:r>
    </w:p>
    <w:p w14:paraId="733EA163">
      <w:pPr>
        <w:widowControl/>
        <w:kinsoku w:val="0"/>
        <w:autoSpaceDE w:val="0"/>
        <w:autoSpaceDN w:val="0"/>
        <w:adjustRightInd w:val="0"/>
        <w:snapToGrid w:val="0"/>
        <w:spacing w:line="360" w:lineRule="auto"/>
        <w:ind w:left="19" w:firstLine="47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3.6.3 投标人提供两个或两个以上投标报价，或在投标文件中提供一个报价，但同</w:t>
      </w:r>
      <w:r>
        <w:rPr>
          <w:rFonts w:ascii="宋体" w:hAnsi="宋体" w:cs="宋体"/>
          <w:snapToGrid w:val="0"/>
          <w:color w:val="000000" w:themeColor="text1"/>
          <w:spacing w:val="-1"/>
          <w:kern w:val="0"/>
          <w:sz w:val="24"/>
          <w:highlight w:val="none"/>
          <w14:textFill>
            <w14:solidFill>
              <w14:schemeClr w14:val="tx1"/>
            </w14:solidFill>
          </w14:textFill>
        </w:rPr>
        <w:t>时提供两个或两个以上施工组织设计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的，视为提供备选方案。</w:t>
      </w:r>
    </w:p>
    <w:p w14:paraId="780A0B0D">
      <w:pPr>
        <w:pStyle w:val="6"/>
        <w:spacing w:before="218" w:after="156"/>
        <w:rPr>
          <w:color w:val="000000" w:themeColor="text1"/>
          <w:highlight w:val="none"/>
          <w14:textFill>
            <w14:solidFill>
              <w14:schemeClr w14:val="tx1"/>
            </w14:solidFill>
          </w14:textFill>
        </w:rPr>
      </w:pPr>
      <w:bookmarkStart w:id="52" w:name="_Toc12400"/>
      <w:r>
        <w:rPr>
          <w:color w:val="000000" w:themeColor="text1"/>
          <w:highlight w:val="none"/>
          <w14:textFill>
            <w14:solidFill>
              <w14:schemeClr w14:val="tx1"/>
            </w14:solidFill>
          </w14:textFill>
        </w:rPr>
        <w:t>3.7 投标文件的编制</w:t>
      </w:r>
      <w:bookmarkEnd w:id="52"/>
    </w:p>
    <w:p w14:paraId="0E2CF3EC">
      <w:pPr>
        <w:widowControl/>
        <w:autoSpaceDE w:val="0"/>
        <w:autoSpaceDN w:val="0"/>
        <w:adjustRightInd w:val="0"/>
        <w:snapToGrid w:val="0"/>
        <w:spacing w:line="360" w:lineRule="auto"/>
        <w:ind w:left="9"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7"/>
          <w:kern w:val="0"/>
          <w:sz w:val="24"/>
          <w:highlight w:val="none"/>
          <w14:textFill>
            <w14:solidFill>
              <w14:schemeClr w14:val="tx1"/>
            </w14:solidFill>
          </w14:textFill>
        </w:rPr>
        <w:t>3.7.1 投标文件应按第九章“投标文件格式</w:t>
      </w:r>
      <w:r>
        <w:rPr>
          <w:rFonts w:ascii="宋体" w:hAnsi="宋体" w:cs="宋体"/>
          <w:snapToGrid w:val="0"/>
          <w:color w:val="000000" w:themeColor="text1"/>
          <w:spacing w:val="-82"/>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”进行编写，如有必要，可以增加附页，</w:t>
      </w:r>
      <w:r>
        <w:rPr>
          <w:rFonts w:ascii="宋体" w:hAnsi="宋体" w:cs="宋体"/>
          <w:snapToGrid w:val="0"/>
          <w:color w:val="000000" w:themeColor="text1"/>
          <w:spacing w:val="-2"/>
          <w:kern w:val="0"/>
          <w:sz w:val="24"/>
          <w:highlight w:val="none"/>
          <w14:textFill>
            <w14:solidFill>
              <w14:schemeClr w14:val="tx1"/>
            </w14:solidFill>
          </w14:textFill>
        </w:rPr>
        <w:t>作为投标文件的组成部分。其中，投标函附录在满足招标文件实质性要求的基础上，可</w:t>
      </w:r>
      <w:r>
        <w:rPr>
          <w:rFonts w:ascii="宋体" w:hAnsi="宋体" w:cs="宋体"/>
          <w:snapToGrid w:val="0"/>
          <w:color w:val="000000" w:themeColor="text1"/>
          <w:spacing w:val="-1"/>
          <w:kern w:val="0"/>
          <w:sz w:val="24"/>
          <w:highlight w:val="none"/>
          <w14:textFill>
            <w14:solidFill>
              <w14:schemeClr w14:val="tx1"/>
            </w14:solidFill>
          </w14:textFill>
        </w:rPr>
        <w:t>以提出比招标文件要求更有利于招标人的承诺。</w:t>
      </w:r>
    </w:p>
    <w:p w14:paraId="4266D6F8">
      <w:pPr>
        <w:widowControl/>
        <w:autoSpaceDE w:val="0"/>
        <w:autoSpaceDN w:val="0"/>
        <w:adjustRightInd w:val="0"/>
        <w:snapToGrid w:val="0"/>
        <w:spacing w:line="360" w:lineRule="auto"/>
        <w:ind w:left="11" w:right="61" w:firstLine="48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3.7.2 投标文件应对招标文件有关工期、投标有效期、质量要求、安全目标等实质性内容作出响应。</w:t>
      </w:r>
    </w:p>
    <w:p w14:paraId="70BC1AD0">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3.7.3 投标文件的制作应满足以下规定：</w:t>
      </w:r>
    </w:p>
    <w:p w14:paraId="3BBDEA77">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bookmarkStart w:id="53" w:name="bookmark172"/>
      <w:bookmarkEnd w:id="53"/>
      <w:r>
        <w:rPr>
          <w:rFonts w:ascii="宋体" w:hAnsi="宋体" w:cs="宋体"/>
          <w:snapToGrid w:val="0"/>
          <w:color w:val="000000" w:themeColor="text1"/>
          <w:spacing w:val="-2"/>
          <w:kern w:val="0"/>
          <w:sz w:val="24"/>
          <w:highlight w:val="none"/>
          <w14:textFill>
            <w14:solidFill>
              <w14:schemeClr w14:val="tx1"/>
            </w14:solidFill>
          </w14:textFill>
        </w:rPr>
        <w:t>(1)投标文件由投标人使用“</w:t>
      </w:r>
      <w:r>
        <w:rPr>
          <w:rFonts w:ascii="宋体" w:hAnsi="宋体" w:cs="宋体"/>
          <w:snapToGrid w:val="0"/>
          <w:color w:val="000000" w:themeColor="text1"/>
          <w:spacing w:val="-8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电子交易平台</w:t>
      </w:r>
      <w:r>
        <w:rPr>
          <w:rFonts w:ascii="宋体" w:hAnsi="宋体" w:cs="宋体"/>
          <w:snapToGrid w:val="0"/>
          <w:color w:val="000000" w:themeColor="text1"/>
          <w:spacing w:val="-8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自带的“投标文件制作工具</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”制作生</w:t>
      </w:r>
      <w:r>
        <w:rPr>
          <w:rFonts w:ascii="宋体" w:hAnsi="宋体" w:cs="宋体"/>
          <w:snapToGrid w:val="0"/>
          <w:color w:val="000000" w:themeColor="text1"/>
          <w:spacing w:val="-6"/>
          <w:kern w:val="0"/>
          <w:sz w:val="24"/>
          <w:highlight w:val="none"/>
          <w14:textFill>
            <w14:solidFill>
              <w14:schemeClr w14:val="tx1"/>
            </w14:solidFill>
          </w14:textFill>
        </w:rPr>
        <w:t>成。</w:t>
      </w:r>
    </w:p>
    <w:p w14:paraId="1422299C">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(2)投标人在编制投标文件时应建立分级</w:t>
      </w:r>
      <w:r>
        <w:rPr>
          <w:rFonts w:ascii="宋体" w:hAnsi="宋体" w:cs="宋体"/>
          <w:snapToGrid w:val="0"/>
          <w:color w:val="000000" w:themeColor="text1"/>
          <w:spacing w:val="-2"/>
          <w:kern w:val="0"/>
          <w:sz w:val="24"/>
          <w:highlight w:val="none"/>
          <w14:textFill>
            <w14:solidFill>
              <w14:schemeClr w14:val="tx1"/>
            </w14:solidFill>
          </w14:textFill>
        </w:rPr>
        <w:t>目录，并按照标签提示导入相关内容。</w:t>
      </w:r>
    </w:p>
    <w:p w14:paraId="5E160CEE">
      <w:pPr>
        <w:widowControl/>
        <w:autoSpaceDE w:val="0"/>
        <w:autoSpaceDN w:val="0"/>
        <w:adjustRightInd w:val="0"/>
        <w:snapToGrid w:val="0"/>
        <w:spacing w:line="360" w:lineRule="auto"/>
        <w:ind w:left="7" w:right="163" w:firstLine="52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(3)投标文件中的已标价工程量清单数据</w:t>
      </w:r>
      <w:r>
        <w:rPr>
          <w:rFonts w:ascii="宋体" w:hAnsi="宋体" w:cs="宋体"/>
          <w:snapToGrid w:val="0"/>
          <w:color w:val="000000" w:themeColor="text1"/>
          <w:kern w:val="0"/>
          <w:sz w:val="24"/>
          <w:highlight w:val="none"/>
          <w14:textFill>
            <w14:solidFill>
              <w14:schemeClr w14:val="tx1"/>
            </w14:solidFill>
          </w14:textFill>
        </w:rPr>
        <w:t>文件应与招标人提供的工程量清单数据文</w:t>
      </w:r>
      <w:r>
        <w:rPr>
          <w:rFonts w:ascii="宋体" w:hAnsi="宋体" w:cs="宋体"/>
          <w:snapToGrid w:val="0"/>
          <w:color w:val="000000" w:themeColor="text1"/>
          <w:spacing w:val="-2"/>
          <w:kern w:val="0"/>
          <w:sz w:val="24"/>
          <w:highlight w:val="none"/>
          <w14:textFill>
            <w14:solidFill>
              <w14:schemeClr w14:val="tx1"/>
            </w14:solidFill>
          </w14:textFill>
        </w:rPr>
        <w:t>件格式一致。</w:t>
      </w:r>
    </w:p>
    <w:p w14:paraId="22A3881C">
      <w:pPr>
        <w:widowControl/>
        <w:autoSpaceDE w:val="0"/>
        <w:autoSpaceDN w:val="0"/>
        <w:adjustRightInd w:val="0"/>
        <w:snapToGrid w:val="0"/>
        <w:spacing w:line="360" w:lineRule="auto"/>
        <w:ind w:left="7" w:right="82" w:firstLine="52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(4)投标文件中需签名（签字）</w:t>
      </w:r>
      <w:r>
        <w:rPr>
          <w:rFonts w:hint="eastAsia" w:ascii="宋体" w:hAnsi="宋体" w:cs="宋体"/>
          <w:snapToGrid w:val="0"/>
          <w:color w:val="000000" w:themeColor="text1"/>
          <w:spacing w:val="-4"/>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4"/>
          <w:kern w:val="0"/>
          <w:sz w:val="24"/>
          <w:highlight w:val="none"/>
          <w14:textFill>
            <w14:solidFill>
              <w14:schemeClr w14:val="tx1"/>
            </w14:solidFill>
          </w14:textFill>
        </w:rPr>
        <w:t>的，投标人应按要求使用个人电子签名章进行签名</w:t>
      </w:r>
      <w:r>
        <w:rPr>
          <w:rFonts w:hint="eastAsia" w:ascii="宋体" w:hAnsi="宋体" w:cs="宋体"/>
          <w:snapToGrid w:val="0"/>
          <w:color w:val="000000" w:themeColor="text1"/>
          <w:spacing w:val="-4"/>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4"/>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如投标人法定代表人或其委托代理人或项目经理（以及备选人，如有）、项目总工（以及备选人，如有）未办理个人电子签名章的，投标人应打印需要签名</w:t>
      </w:r>
      <w:r>
        <w:rPr>
          <w:rFonts w:hint="eastAsia" w:ascii="宋体" w:hAnsi="宋体" w:cs="宋体"/>
          <w:snapToGrid w:val="0"/>
          <w:color w:val="000000" w:themeColor="text1"/>
          <w:spacing w:val="-2"/>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2"/>
          <w:kern w:val="0"/>
          <w:sz w:val="24"/>
          <w:highlight w:val="none"/>
          <w14:textFill>
            <w14:solidFill>
              <w14:schemeClr w14:val="tx1"/>
            </w14:solidFill>
          </w14:textFill>
        </w:rPr>
        <w:t>的相关页面，本人</w:t>
      </w:r>
      <w:r>
        <w:rPr>
          <w:rFonts w:ascii="宋体" w:hAnsi="宋体" w:cs="宋体"/>
          <w:snapToGrid w:val="0"/>
          <w:color w:val="000000" w:themeColor="text1"/>
          <w:spacing w:val="-1"/>
          <w:kern w:val="0"/>
          <w:sz w:val="24"/>
          <w:highlight w:val="none"/>
          <w14:textFill>
            <w14:solidFill>
              <w14:schemeClr w14:val="tx1"/>
            </w14:solidFill>
          </w14:textFill>
        </w:rPr>
        <w:t>亲笔签名</w:t>
      </w:r>
      <w:r>
        <w:rPr>
          <w:rFonts w:hint="eastAsia" w:ascii="宋体" w:hAnsi="宋体" w:cs="宋体"/>
          <w:snapToGrid w:val="0"/>
          <w:color w:val="000000" w:themeColor="text1"/>
          <w:spacing w:val="-1"/>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1"/>
          <w:kern w:val="0"/>
          <w:sz w:val="24"/>
          <w:highlight w:val="none"/>
          <w14:textFill>
            <w14:solidFill>
              <w14:schemeClr w14:val="tx1"/>
            </w14:solidFill>
          </w14:textFill>
        </w:rPr>
        <w:t>后扫描上传至投标文件相应位置中。</w:t>
      </w:r>
    </w:p>
    <w:p w14:paraId="6A7EBCE6">
      <w:pPr>
        <w:widowControl/>
        <w:autoSpaceDE w:val="0"/>
        <w:autoSpaceDN w:val="0"/>
        <w:adjustRightInd w:val="0"/>
        <w:snapToGrid w:val="0"/>
        <w:spacing w:line="360" w:lineRule="auto"/>
        <w:ind w:left="10" w:right="162" w:firstLine="520"/>
        <w:jc w:val="left"/>
        <w:textAlignment w:val="baseline"/>
        <w:rPr>
          <w:rFonts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(5)投标文件制作完成后，投标人应使用CA</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数字证</w:t>
      </w:r>
      <w:r>
        <w:rPr>
          <w:rFonts w:ascii="宋体" w:hAnsi="宋体" w:cs="宋体"/>
          <w:snapToGrid w:val="0"/>
          <w:color w:val="000000" w:themeColor="text1"/>
          <w:spacing w:val="-2"/>
          <w:kern w:val="0"/>
          <w:sz w:val="24"/>
          <w:highlight w:val="none"/>
          <w14:textFill>
            <w14:solidFill>
              <w14:schemeClr w14:val="tx1"/>
            </w14:solidFill>
          </w14:textFill>
        </w:rPr>
        <w:t>书对投标文件进行文件加密，形成加密的投标文件。</w:t>
      </w:r>
    </w:p>
    <w:p w14:paraId="31BE2416">
      <w:pPr>
        <w:widowControl/>
        <w:autoSpaceDE w:val="0"/>
        <w:autoSpaceDN w:val="0"/>
        <w:adjustRightInd w:val="0"/>
        <w:snapToGrid w:val="0"/>
        <w:spacing w:line="360" w:lineRule="auto"/>
        <w:ind w:left="9" w:right="162" w:firstLine="483"/>
        <w:textAlignment w:val="baseline"/>
        <w:rPr>
          <w:rFonts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3.7.4</w:t>
      </w:r>
      <w:r>
        <w:rPr>
          <w:rFonts w:ascii="宋体" w:hAnsi="宋体" w:cs="宋体"/>
          <w:snapToGrid w:val="0"/>
          <w:color w:val="000000" w:themeColor="text1"/>
          <w:spacing w:val="2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因投标人自身原因而导致投标文件无法导入“</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电子交易</w:t>
      </w:r>
      <w:r>
        <w:rPr>
          <w:rFonts w:ascii="宋体" w:hAnsi="宋体" w:cs="宋体"/>
          <w:snapToGrid w:val="0"/>
          <w:color w:val="000000" w:themeColor="text1"/>
          <w:spacing w:val="-5"/>
          <w:kern w:val="0"/>
          <w:sz w:val="24"/>
          <w:highlight w:val="none"/>
          <w14:textFill>
            <w14:solidFill>
              <w14:schemeClr w14:val="tx1"/>
            </w14:solidFill>
          </w14:textFill>
        </w:rPr>
        <w:t>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”电子开标、评</w:t>
      </w:r>
      <w:r>
        <w:rPr>
          <w:rFonts w:ascii="宋体" w:hAnsi="宋体" w:cs="宋体"/>
          <w:snapToGrid w:val="0"/>
          <w:color w:val="000000" w:themeColor="text1"/>
          <w:spacing w:val="-2"/>
          <w:kern w:val="0"/>
          <w:sz w:val="24"/>
          <w:highlight w:val="none"/>
          <w14:textFill>
            <w14:solidFill>
              <w14:schemeClr w14:val="tx1"/>
            </w14:solidFill>
          </w14:textFill>
        </w:rPr>
        <w:t>标系统，该投标视为无效投标，投标人自行承担由此导致的全部责任。投标文件其他要</w:t>
      </w:r>
      <w:r>
        <w:rPr>
          <w:rFonts w:ascii="宋体" w:hAnsi="宋体" w:cs="宋体"/>
          <w:snapToGrid w:val="0"/>
          <w:color w:val="000000" w:themeColor="text1"/>
          <w:spacing w:val="-1"/>
          <w:kern w:val="0"/>
          <w:sz w:val="24"/>
          <w:highlight w:val="none"/>
          <w14:textFill>
            <w14:solidFill>
              <w14:schemeClr w14:val="tx1"/>
            </w14:solidFill>
          </w14:textFill>
        </w:rPr>
        <w:t>求见投标人须知前附表。</w:t>
      </w:r>
    </w:p>
    <w:p w14:paraId="282C8D22">
      <w:pPr>
        <w:pStyle w:val="55"/>
        <w:rPr>
          <w:rFonts w:hint="eastAsia" w:ascii="宋体" w:hAnsi="宋体" w:cs="宋体"/>
          <w:snapToGrid w:val="0"/>
          <w:color w:val="000000" w:themeColor="text1"/>
          <w:spacing w:val="-1"/>
          <w:kern w:val="0"/>
          <w:sz w:val="24"/>
          <w:szCs w:val="24"/>
          <w:highlight w:val="none"/>
          <w14:textFill>
            <w14:solidFill>
              <w14:schemeClr w14:val="tx1"/>
            </w14:solidFill>
          </w14:textFill>
        </w:rPr>
      </w:pPr>
      <w:r>
        <w:rPr>
          <w:rFonts w:ascii="宋体" w:hAnsi="宋体" w:cs="宋体"/>
          <w:snapToGrid w:val="0"/>
          <w:color w:val="000000" w:themeColor="text1"/>
          <w:spacing w:val="-1"/>
          <w:kern w:val="0"/>
          <w:sz w:val="24"/>
          <w:szCs w:val="24"/>
          <w:highlight w:val="none"/>
          <w14:textFill>
            <w14:solidFill>
              <w14:schemeClr w14:val="tx1"/>
            </w14:solidFill>
          </w14:textFill>
        </w:rPr>
        <w:t>3.7.</w:t>
      </w:r>
      <w:r>
        <w:rPr>
          <w:rFonts w:hint="eastAsia" w:ascii="宋体" w:hAnsi="宋体" w:cs="宋体"/>
          <w:snapToGrid w:val="0"/>
          <w:color w:val="000000" w:themeColor="text1"/>
          <w:spacing w:val="-1"/>
          <w:kern w:val="0"/>
          <w:sz w:val="24"/>
          <w:szCs w:val="24"/>
          <w:highlight w:val="none"/>
          <w14:textFill>
            <w14:solidFill>
              <w14:schemeClr w14:val="tx1"/>
            </w14:solidFill>
          </w14:textFill>
        </w:rPr>
        <w:t>5投标文件需按以下要求签字、盖章：电子投标文件：</w:t>
      </w:r>
    </w:p>
    <w:p w14:paraId="3B10D185">
      <w:pPr>
        <w:pStyle w:val="55"/>
        <w:rPr>
          <w:rFonts w:hint="eastAsia" w:ascii="宋体" w:hAnsi="宋体" w:cs="宋体"/>
          <w:snapToGrid w:val="0"/>
          <w:color w:val="000000" w:themeColor="text1"/>
          <w:spacing w:val="-1"/>
          <w:kern w:val="0"/>
          <w:sz w:val="24"/>
          <w:szCs w:val="24"/>
          <w:highlight w:val="none"/>
          <w14:textFill>
            <w14:solidFill>
              <w14:schemeClr w14:val="tx1"/>
            </w14:solidFill>
          </w14:textFill>
        </w:rPr>
      </w:pPr>
      <w:r>
        <w:rPr>
          <w:rFonts w:hint="eastAsia" w:ascii="宋体" w:hAnsi="宋体" w:cs="宋体"/>
          <w:snapToGrid w:val="0"/>
          <w:color w:val="000000" w:themeColor="text1"/>
          <w:spacing w:val="-1"/>
          <w:kern w:val="0"/>
          <w:sz w:val="24"/>
          <w:szCs w:val="24"/>
          <w:highlight w:val="none"/>
          <w14:textFill>
            <w14:solidFill>
              <w14:schemeClr w14:val="tx1"/>
            </w14:solidFill>
          </w14:textFill>
        </w:rPr>
        <w:t>（1）投标文件封面、组成内容中凡注明“签字”处由要求的人员签字或电子签章；凡注明“签字或盖章”处由要求的人员签字或盖其私章（电子印章）；凡注明“签字并盖执业印章”处由要求的人员签字并盖其执业印章。</w:t>
      </w:r>
    </w:p>
    <w:p w14:paraId="7E432D96">
      <w:pPr>
        <w:pStyle w:val="55"/>
        <w:rPr>
          <w:rFonts w:hint="eastAsia" w:ascii="宋体" w:hAnsi="宋体" w:cs="宋体"/>
          <w:snapToGrid w:val="0"/>
          <w:color w:val="000000" w:themeColor="text1"/>
          <w:spacing w:val="-1"/>
          <w:kern w:val="0"/>
          <w:sz w:val="24"/>
          <w:szCs w:val="24"/>
          <w:highlight w:val="none"/>
          <w14:textFill>
            <w14:solidFill>
              <w14:schemeClr w14:val="tx1"/>
            </w14:solidFill>
          </w14:textFill>
        </w:rPr>
      </w:pPr>
      <w:r>
        <w:rPr>
          <w:rFonts w:hint="eastAsia" w:ascii="宋体" w:hAnsi="宋体" w:cs="宋体"/>
          <w:snapToGrid w:val="0"/>
          <w:color w:val="000000" w:themeColor="text1"/>
          <w:spacing w:val="-1"/>
          <w:kern w:val="0"/>
          <w:sz w:val="24"/>
          <w:szCs w:val="24"/>
          <w:highlight w:val="none"/>
          <w14:textFill>
            <w14:solidFill>
              <w14:schemeClr w14:val="tx1"/>
            </w14:solidFill>
          </w14:textFill>
        </w:rPr>
        <w:t>（2）投标文件封套、封面、组成内容中凡要求录入投标人名称且注明“盖单位章”处盖单位法人公章（电子印章）。</w:t>
      </w:r>
    </w:p>
    <w:p w14:paraId="62774298">
      <w:pPr>
        <w:pStyle w:val="55"/>
        <w:rPr>
          <w:rFonts w:hint="eastAsia" w:ascii="宋体" w:hAnsi="宋体" w:cs="宋体"/>
          <w:snapToGrid w:val="0"/>
          <w:color w:val="000000" w:themeColor="text1"/>
          <w:spacing w:val="-1"/>
          <w:kern w:val="0"/>
          <w:sz w:val="24"/>
          <w:szCs w:val="24"/>
          <w:highlight w:val="none"/>
          <w14:textFill>
            <w14:solidFill>
              <w14:schemeClr w14:val="tx1"/>
            </w14:solidFill>
          </w14:textFill>
        </w:rPr>
      </w:pPr>
      <w:r>
        <w:rPr>
          <w:rFonts w:hint="eastAsia" w:ascii="宋体" w:hAnsi="宋体" w:cs="宋体"/>
          <w:snapToGrid w:val="0"/>
          <w:color w:val="000000" w:themeColor="text1"/>
          <w:spacing w:val="-1"/>
          <w:kern w:val="0"/>
          <w:sz w:val="24"/>
          <w:szCs w:val="24"/>
          <w:highlight w:val="none"/>
          <w14:textFill>
            <w14:solidFill>
              <w14:schemeClr w14:val="tx1"/>
            </w14:solidFill>
          </w14:textFill>
        </w:rPr>
        <w:t>（3）投标文件的签字均为签字人本人亲笔署名或签章（电子印章），其余部分的复印件无须另行签字、盖章。</w:t>
      </w:r>
    </w:p>
    <w:p w14:paraId="3A377E8A">
      <w:pPr>
        <w:pStyle w:val="55"/>
        <w:rPr>
          <w:rFonts w:ascii="宋体" w:hAnsi="宋体" w:cs="宋体"/>
          <w:snapToGrid w:val="0"/>
          <w:color w:val="000000" w:themeColor="text1"/>
          <w:spacing w:val="-1"/>
          <w:kern w:val="0"/>
          <w:sz w:val="24"/>
          <w:szCs w:val="24"/>
          <w:highlight w:val="none"/>
          <w14:textFill>
            <w14:solidFill>
              <w14:schemeClr w14:val="tx1"/>
            </w14:solidFill>
          </w14:textFill>
        </w:rPr>
      </w:pPr>
      <w:r>
        <w:rPr>
          <w:rFonts w:hint="eastAsia" w:ascii="宋体" w:hAnsi="宋体" w:cs="宋体"/>
          <w:snapToGrid w:val="0"/>
          <w:color w:val="000000" w:themeColor="text1"/>
          <w:spacing w:val="-1"/>
          <w:kern w:val="0"/>
          <w:sz w:val="24"/>
          <w:szCs w:val="24"/>
          <w:highlight w:val="none"/>
          <w14:textFill>
            <w14:solidFill>
              <w14:schemeClr w14:val="tx1"/>
            </w14:solidFill>
          </w14:textFill>
        </w:rPr>
        <w:t>（4）联合体投标的，除《联合体协议书》外，由联合体牵头人按以上要求签字（电子印章）、盖章（电子印章）即可。</w:t>
      </w:r>
    </w:p>
    <w:p w14:paraId="1F386EF6">
      <w:pPr>
        <w:pStyle w:val="55"/>
        <w:rPr>
          <w:rFonts w:hint="eastAsia"/>
          <w:color w:val="000000" w:themeColor="text1"/>
          <w:highlight w:val="none"/>
          <w14:textFill>
            <w14:solidFill>
              <w14:schemeClr w14:val="tx1"/>
            </w14:solidFill>
          </w14:textFill>
        </w:rPr>
      </w:pPr>
    </w:p>
    <w:p w14:paraId="143CF5B7">
      <w:pPr>
        <w:pStyle w:val="5"/>
        <w:rPr>
          <w:color w:val="000000" w:themeColor="text1"/>
          <w:highlight w:val="none"/>
          <w14:textFill>
            <w14:solidFill>
              <w14:schemeClr w14:val="tx1"/>
            </w14:solidFill>
          </w14:textFill>
        </w:rPr>
      </w:pPr>
      <w:bookmarkStart w:id="54" w:name="_Toc9857"/>
      <w:r>
        <w:rPr>
          <w:color w:val="000000" w:themeColor="text1"/>
          <w:highlight w:val="none"/>
          <w14:textFill>
            <w14:solidFill>
              <w14:schemeClr w14:val="tx1"/>
            </w14:solidFill>
          </w14:textFill>
        </w:rPr>
        <w:t>4. 投标</w:t>
      </w:r>
      <w:bookmarkEnd w:id="54"/>
    </w:p>
    <w:p w14:paraId="4A980C44">
      <w:pPr>
        <w:pStyle w:val="6"/>
        <w:spacing w:before="218" w:after="156"/>
        <w:rPr>
          <w:color w:val="000000" w:themeColor="text1"/>
          <w:highlight w:val="none"/>
          <w14:textFill>
            <w14:solidFill>
              <w14:schemeClr w14:val="tx1"/>
            </w14:solidFill>
          </w14:textFill>
        </w:rPr>
      </w:pPr>
      <w:bookmarkStart w:id="55" w:name="_Toc22703"/>
      <w:r>
        <w:rPr>
          <w:color w:val="000000" w:themeColor="text1"/>
          <w:highlight w:val="none"/>
          <w14:textFill>
            <w14:solidFill>
              <w14:schemeClr w14:val="tx1"/>
            </w14:solidFill>
          </w14:textFill>
        </w:rPr>
        <w:t>4.1 投标文件的加密</w:t>
      </w:r>
      <w:bookmarkEnd w:id="55"/>
    </w:p>
    <w:p w14:paraId="50B732D0">
      <w:pPr>
        <w:widowControl/>
        <w:kinsoku w:val="0"/>
        <w:autoSpaceDE w:val="0"/>
        <w:autoSpaceDN w:val="0"/>
        <w:adjustRightInd w:val="0"/>
        <w:snapToGrid w:val="0"/>
        <w:spacing w:before="182" w:line="360" w:lineRule="auto"/>
        <w:ind w:left="10" w:right="163"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投标文件应按照本章第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3.7.3</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项要求制作并加密，未</w:t>
      </w:r>
      <w:r>
        <w:rPr>
          <w:rFonts w:ascii="宋体" w:hAnsi="宋体" w:cs="宋体"/>
          <w:snapToGrid w:val="0"/>
          <w:color w:val="000000" w:themeColor="text1"/>
          <w:spacing w:val="-3"/>
          <w:kern w:val="0"/>
          <w:sz w:val="24"/>
          <w:highlight w:val="none"/>
          <w14:textFill>
            <w14:solidFill>
              <w14:schemeClr w14:val="tx1"/>
            </w14:solidFill>
          </w14:textFill>
        </w:rPr>
        <w:t>按要求加密的投标文件，招标</w:t>
      </w:r>
      <w:r>
        <w:rPr>
          <w:rFonts w:ascii="宋体" w:hAnsi="宋体" w:cs="宋体"/>
          <w:snapToGrid w:val="0"/>
          <w:color w:val="000000" w:themeColor="text1"/>
          <w:spacing w:val="-6"/>
          <w:kern w:val="0"/>
          <w:sz w:val="24"/>
          <w:highlight w:val="none"/>
          <w14:textFill>
            <w14:solidFill>
              <w14:schemeClr w14:val="tx1"/>
            </w14:solidFill>
          </w14:textFill>
        </w:rPr>
        <w:t>人（</w:t>
      </w:r>
      <w:r>
        <w:rPr>
          <w:rFonts w:ascii="宋体" w:hAnsi="宋体" w:cs="宋体"/>
          <w:snapToGrid w:val="0"/>
          <w:color w:val="000000" w:themeColor="text1"/>
          <w:spacing w:val="-82"/>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电子交易平台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”）将拒绝接收并提示。</w:t>
      </w:r>
    </w:p>
    <w:p w14:paraId="0C1E8DDA">
      <w:pPr>
        <w:pStyle w:val="6"/>
        <w:spacing w:before="218" w:after="156"/>
        <w:rPr>
          <w:color w:val="000000" w:themeColor="text1"/>
          <w:highlight w:val="none"/>
          <w14:textFill>
            <w14:solidFill>
              <w14:schemeClr w14:val="tx1"/>
            </w14:solidFill>
          </w14:textFill>
        </w:rPr>
      </w:pPr>
      <w:bookmarkStart w:id="56" w:name="_Toc7343"/>
      <w:r>
        <w:rPr>
          <w:color w:val="000000" w:themeColor="text1"/>
          <w:highlight w:val="none"/>
          <w14:textFill>
            <w14:solidFill>
              <w14:schemeClr w14:val="tx1"/>
            </w14:solidFill>
          </w14:textFill>
        </w:rPr>
        <w:t>4.2 投标文件的递交</w:t>
      </w:r>
      <w:bookmarkEnd w:id="56"/>
    </w:p>
    <w:p w14:paraId="123D0382">
      <w:pPr>
        <w:widowControl/>
        <w:autoSpaceDE w:val="0"/>
        <w:autoSpaceDN w:val="0"/>
        <w:adjustRightInd w:val="0"/>
        <w:snapToGrid w:val="0"/>
        <w:spacing w:line="360" w:lineRule="auto"/>
        <w:ind w:left="10" w:right="162" w:firstLine="47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4.2.1 投标人应在第一章“招标公告</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”规定的投标截止时间前，通过互联网使用</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CA</w:t>
      </w:r>
      <w:r>
        <w:rPr>
          <w:rFonts w:ascii="宋体" w:hAnsi="宋体" w:cs="宋体"/>
          <w:snapToGrid w:val="0"/>
          <w:color w:val="000000" w:themeColor="text1"/>
          <w:spacing w:val="-3"/>
          <w:kern w:val="0"/>
          <w:sz w:val="24"/>
          <w:highlight w:val="none"/>
          <w14:textFill>
            <w14:solidFill>
              <w14:schemeClr w14:val="tx1"/>
            </w14:solidFill>
          </w14:textFill>
        </w:rPr>
        <w:t>数字证书登录“</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电子交易平台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”，将加密的投标文</w:t>
      </w:r>
      <w:r>
        <w:rPr>
          <w:rFonts w:ascii="宋体" w:hAnsi="宋体" w:cs="宋体"/>
          <w:snapToGrid w:val="0"/>
          <w:color w:val="000000" w:themeColor="text1"/>
          <w:spacing w:val="-4"/>
          <w:kern w:val="0"/>
          <w:sz w:val="24"/>
          <w:highlight w:val="none"/>
          <w14:textFill>
            <w14:solidFill>
              <w14:schemeClr w14:val="tx1"/>
            </w14:solidFill>
          </w14:textFill>
        </w:rPr>
        <w:t>件上传，并保存上传成功后系统自动</w:t>
      </w:r>
      <w:r>
        <w:rPr>
          <w:rFonts w:ascii="宋体" w:hAnsi="宋体" w:cs="宋体"/>
          <w:snapToGrid w:val="0"/>
          <w:color w:val="000000" w:themeColor="text1"/>
          <w:spacing w:val="-1"/>
          <w:kern w:val="0"/>
          <w:sz w:val="24"/>
          <w:highlight w:val="none"/>
          <w14:textFill>
            <w14:solidFill>
              <w14:schemeClr w14:val="tx1"/>
            </w14:solidFill>
          </w14:textFill>
        </w:rPr>
        <w:t>生成的电子签收凭证，递交时间即为电子签收凭证时间。</w:t>
      </w:r>
    </w:p>
    <w:p w14:paraId="3CBEFF39">
      <w:pPr>
        <w:widowControl/>
        <w:autoSpaceDE w:val="0"/>
        <w:autoSpaceDN w:val="0"/>
        <w:adjustRightInd w:val="0"/>
        <w:snapToGrid w:val="0"/>
        <w:spacing w:line="360" w:lineRule="auto"/>
        <w:ind w:left="9" w:right="163"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4.2.2 投标人应充分考虑上传文件时的</w:t>
      </w:r>
      <w:r>
        <w:rPr>
          <w:rFonts w:ascii="宋体" w:hAnsi="宋体" w:cs="宋体"/>
          <w:snapToGrid w:val="0"/>
          <w:color w:val="000000" w:themeColor="text1"/>
          <w:spacing w:val="-2"/>
          <w:kern w:val="0"/>
          <w:sz w:val="24"/>
          <w:highlight w:val="none"/>
          <w14:textFill>
            <w14:solidFill>
              <w14:schemeClr w14:val="tx1"/>
            </w14:solidFill>
          </w14:textFill>
        </w:rPr>
        <w:t>不可预见因素，未在投标截止时间前完成电</w:t>
      </w:r>
      <w:r>
        <w:rPr>
          <w:rFonts w:ascii="宋体" w:hAnsi="宋体" w:cs="宋体"/>
          <w:snapToGrid w:val="0"/>
          <w:color w:val="000000" w:themeColor="text1"/>
          <w:spacing w:val="-3"/>
          <w:kern w:val="0"/>
          <w:sz w:val="24"/>
          <w:highlight w:val="none"/>
          <w14:textFill>
            <w14:solidFill>
              <w14:schemeClr w14:val="tx1"/>
            </w14:solidFill>
          </w14:textFill>
        </w:rPr>
        <w:t>子投标文件上传的，视为逾期送达，招标人（</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电子交</w:t>
      </w:r>
      <w:r>
        <w:rPr>
          <w:rFonts w:ascii="宋体" w:hAnsi="宋体" w:cs="宋体"/>
          <w:snapToGrid w:val="0"/>
          <w:color w:val="000000" w:themeColor="text1"/>
          <w:spacing w:val="-4"/>
          <w:kern w:val="0"/>
          <w:sz w:val="24"/>
          <w:highlight w:val="none"/>
          <w14:textFill>
            <w14:solidFill>
              <w14:schemeClr w14:val="tx1"/>
            </w14:solidFill>
          </w14:textFill>
        </w:rPr>
        <w:t>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”）将拒绝接收。</w:t>
      </w:r>
    </w:p>
    <w:p w14:paraId="252CC812">
      <w:pPr>
        <w:widowControl/>
        <w:autoSpaceDE w:val="0"/>
        <w:autoSpaceDN w:val="0"/>
        <w:adjustRightInd w:val="0"/>
        <w:snapToGrid w:val="0"/>
        <w:spacing w:line="360"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4.2.3 投标人所递交的电子投标文件不予退还。</w:t>
      </w:r>
    </w:p>
    <w:p w14:paraId="4C0028E8">
      <w:pPr>
        <w:widowControl/>
        <w:autoSpaceDE w:val="0"/>
        <w:autoSpaceDN w:val="0"/>
        <w:adjustRightInd w:val="0"/>
        <w:snapToGrid w:val="0"/>
        <w:spacing w:line="360"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4.2.4</w:t>
      </w:r>
      <w:r>
        <w:rPr>
          <w:rFonts w:ascii="宋体" w:hAnsi="宋体" w:cs="宋体"/>
          <w:snapToGrid w:val="0"/>
          <w:color w:val="000000" w:themeColor="text1"/>
          <w:spacing w:val="-42"/>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逾期到达或者未到达的投标文件视为放弃本次投标。</w:t>
      </w:r>
    </w:p>
    <w:p w14:paraId="7AC9194C">
      <w:pPr>
        <w:widowControl/>
        <w:autoSpaceDE w:val="0"/>
        <w:autoSpaceDN w:val="0"/>
        <w:adjustRightInd w:val="0"/>
        <w:snapToGrid w:val="0"/>
        <w:spacing w:line="360" w:lineRule="auto"/>
        <w:ind w:left="9"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4.2.5 在特殊情况下，招标人如果决定延后投标截止时间，应在“</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电子交易</w:t>
      </w:r>
      <w:r>
        <w:rPr>
          <w:rFonts w:ascii="宋体" w:hAnsi="宋体" w:cs="宋体"/>
          <w:snapToGrid w:val="0"/>
          <w:color w:val="000000" w:themeColor="text1"/>
          <w:kern w:val="0"/>
          <w:sz w:val="24"/>
          <w:highlight w:val="none"/>
          <w14:textFill>
            <w14:solidFill>
              <w14:schemeClr w14:val="tx1"/>
            </w14:solidFill>
          </w14:textFill>
        </w:rPr>
        <w:t>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以补遗书的形式通知所有投标人延后投标截止时间。在此情况下，招标人和投标人的权</w:t>
      </w:r>
      <w:r>
        <w:rPr>
          <w:rFonts w:ascii="宋体" w:hAnsi="宋体" w:cs="宋体"/>
          <w:snapToGrid w:val="0"/>
          <w:color w:val="000000" w:themeColor="text1"/>
          <w:spacing w:val="-1"/>
          <w:kern w:val="0"/>
          <w:sz w:val="24"/>
          <w:highlight w:val="none"/>
          <w14:textFill>
            <w14:solidFill>
              <w14:schemeClr w14:val="tx1"/>
            </w14:solidFill>
          </w14:textFill>
        </w:rPr>
        <w:t>利和义务相应延后至新的投标截止时间。</w:t>
      </w:r>
    </w:p>
    <w:p w14:paraId="09CF5405">
      <w:pPr>
        <w:pStyle w:val="6"/>
        <w:spacing w:before="218" w:after="156"/>
        <w:rPr>
          <w:color w:val="000000" w:themeColor="text1"/>
          <w:highlight w:val="none"/>
          <w14:textFill>
            <w14:solidFill>
              <w14:schemeClr w14:val="tx1"/>
            </w14:solidFill>
          </w14:textFill>
        </w:rPr>
      </w:pPr>
      <w:bookmarkStart w:id="57" w:name="_Toc14850"/>
      <w:r>
        <w:rPr>
          <w:color w:val="000000" w:themeColor="text1"/>
          <w:highlight w:val="none"/>
          <w14:textFill>
            <w14:solidFill>
              <w14:schemeClr w14:val="tx1"/>
            </w14:solidFill>
          </w14:textFill>
        </w:rPr>
        <w:t>4.3 投标文件的修改与撤回</w:t>
      </w:r>
      <w:bookmarkEnd w:id="57"/>
    </w:p>
    <w:p w14:paraId="2E8ACB72">
      <w:pPr>
        <w:widowControl/>
        <w:autoSpaceDE w:val="0"/>
        <w:autoSpaceDN w:val="0"/>
        <w:adjustRightInd w:val="0"/>
        <w:snapToGrid w:val="0"/>
        <w:spacing w:line="360" w:lineRule="auto"/>
        <w:ind w:left="9" w:firstLine="478"/>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4.3.1 在本章第4.2.1 项规定的投标截止时间前，投标人可以修改或撤回已递交的投标文件。投标人对加密的投标文件进行撤回的，应在“电子交易平台”直接进行撤回操作；投标人对加密的投标文件进行修改的，应在投标截止时间前完成上传。</w:t>
      </w:r>
    </w:p>
    <w:p w14:paraId="29D3CAD2">
      <w:pPr>
        <w:widowControl/>
        <w:autoSpaceDE w:val="0"/>
        <w:autoSpaceDN w:val="0"/>
        <w:adjustRightInd w:val="0"/>
        <w:snapToGrid w:val="0"/>
        <w:spacing w:line="360" w:lineRule="auto"/>
        <w:ind w:left="9" w:firstLine="478"/>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4.3.2 投标人修改投标文件的，应使用“投标文件制作工具 ”制作成完整的投标文件，并按照本章第 3 条、第 4 条规定进行编制、加密和递交。对采用网上递交的加密的投标文件，以投标截止时间前最后完成上传的文件为准。</w:t>
      </w:r>
    </w:p>
    <w:p w14:paraId="506BF2A9">
      <w:pPr>
        <w:widowControl/>
        <w:autoSpaceDE w:val="0"/>
        <w:autoSpaceDN w:val="0"/>
        <w:adjustRightInd w:val="0"/>
        <w:snapToGrid w:val="0"/>
        <w:spacing w:line="360" w:lineRule="auto"/>
        <w:ind w:left="16" w:right="99" w:firstLine="470"/>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4.3.3 投标人撤回投标文件的，招标人自收到投标人撤回</w:t>
      </w:r>
      <w:r>
        <w:rPr>
          <w:rFonts w:ascii="宋体" w:hAnsi="宋体" w:cs="宋体"/>
          <w:snapToGrid w:val="0"/>
          <w:color w:val="000000" w:themeColor="text1"/>
          <w:spacing w:val="-4"/>
          <w:kern w:val="0"/>
          <w:sz w:val="24"/>
          <w:highlight w:val="none"/>
          <w14:textFill>
            <w14:solidFill>
              <w14:schemeClr w14:val="tx1"/>
            </w14:solidFill>
          </w14:textFill>
        </w:rPr>
        <w:t>通知之日起</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5 日内退还已</w:t>
      </w:r>
      <w:r>
        <w:rPr>
          <w:rFonts w:ascii="宋体" w:hAnsi="宋体" w:cs="宋体"/>
          <w:snapToGrid w:val="0"/>
          <w:color w:val="000000" w:themeColor="text1"/>
          <w:spacing w:val="-2"/>
          <w:kern w:val="0"/>
          <w:sz w:val="24"/>
          <w:highlight w:val="none"/>
          <w14:textFill>
            <w14:solidFill>
              <w14:schemeClr w14:val="tx1"/>
            </w14:solidFill>
          </w14:textFill>
        </w:rPr>
        <w:t>收取的投标保证金。</w:t>
      </w:r>
    </w:p>
    <w:p w14:paraId="49E0BA7D">
      <w:pPr>
        <w:pStyle w:val="5"/>
        <w:rPr>
          <w:color w:val="000000" w:themeColor="text1"/>
          <w:highlight w:val="none"/>
          <w14:textFill>
            <w14:solidFill>
              <w14:schemeClr w14:val="tx1"/>
            </w14:solidFill>
          </w14:textFill>
        </w:rPr>
      </w:pPr>
      <w:bookmarkStart w:id="58" w:name="_Toc31551"/>
      <w:r>
        <w:rPr>
          <w:color w:val="000000" w:themeColor="text1"/>
          <w:highlight w:val="none"/>
          <w14:textFill>
            <w14:solidFill>
              <w14:schemeClr w14:val="tx1"/>
            </w14:solidFill>
          </w14:textFill>
        </w:rPr>
        <w:t>5. 开标</w:t>
      </w:r>
      <w:bookmarkEnd w:id="58"/>
    </w:p>
    <w:p w14:paraId="6094A77A">
      <w:pPr>
        <w:pStyle w:val="6"/>
        <w:spacing w:before="218" w:after="156"/>
        <w:rPr>
          <w:color w:val="000000" w:themeColor="text1"/>
          <w:highlight w:val="none"/>
          <w14:textFill>
            <w14:solidFill>
              <w14:schemeClr w14:val="tx1"/>
            </w14:solidFill>
          </w14:textFill>
        </w:rPr>
      </w:pPr>
      <w:bookmarkStart w:id="59" w:name="_Toc11352"/>
      <w:r>
        <w:rPr>
          <w:color w:val="000000" w:themeColor="text1"/>
          <w:highlight w:val="none"/>
          <w14:textFill>
            <w14:solidFill>
              <w14:schemeClr w14:val="tx1"/>
            </w14:solidFill>
          </w14:textFill>
        </w:rPr>
        <w:t>5.1 开标时间和地点</w:t>
      </w:r>
      <w:bookmarkEnd w:id="59"/>
    </w:p>
    <w:p w14:paraId="76CEFADE">
      <w:pPr>
        <w:widowControl/>
        <w:autoSpaceDE w:val="0"/>
        <w:autoSpaceDN w:val="0"/>
        <w:adjustRightInd w:val="0"/>
        <w:snapToGrid w:val="0"/>
        <w:spacing w:line="360" w:lineRule="auto"/>
        <w:ind w:left="10" w:right="99" w:firstLine="479"/>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招标人在本章第4.2.1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项规定的投标截止时间（开标</w:t>
      </w:r>
      <w:r>
        <w:rPr>
          <w:rFonts w:ascii="宋体" w:hAnsi="宋体" w:cs="宋体"/>
          <w:snapToGrid w:val="0"/>
          <w:color w:val="000000" w:themeColor="text1"/>
          <w:spacing w:val="-1"/>
          <w:kern w:val="0"/>
          <w:sz w:val="24"/>
          <w:highlight w:val="none"/>
          <w14:textFill>
            <w14:solidFill>
              <w14:schemeClr w14:val="tx1"/>
            </w14:solidFill>
          </w14:textFill>
        </w:rPr>
        <w:t>时间）和投标人须知前附表规</w:t>
      </w:r>
      <w:r>
        <w:rPr>
          <w:rFonts w:ascii="宋体" w:hAnsi="宋体" w:cs="宋体"/>
          <w:snapToGrid w:val="0"/>
          <w:color w:val="000000" w:themeColor="text1"/>
          <w:spacing w:val="-2"/>
          <w:kern w:val="0"/>
          <w:sz w:val="24"/>
          <w:highlight w:val="none"/>
          <w14:textFill>
            <w14:solidFill>
              <w14:schemeClr w14:val="tx1"/>
            </w14:solidFill>
          </w14:textFill>
        </w:rPr>
        <w:t>定的地点对收到的投标文件第一个信封（商务及技术文件）公开开标，并邀请所有投标</w:t>
      </w:r>
      <w:r>
        <w:rPr>
          <w:rFonts w:ascii="宋体" w:hAnsi="宋体" w:cs="宋体"/>
          <w:snapToGrid w:val="0"/>
          <w:color w:val="000000" w:themeColor="text1"/>
          <w:spacing w:val="-1"/>
          <w:kern w:val="0"/>
          <w:sz w:val="24"/>
          <w:highlight w:val="none"/>
          <w14:textFill>
            <w14:solidFill>
              <w14:schemeClr w14:val="tx1"/>
            </w14:solidFill>
          </w14:textFill>
        </w:rPr>
        <w:t>人的法定代表人或其委托代理人准时参加。</w:t>
      </w:r>
    </w:p>
    <w:p w14:paraId="02E849CE">
      <w:pPr>
        <w:widowControl/>
        <w:autoSpaceDE w:val="0"/>
        <w:autoSpaceDN w:val="0"/>
        <w:adjustRightInd w:val="0"/>
        <w:snapToGrid w:val="0"/>
        <w:spacing w:line="360" w:lineRule="auto"/>
        <w:ind w:left="15" w:right="72" w:firstLine="47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招标人在投标人须知前附表规定的时间和地点对投标文件第二个信封（报价文件）公开开标，并邀请所有投标人的法定代表人或其委托代理人准时参加。</w:t>
      </w:r>
    </w:p>
    <w:p w14:paraId="35CDD319">
      <w:pPr>
        <w:widowControl/>
        <w:autoSpaceDE w:val="0"/>
        <w:autoSpaceDN w:val="0"/>
        <w:adjustRightInd w:val="0"/>
        <w:snapToGrid w:val="0"/>
        <w:spacing w:line="360" w:lineRule="auto"/>
        <w:ind w:left="8" w:right="99"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投标人若未派法定代表人或委托代理人参加第一个信封（商务及技术文件）开标或</w:t>
      </w:r>
      <w:r>
        <w:rPr>
          <w:rFonts w:ascii="宋体" w:hAnsi="宋体" w:cs="宋体"/>
          <w:snapToGrid w:val="0"/>
          <w:color w:val="000000" w:themeColor="text1"/>
          <w:spacing w:val="-1"/>
          <w:kern w:val="0"/>
          <w:sz w:val="24"/>
          <w:highlight w:val="none"/>
          <w14:textFill>
            <w14:solidFill>
              <w14:schemeClr w14:val="tx1"/>
            </w14:solidFill>
          </w14:textFill>
        </w:rPr>
        <w:t>第二个信封（报价文件）开标的，视为该投标人默认开标结果。</w:t>
      </w:r>
    </w:p>
    <w:p w14:paraId="17B56643">
      <w:pPr>
        <w:pStyle w:val="6"/>
        <w:spacing w:before="218" w:after="156"/>
        <w:rPr>
          <w:color w:val="000000" w:themeColor="text1"/>
          <w:highlight w:val="none"/>
          <w14:textFill>
            <w14:solidFill>
              <w14:schemeClr w14:val="tx1"/>
            </w14:solidFill>
          </w14:textFill>
        </w:rPr>
      </w:pPr>
      <w:bookmarkStart w:id="60" w:name="_Toc14671"/>
      <w:r>
        <w:rPr>
          <w:color w:val="000000" w:themeColor="text1"/>
          <w:highlight w:val="none"/>
          <w14:textFill>
            <w14:solidFill>
              <w14:schemeClr w14:val="tx1"/>
            </w14:solidFill>
          </w14:textFill>
        </w:rPr>
        <w:t>5.2 开标程序</w:t>
      </w:r>
      <w:bookmarkEnd w:id="60"/>
    </w:p>
    <w:p w14:paraId="5C3F3A82">
      <w:pPr>
        <w:widowControl/>
        <w:autoSpaceDE w:val="0"/>
        <w:autoSpaceDN w:val="0"/>
        <w:adjustRightInd w:val="0"/>
        <w:snapToGrid w:val="0"/>
        <w:spacing w:line="360" w:lineRule="auto"/>
        <w:ind w:left="9" w:right="99" w:firstLine="481"/>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投标截止时间前未完成投标文件传输的，或因投标人之外的原因造成投标文件未解密的，均视为投标人撤回其电子投标文件。因投标人原因造成投标文件未解密的或未在</w:t>
      </w:r>
      <w:r>
        <w:rPr>
          <w:rFonts w:ascii="宋体" w:hAnsi="宋体" w:cs="宋体"/>
          <w:snapToGrid w:val="0"/>
          <w:color w:val="000000" w:themeColor="text1"/>
          <w:kern w:val="0"/>
          <w:sz w:val="24"/>
          <w:highlight w:val="none"/>
          <w14:textFill>
            <w14:solidFill>
              <w14:schemeClr w14:val="tx1"/>
            </w14:solidFill>
          </w14:textFill>
        </w:rPr>
        <w:t>投标截止时间后投标人须知前附表规定的解密时间内解密</w:t>
      </w:r>
      <w:r>
        <w:rPr>
          <w:rFonts w:ascii="宋体" w:hAnsi="宋体" w:cs="宋体"/>
          <w:snapToGrid w:val="0"/>
          <w:color w:val="000000" w:themeColor="text1"/>
          <w:spacing w:val="-1"/>
          <w:kern w:val="0"/>
          <w:sz w:val="24"/>
          <w:highlight w:val="none"/>
          <w14:textFill>
            <w14:solidFill>
              <w14:schemeClr w14:val="tx1"/>
            </w14:solidFill>
          </w14:textFill>
        </w:rPr>
        <w:t>的，视为撤销其投标文件。</w:t>
      </w:r>
    </w:p>
    <w:p w14:paraId="27B1D3E2">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5.2.1 投标文件第一个信封（商务及技术文件）开标</w:t>
      </w:r>
    </w:p>
    <w:p w14:paraId="7F5B82F3">
      <w:pPr>
        <w:widowControl/>
        <w:autoSpaceDE w:val="0"/>
        <w:autoSpaceDN w:val="0"/>
        <w:adjustRightInd w:val="0"/>
        <w:snapToGrid w:val="0"/>
        <w:spacing w:line="360" w:lineRule="auto"/>
        <w:ind w:left="6"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招标人将按照第5.1款规定的时间和地点对投标文件第一个信封（商务及</w:t>
      </w:r>
      <w:r>
        <w:rPr>
          <w:rFonts w:ascii="宋体" w:hAnsi="宋体" w:cs="宋体"/>
          <w:snapToGrid w:val="0"/>
          <w:color w:val="000000" w:themeColor="text1"/>
          <w:spacing w:val="-3"/>
          <w:kern w:val="0"/>
          <w:sz w:val="24"/>
          <w:highlight w:val="none"/>
          <w14:textFill>
            <w14:solidFill>
              <w14:schemeClr w14:val="tx1"/>
            </w14:solidFill>
          </w14:textFill>
        </w:rPr>
        <w:t>技术文件）</w:t>
      </w:r>
      <w:r>
        <w:rPr>
          <w:rFonts w:ascii="宋体" w:hAnsi="宋体" w:cs="宋体"/>
          <w:snapToGrid w:val="0"/>
          <w:color w:val="000000" w:themeColor="text1"/>
          <w:spacing w:val="-2"/>
          <w:kern w:val="0"/>
          <w:sz w:val="24"/>
          <w:highlight w:val="none"/>
          <w14:textFill>
            <w14:solidFill>
              <w14:schemeClr w14:val="tx1"/>
            </w14:solidFill>
          </w14:textFill>
        </w:rPr>
        <w:t>进行开标：</w:t>
      </w:r>
    </w:p>
    <w:p w14:paraId="70FB537E">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（1）投标人代表持</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CA</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数字证书进入开标现场（投标人也可选择</w:t>
      </w:r>
      <w:r>
        <w:rPr>
          <w:rFonts w:ascii="宋体" w:hAnsi="宋体" w:cs="宋体"/>
          <w:snapToGrid w:val="0"/>
          <w:color w:val="000000" w:themeColor="text1"/>
          <w:spacing w:val="-2"/>
          <w:kern w:val="0"/>
          <w:sz w:val="24"/>
          <w:highlight w:val="none"/>
          <w14:textFill>
            <w14:solidFill>
              <w14:schemeClr w14:val="tx1"/>
            </w14:solidFill>
          </w14:textFill>
        </w:rPr>
        <w:t>远程解密）。</w:t>
      </w:r>
    </w:p>
    <w:p w14:paraId="42946A05">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（2）开标由招标人或其委托的招标代理机构主持，宣布开标纪律。</w:t>
      </w:r>
    </w:p>
    <w:p w14:paraId="13B7232C">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（3）宣布开标人、唱标人、记录人等有关人员姓名。</w:t>
      </w:r>
    </w:p>
    <w:p w14:paraId="2B062B44">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（4）宣布开标顺序：按各标段投标文件到达系统的先后顺序。</w:t>
      </w:r>
    </w:p>
    <w:p w14:paraId="7CC86613">
      <w:pPr>
        <w:widowControl/>
        <w:autoSpaceDE w:val="0"/>
        <w:autoSpaceDN w:val="0"/>
        <w:adjustRightInd w:val="0"/>
        <w:snapToGrid w:val="0"/>
        <w:spacing w:line="360" w:lineRule="auto"/>
        <w:ind w:left="12" w:right="99" w:firstLine="487"/>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（5）检查各标段投标文件递交到达的情况。若某标段递交到达投标文件的投标人</w:t>
      </w:r>
      <w:r>
        <w:rPr>
          <w:rFonts w:ascii="宋体" w:hAnsi="宋体" w:cs="宋体"/>
          <w:snapToGrid w:val="0"/>
          <w:color w:val="000000" w:themeColor="text1"/>
          <w:spacing w:val="-3"/>
          <w:kern w:val="0"/>
          <w:sz w:val="24"/>
          <w:highlight w:val="none"/>
          <w14:textFill>
            <w14:solidFill>
              <w14:schemeClr w14:val="tx1"/>
            </w14:solidFill>
          </w14:textFill>
        </w:rPr>
        <w:t>不足</w:t>
      </w:r>
      <w:r>
        <w:rPr>
          <w:rFonts w:ascii="宋体" w:hAnsi="宋体" w:cs="宋体"/>
          <w:snapToGrid w:val="0"/>
          <w:color w:val="000000" w:themeColor="text1"/>
          <w:spacing w:val="-42"/>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个，则该标段不予开标。</w:t>
      </w:r>
    </w:p>
    <w:p w14:paraId="12975C7F">
      <w:pPr>
        <w:widowControl/>
        <w:autoSpaceDE w:val="0"/>
        <w:autoSpaceDN w:val="0"/>
        <w:adjustRightInd w:val="0"/>
        <w:snapToGrid w:val="0"/>
        <w:spacing w:line="360" w:lineRule="auto"/>
        <w:ind w:left="12" w:right="99" w:firstLine="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（6）投标人解密。招标人应在第一个信封（商务及技术文件）开标现场宣布解密</w:t>
      </w:r>
      <w:r>
        <w:rPr>
          <w:rFonts w:ascii="宋体" w:hAnsi="宋体" w:cs="宋体"/>
          <w:snapToGrid w:val="0"/>
          <w:color w:val="000000" w:themeColor="text1"/>
          <w:spacing w:val="-2"/>
          <w:kern w:val="0"/>
          <w:sz w:val="24"/>
          <w:highlight w:val="none"/>
          <w14:textFill>
            <w14:solidFill>
              <w14:schemeClr w14:val="tx1"/>
            </w14:solidFill>
          </w14:textFill>
        </w:rPr>
        <w:t>的开始时间，投标人应在系统通知解密开始后投标人须知前附表规定的解密时间</w:t>
      </w:r>
      <w:r>
        <w:rPr>
          <w:rFonts w:ascii="宋体" w:hAnsi="宋体" w:cs="宋体"/>
          <w:snapToGrid w:val="0"/>
          <w:color w:val="000000" w:themeColor="text1"/>
          <w:spacing w:val="-3"/>
          <w:kern w:val="0"/>
          <w:sz w:val="24"/>
          <w:highlight w:val="none"/>
          <w14:textFill>
            <w14:solidFill>
              <w14:schemeClr w14:val="tx1"/>
            </w14:solidFill>
          </w14:textFill>
        </w:rPr>
        <w:t>内（解</w:t>
      </w:r>
      <w:r>
        <w:rPr>
          <w:rFonts w:ascii="宋体" w:hAnsi="宋体" w:cs="宋体"/>
          <w:snapToGrid w:val="0"/>
          <w:color w:val="000000" w:themeColor="text1"/>
          <w:spacing w:val="-1"/>
          <w:kern w:val="0"/>
          <w:sz w:val="24"/>
          <w:highlight w:val="none"/>
          <w14:textFill>
            <w14:solidFill>
              <w14:schemeClr w14:val="tx1"/>
            </w14:solidFill>
          </w14:textFill>
        </w:rPr>
        <w:t>密时长详见投标人须知前附表）对所递交的第一个信封</w:t>
      </w:r>
      <w:r>
        <w:rPr>
          <w:rFonts w:ascii="宋体" w:hAnsi="宋体" w:cs="宋体"/>
          <w:snapToGrid w:val="0"/>
          <w:color w:val="000000" w:themeColor="text1"/>
          <w:spacing w:val="-2"/>
          <w:kern w:val="0"/>
          <w:sz w:val="24"/>
          <w:highlight w:val="none"/>
          <w14:textFill>
            <w14:solidFill>
              <w14:schemeClr w14:val="tx1"/>
            </w14:solidFill>
          </w14:textFill>
        </w:rPr>
        <w:t>（商务及技术文件）进行解密。</w:t>
      </w:r>
    </w:p>
    <w:p w14:paraId="53598BD5">
      <w:pPr>
        <w:widowControl/>
        <w:numPr>
          <w:ilvl w:val="0"/>
          <w:numId w:val="4"/>
        </w:numPr>
        <w:autoSpaceDE w:val="0"/>
        <w:autoSpaceDN w:val="0"/>
        <w:adjustRightInd w:val="0"/>
        <w:snapToGrid w:val="0"/>
        <w:spacing w:line="360" w:lineRule="auto"/>
        <w:ind w:left="8" w:right="99" w:firstLine="491"/>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招标人解密。招标人在投标人解密截止时间后，对投标人解密成功的第一个</w:t>
      </w:r>
      <w:r>
        <w:rPr>
          <w:rFonts w:ascii="宋体" w:hAnsi="宋体" w:cs="宋体"/>
          <w:snapToGrid w:val="0"/>
          <w:color w:val="000000" w:themeColor="text1"/>
          <w:spacing w:val="-2"/>
          <w:kern w:val="0"/>
          <w:sz w:val="24"/>
          <w:highlight w:val="none"/>
          <w14:textFill>
            <w14:solidFill>
              <w14:schemeClr w14:val="tx1"/>
            </w14:solidFill>
          </w14:textFill>
        </w:rPr>
        <w:t>信封进行解密。</w:t>
      </w:r>
    </w:p>
    <w:p w14:paraId="7BB7FDC1">
      <w:pPr>
        <w:widowControl/>
        <w:numPr>
          <w:ilvl w:val="0"/>
          <w:numId w:val="4"/>
        </w:numPr>
        <w:autoSpaceDE w:val="0"/>
        <w:autoSpaceDN w:val="0"/>
        <w:adjustRightInd w:val="0"/>
        <w:snapToGrid w:val="0"/>
        <w:spacing w:line="360" w:lineRule="auto"/>
        <w:ind w:left="8" w:right="99"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公布投标人名称、投标保证金递交情况、解密情况及其他内容，并记录在案。</w:t>
      </w:r>
    </w:p>
    <w:p w14:paraId="7A2A9C94">
      <w:pPr>
        <w:widowControl/>
        <w:autoSpaceDE w:val="0"/>
        <w:autoSpaceDN w:val="0"/>
        <w:adjustRightInd w:val="0"/>
        <w:snapToGrid w:val="0"/>
        <w:spacing w:line="360" w:lineRule="auto"/>
        <w:ind w:left="7" w:right="99"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（9）投标人代表、招标人、监标人（如有）、见证人（如有）等有关人员在开标</w:t>
      </w:r>
      <w:r>
        <w:rPr>
          <w:rFonts w:ascii="宋体" w:hAnsi="宋体" w:cs="宋体"/>
          <w:snapToGrid w:val="0"/>
          <w:color w:val="000000" w:themeColor="text1"/>
          <w:spacing w:val="-1"/>
          <w:kern w:val="0"/>
          <w:sz w:val="24"/>
          <w:highlight w:val="none"/>
          <w14:textFill>
            <w14:solidFill>
              <w14:schemeClr w14:val="tx1"/>
            </w14:solidFill>
          </w14:textFill>
        </w:rPr>
        <w:t>记录上签字确认，投标人代表未签字确认的视为默认开标结果。</w:t>
      </w:r>
    </w:p>
    <w:p w14:paraId="7D8FD7CB">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（10）开标会议结束。</w:t>
      </w:r>
    </w:p>
    <w:p w14:paraId="1EBEA999">
      <w:pPr>
        <w:widowControl/>
        <w:autoSpaceDE w:val="0"/>
        <w:autoSpaceDN w:val="0"/>
        <w:adjustRightInd w:val="0"/>
        <w:snapToGrid w:val="0"/>
        <w:spacing w:line="360" w:lineRule="auto"/>
        <w:ind w:left="10"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5.2.2 投标文件第二个信封（报价文件）在投标文件第一个信封（商务及技</w:t>
      </w:r>
      <w:r>
        <w:rPr>
          <w:rFonts w:ascii="宋体" w:hAnsi="宋体" w:cs="宋体"/>
          <w:snapToGrid w:val="0"/>
          <w:color w:val="000000" w:themeColor="text1"/>
          <w:spacing w:val="-6"/>
          <w:kern w:val="0"/>
          <w:sz w:val="24"/>
          <w:highlight w:val="none"/>
          <w14:textFill>
            <w14:solidFill>
              <w14:schemeClr w14:val="tx1"/>
            </w14:solidFill>
          </w14:textFill>
        </w:rPr>
        <w:t>术文件）</w:t>
      </w:r>
      <w:r>
        <w:rPr>
          <w:rFonts w:ascii="宋体" w:hAnsi="宋体" w:cs="宋体"/>
          <w:snapToGrid w:val="0"/>
          <w:color w:val="000000" w:themeColor="text1"/>
          <w:spacing w:val="-3"/>
          <w:kern w:val="0"/>
          <w:sz w:val="24"/>
          <w:highlight w:val="none"/>
          <w14:textFill>
            <w14:solidFill>
              <w14:schemeClr w14:val="tx1"/>
            </w14:solidFill>
          </w14:textFill>
        </w:rPr>
        <w:t>完成评审前，“</w:t>
      </w:r>
      <w:r>
        <w:rPr>
          <w:rFonts w:ascii="宋体" w:hAnsi="宋体" w:cs="宋体"/>
          <w:snapToGrid w:val="0"/>
          <w:color w:val="000000" w:themeColor="text1"/>
          <w:spacing w:val="-81"/>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电子交易平台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”的开标评标系统将不进行读取。</w:t>
      </w:r>
    </w:p>
    <w:p w14:paraId="068DFD28">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5.2.3 投标文件第二个信封（报价文件）开标</w:t>
      </w:r>
    </w:p>
    <w:p w14:paraId="4EAF5763">
      <w:pPr>
        <w:widowControl/>
        <w:autoSpaceDE w:val="0"/>
        <w:autoSpaceDN w:val="0"/>
        <w:adjustRightInd w:val="0"/>
        <w:snapToGrid w:val="0"/>
        <w:spacing w:line="360" w:lineRule="auto"/>
        <w:ind w:left="6" w:right="72"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招标人将按照本章第</w:t>
      </w:r>
      <w:r>
        <w:rPr>
          <w:rFonts w:ascii="宋体" w:hAnsi="宋体" w:cs="宋体"/>
          <w:snapToGrid w:val="0"/>
          <w:color w:val="000000" w:themeColor="text1"/>
          <w:spacing w:val="-2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5.1</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款规定的时间和地点对投标文件第二个信封（报价文件）进行开标：</w:t>
      </w:r>
    </w:p>
    <w:p w14:paraId="7A18B156">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（1）投标人代表持</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CA</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数字证书进入开标现场（投标人也可选择</w:t>
      </w:r>
      <w:r>
        <w:rPr>
          <w:rFonts w:ascii="宋体" w:hAnsi="宋体" w:cs="宋体"/>
          <w:snapToGrid w:val="0"/>
          <w:color w:val="000000" w:themeColor="text1"/>
          <w:spacing w:val="-2"/>
          <w:kern w:val="0"/>
          <w:sz w:val="24"/>
          <w:highlight w:val="none"/>
          <w14:textFill>
            <w14:solidFill>
              <w14:schemeClr w14:val="tx1"/>
            </w14:solidFill>
          </w14:textFill>
        </w:rPr>
        <w:t>远程解密）。</w:t>
      </w:r>
    </w:p>
    <w:p w14:paraId="6DEBBBC0">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（2）宣布开标纪律。</w:t>
      </w:r>
    </w:p>
    <w:p w14:paraId="4158457D">
      <w:pPr>
        <w:widowControl/>
        <w:autoSpaceDE w:val="0"/>
        <w:autoSpaceDN w:val="0"/>
        <w:adjustRightInd w:val="0"/>
        <w:snapToGrid w:val="0"/>
        <w:spacing w:line="360" w:lineRule="auto"/>
        <w:ind w:left="8" w:right="18"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（3）摇取下浮率（如需）、评标价</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E</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值（如</w:t>
      </w:r>
      <w:r>
        <w:rPr>
          <w:rFonts w:ascii="宋体" w:hAnsi="宋体" w:cs="宋体"/>
          <w:snapToGrid w:val="0"/>
          <w:color w:val="000000" w:themeColor="text1"/>
          <w:spacing w:val="-4"/>
          <w:kern w:val="0"/>
          <w:sz w:val="24"/>
          <w:highlight w:val="none"/>
          <w14:textFill>
            <w14:solidFill>
              <w14:schemeClr w14:val="tx1"/>
            </w14:solidFill>
          </w14:textFill>
        </w:rPr>
        <w:t>需</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14:textFill>
            <w14:solidFill>
              <w14:schemeClr w14:val="tx1"/>
            </w14:solidFill>
          </w14:textFill>
        </w:rPr>
        <w:t>在开标现场采取摇珠方式确定。</w:t>
      </w:r>
      <w:r>
        <w:rPr>
          <w:rFonts w:ascii="宋体" w:hAnsi="宋体" w:cs="宋体"/>
          <w:snapToGrid w:val="0"/>
          <w:color w:val="000000" w:themeColor="text1"/>
          <w:spacing w:val="-1"/>
          <w:kern w:val="0"/>
          <w:sz w:val="24"/>
          <w:highlight w:val="none"/>
          <w14:textFill>
            <w14:solidFill>
              <w14:schemeClr w14:val="tx1"/>
            </w14:solidFill>
          </w14:textFill>
        </w:rPr>
        <w:t>摇珠操作办法详见评标办法。</w:t>
      </w:r>
    </w:p>
    <w:p w14:paraId="0F735ED9">
      <w:pPr>
        <w:widowControl/>
        <w:autoSpaceDE w:val="0"/>
        <w:autoSpaceDN w:val="0"/>
        <w:adjustRightInd w:val="0"/>
        <w:snapToGrid w:val="0"/>
        <w:spacing w:line="360" w:lineRule="auto"/>
        <w:ind w:left="10" w:right="72" w:firstLine="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（4）招标人或招标代理机构宣布第一个信封（商务及技术文件）评审结果。投标</w:t>
      </w:r>
      <w:r>
        <w:rPr>
          <w:rFonts w:ascii="宋体" w:hAnsi="宋体" w:cs="宋体"/>
          <w:snapToGrid w:val="0"/>
          <w:color w:val="000000" w:themeColor="text1"/>
          <w:spacing w:val="-1"/>
          <w:kern w:val="0"/>
          <w:sz w:val="24"/>
          <w:highlight w:val="none"/>
          <w14:textFill>
            <w14:solidFill>
              <w14:schemeClr w14:val="tx1"/>
            </w14:solidFill>
          </w14:textFill>
        </w:rPr>
        <w:t>人未通过第一个信封（商务及技术文件）评审的，对应标段的第二个信封（报价文件）</w:t>
      </w:r>
      <w:r>
        <w:rPr>
          <w:rFonts w:ascii="宋体" w:hAnsi="宋体" w:cs="宋体"/>
          <w:snapToGrid w:val="0"/>
          <w:color w:val="000000" w:themeColor="text1"/>
          <w:spacing w:val="-3"/>
          <w:kern w:val="0"/>
          <w:sz w:val="24"/>
          <w:highlight w:val="none"/>
          <w14:textFill>
            <w14:solidFill>
              <w14:schemeClr w14:val="tx1"/>
            </w14:solidFill>
          </w14:textFill>
        </w:rPr>
        <w:t>不予开标。</w:t>
      </w:r>
    </w:p>
    <w:p w14:paraId="7A76AEB9">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（5）宣布开标人、唱标人、记录人等有关人员姓名。</w:t>
      </w:r>
    </w:p>
    <w:p w14:paraId="087EAD94">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（6）宣布开标顺序：方法同第一个信封的开标顺序。</w:t>
      </w:r>
    </w:p>
    <w:p w14:paraId="578F11BA">
      <w:pPr>
        <w:widowControl/>
        <w:autoSpaceDE w:val="0"/>
        <w:autoSpaceDN w:val="0"/>
        <w:adjustRightInd w:val="0"/>
        <w:snapToGrid w:val="0"/>
        <w:spacing w:line="360" w:lineRule="auto"/>
        <w:ind w:left="7"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（7）投标人解密。招标人宣布第二个信封（报价文件）解密开始时间，投标人应</w:t>
      </w:r>
      <w:r>
        <w:rPr>
          <w:rFonts w:ascii="宋体" w:hAnsi="宋体" w:cs="宋体"/>
          <w:snapToGrid w:val="0"/>
          <w:color w:val="000000" w:themeColor="text1"/>
          <w:spacing w:val="-5"/>
          <w:kern w:val="0"/>
          <w:sz w:val="24"/>
          <w:highlight w:val="none"/>
          <w14:textFill>
            <w14:solidFill>
              <w14:schemeClr w14:val="tx1"/>
            </w14:solidFill>
          </w14:textFill>
        </w:rPr>
        <w:t>在解密时长投标人须知前附表规定的解密时间内，对通过第一个信封（商务及技</w:t>
      </w:r>
      <w:r>
        <w:rPr>
          <w:rFonts w:ascii="宋体" w:hAnsi="宋体" w:cs="宋体"/>
          <w:snapToGrid w:val="0"/>
          <w:color w:val="000000" w:themeColor="text1"/>
          <w:spacing w:val="-6"/>
          <w:kern w:val="0"/>
          <w:sz w:val="24"/>
          <w:highlight w:val="none"/>
          <w14:textFill>
            <w14:solidFill>
              <w14:schemeClr w14:val="tx1"/>
            </w14:solidFill>
          </w14:textFill>
        </w:rPr>
        <w:t>术文件）</w:t>
      </w:r>
      <w:r>
        <w:rPr>
          <w:rFonts w:ascii="宋体" w:hAnsi="宋体" w:cs="宋体"/>
          <w:snapToGrid w:val="0"/>
          <w:color w:val="000000" w:themeColor="text1"/>
          <w:spacing w:val="-1"/>
          <w:kern w:val="0"/>
          <w:sz w:val="24"/>
          <w:highlight w:val="none"/>
          <w14:textFill>
            <w14:solidFill>
              <w14:schemeClr w14:val="tx1"/>
            </w14:solidFill>
          </w14:textFill>
        </w:rPr>
        <w:t>评审的对应标段的第二个信封（报价文件）进行解密。</w:t>
      </w:r>
    </w:p>
    <w:p w14:paraId="5F8A8DC4">
      <w:pPr>
        <w:widowControl/>
        <w:autoSpaceDE w:val="0"/>
        <w:autoSpaceDN w:val="0"/>
        <w:adjustRightInd w:val="0"/>
        <w:snapToGrid w:val="0"/>
        <w:spacing w:line="360" w:lineRule="auto"/>
        <w:ind w:left="8" w:right="99" w:firstLine="491"/>
        <w:jc w:val="left"/>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（8）招标人解密。招标人在投标人解密截止时间后，对投标人解密成功的第二个</w:t>
      </w:r>
      <w:r>
        <w:rPr>
          <w:rFonts w:ascii="宋体" w:hAnsi="宋体" w:cs="宋体"/>
          <w:snapToGrid w:val="0"/>
          <w:color w:val="000000" w:themeColor="text1"/>
          <w:spacing w:val="-2"/>
          <w:kern w:val="0"/>
          <w:sz w:val="24"/>
          <w:highlight w:val="none"/>
          <w14:textFill>
            <w14:solidFill>
              <w14:schemeClr w14:val="tx1"/>
            </w14:solidFill>
          </w14:textFill>
        </w:rPr>
        <w:t>信封进行解密。</w:t>
      </w:r>
    </w:p>
    <w:p w14:paraId="6624C69D">
      <w:pPr>
        <w:widowControl/>
        <w:autoSpaceDE w:val="0"/>
        <w:autoSpaceDN w:val="0"/>
        <w:adjustRightInd w:val="0"/>
        <w:snapToGrid w:val="0"/>
        <w:spacing w:line="360" w:lineRule="auto"/>
        <w:ind w:left="8" w:right="99"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（9）根据解密后的投标文件中的投标函公</w:t>
      </w:r>
      <w:r>
        <w:rPr>
          <w:rFonts w:ascii="宋体" w:hAnsi="宋体" w:cs="宋体"/>
          <w:snapToGrid w:val="0"/>
          <w:color w:val="000000" w:themeColor="text1"/>
          <w:spacing w:val="-4"/>
          <w:kern w:val="0"/>
          <w:sz w:val="24"/>
          <w:highlight w:val="none"/>
          <w14:textFill>
            <w14:solidFill>
              <w14:schemeClr w14:val="tx1"/>
            </w14:solidFill>
          </w14:textFill>
        </w:rPr>
        <w:t>布投标人名称、投标报价（开标过程中，</w:t>
      </w:r>
      <w:r>
        <w:rPr>
          <w:rFonts w:ascii="宋体" w:hAnsi="宋体" w:cs="宋体"/>
          <w:snapToGrid w:val="0"/>
          <w:color w:val="000000" w:themeColor="text1"/>
          <w:spacing w:val="-2"/>
          <w:kern w:val="0"/>
          <w:sz w:val="24"/>
          <w:highlight w:val="none"/>
          <w14:textFill>
            <w14:solidFill>
              <w14:schemeClr w14:val="tx1"/>
            </w14:solidFill>
          </w14:textFill>
        </w:rPr>
        <w:t>若开标记录表与投标文件投标函大写文字报价不一致时，以投标文件投标函大写文字报价为准）、解密情况及其他内容，并记录在案。将未通过投标文件第一个信封（商务及</w:t>
      </w:r>
      <w:r>
        <w:rPr>
          <w:rFonts w:ascii="宋体" w:hAnsi="宋体" w:cs="宋体"/>
          <w:snapToGrid w:val="0"/>
          <w:color w:val="000000" w:themeColor="text1"/>
          <w:spacing w:val="-6"/>
          <w:kern w:val="0"/>
          <w:sz w:val="24"/>
          <w:highlight w:val="none"/>
          <w14:textFill>
            <w14:solidFill>
              <w14:schemeClr w14:val="tx1"/>
            </w14:solidFill>
          </w14:textFill>
        </w:rPr>
        <w:t>技术文件）评审的投标文件第二个信封（报价文件）光盘或</w:t>
      </w:r>
      <w:r>
        <w:rPr>
          <w:rFonts w:ascii="宋体" w:hAnsi="宋体" w:cs="宋体"/>
          <w:snapToGrid w:val="0"/>
          <w:color w:val="000000" w:themeColor="text1"/>
          <w:spacing w:val="-55"/>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U</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盘（如有）退还给投标人。</w:t>
      </w:r>
      <w:r>
        <w:rPr>
          <w:rFonts w:ascii="宋体" w:hAnsi="宋体" w:cs="宋体"/>
          <w:snapToGrid w:val="0"/>
          <w:color w:val="000000" w:themeColor="text1"/>
          <w:spacing w:val="-1"/>
          <w:kern w:val="0"/>
          <w:sz w:val="24"/>
          <w:highlight w:val="none"/>
          <w14:textFill>
            <w14:solidFill>
              <w14:schemeClr w14:val="tx1"/>
            </w14:solidFill>
          </w14:textFill>
        </w:rPr>
        <w:t>如投标人未参加第二个信封开标的，招标人应当在评</w:t>
      </w:r>
      <w:r>
        <w:rPr>
          <w:rFonts w:ascii="宋体" w:hAnsi="宋体" w:cs="宋体"/>
          <w:snapToGrid w:val="0"/>
          <w:color w:val="000000" w:themeColor="text1"/>
          <w:spacing w:val="-2"/>
          <w:kern w:val="0"/>
          <w:sz w:val="24"/>
          <w:highlight w:val="none"/>
          <w14:textFill>
            <w14:solidFill>
              <w14:schemeClr w14:val="tx1"/>
            </w14:solidFill>
          </w14:textFill>
        </w:rPr>
        <w:t>标结束后及时将第二个信封光盘或U</w:t>
      </w:r>
      <w:r>
        <w:rPr>
          <w:rFonts w:ascii="宋体" w:hAnsi="宋体" w:cs="宋体"/>
          <w:snapToGrid w:val="0"/>
          <w:color w:val="000000" w:themeColor="text1"/>
          <w:spacing w:val="-4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盘（如有）退还投标人。</w:t>
      </w:r>
    </w:p>
    <w:p w14:paraId="4A81D7F0">
      <w:pPr>
        <w:widowControl/>
        <w:autoSpaceDE w:val="0"/>
        <w:autoSpaceDN w:val="0"/>
        <w:adjustRightInd w:val="0"/>
        <w:snapToGrid w:val="0"/>
        <w:spacing w:line="360" w:lineRule="auto"/>
        <w:ind w:left="7" w:right="173" w:firstLine="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（10）投标人代表、招标人、监标人（如有）、见证人（如有）等有关人员在开标记录上进行签字确认，投标人代表未签字确认的视为默认开标结果。如开标过程中出现</w:t>
      </w:r>
      <w:r>
        <w:rPr>
          <w:rFonts w:ascii="宋体" w:hAnsi="宋体" w:cs="宋体"/>
          <w:snapToGrid w:val="0"/>
          <w:color w:val="000000" w:themeColor="text1"/>
          <w:spacing w:val="-1"/>
          <w:kern w:val="0"/>
          <w:sz w:val="24"/>
          <w:highlight w:val="none"/>
          <w14:textFill>
            <w14:solidFill>
              <w14:schemeClr w14:val="tx1"/>
            </w14:solidFill>
          </w14:textFill>
        </w:rPr>
        <w:t>需更正开标记录表的情况，招标人应通知所有投标人代表知</w:t>
      </w:r>
      <w:r>
        <w:rPr>
          <w:rFonts w:ascii="宋体" w:hAnsi="宋体" w:cs="宋体"/>
          <w:snapToGrid w:val="0"/>
          <w:color w:val="000000" w:themeColor="text1"/>
          <w:spacing w:val="-2"/>
          <w:kern w:val="0"/>
          <w:sz w:val="24"/>
          <w:highlight w:val="none"/>
          <w14:textFill>
            <w14:solidFill>
              <w14:schemeClr w14:val="tx1"/>
            </w14:solidFill>
          </w14:textFill>
        </w:rPr>
        <w:t>晓，投标人代表、招标人、</w:t>
      </w:r>
      <w:r>
        <w:rPr>
          <w:rFonts w:ascii="宋体" w:hAnsi="宋体" w:cs="宋体"/>
          <w:snapToGrid w:val="0"/>
          <w:color w:val="000000" w:themeColor="text1"/>
          <w:spacing w:val="-1"/>
          <w:kern w:val="0"/>
          <w:sz w:val="24"/>
          <w:highlight w:val="none"/>
          <w14:textFill>
            <w14:solidFill>
              <w14:schemeClr w14:val="tx1"/>
            </w14:solidFill>
          </w14:textFill>
        </w:rPr>
        <w:t>监标人（如有）、见证人（如有）等有关人员均应在更正后</w:t>
      </w:r>
      <w:r>
        <w:rPr>
          <w:rFonts w:ascii="宋体" w:hAnsi="宋体" w:cs="宋体"/>
          <w:snapToGrid w:val="0"/>
          <w:color w:val="000000" w:themeColor="text1"/>
          <w:spacing w:val="-2"/>
          <w:kern w:val="0"/>
          <w:sz w:val="24"/>
          <w:highlight w:val="none"/>
          <w14:textFill>
            <w14:solidFill>
              <w14:schemeClr w14:val="tx1"/>
            </w14:solidFill>
          </w14:textFill>
        </w:rPr>
        <w:t>开标记录上进行签字确认，</w:t>
      </w:r>
      <w:r>
        <w:rPr>
          <w:rFonts w:ascii="宋体" w:hAnsi="宋体" w:cs="宋体"/>
          <w:snapToGrid w:val="0"/>
          <w:color w:val="000000" w:themeColor="text1"/>
          <w:spacing w:val="-1"/>
          <w:kern w:val="0"/>
          <w:sz w:val="24"/>
          <w:highlight w:val="none"/>
          <w14:textFill>
            <w14:solidFill>
              <w14:schemeClr w14:val="tx1"/>
            </w14:solidFill>
          </w14:textFill>
        </w:rPr>
        <w:t>投标人代表未签字确认的视为默认更正结果。</w:t>
      </w:r>
    </w:p>
    <w:p w14:paraId="7562763A">
      <w:pPr>
        <w:widowControl/>
        <w:autoSpaceDE w:val="0"/>
        <w:autoSpaceDN w:val="0"/>
        <w:adjustRightInd w:val="0"/>
        <w:snapToGrid w:val="0"/>
        <w:spacing w:line="360" w:lineRule="auto"/>
        <w:ind w:left="14" w:right="192"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（11）投标人对开标有异议的，应当在开标现场提出，招标人应当</w:t>
      </w:r>
      <w:r>
        <w:rPr>
          <w:rFonts w:ascii="宋体" w:hAnsi="宋体" w:cs="宋体"/>
          <w:snapToGrid w:val="0"/>
          <w:color w:val="000000" w:themeColor="text1"/>
          <w:spacing w:val="-3"/>
          <w:kern w:val="0"/>
          <w:sz w:val="24"/>
          <w:highlight w:val="none"/>
          <w14:textFill>
            <w14:solidFill>
              <w14:schemeClr w14:val="tx1"/>
            </w14:solidFill>
          </w14:textFill>
        </w:rPr>
        <w:t>当场作出答复，</w:t>
      </w:r>
      <w:r>
        <w:rPr>
          <w:rFonts w:ascii="宋体" w:hAnsi="宋体" w:cs="宋体"/>
          <w:snapToGrid w:val="0"/>
          <w:color w:val="000000" w:themeColor="text1"/>
          <w:spacing w:val="-1"/>
          <w:kern w:val="0"/>
          <w:sz w:val="24"/>
          <w:highlight w:val="none"/>
          <w14:textFill>
            <w14:solidFill>
              <w14:schemeClr w14:val="tx1"/>
            </w14:solidFill>
          </w14:textFill>
        </w:rPr>
        <w:t>并制作记录。未参加开标的投标人，视为对开标过程无异议。</w:t>
      </w:r>
    </w:p>
    <w:p w14:paraId="53EAD7FA">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（12）开标会议结束。</w:t>
      </w:r>
    </w:p>
    <w:p w14:paraId="1B1507C7">
      <w:pPr>
        <w:widowControl/>
        <w:autoSpaceDE w:val="0"/>
        <w:autoSpaceDN w:val="0"/>
        <w:adjustRightInd w:val="0"/>
        <w:snapToGrid w:val="0"/>
        <w:spacing w:line="360" w:lineRule="auto"/>
        <w:ind w:left="10" w:right="181" w:firstLine="482"/>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5.2.4 若采用合理低价法或综合评分法，在投标文件第二个信封（报价文件）开标现场，招标人将按第三章“评标办法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”规定的原</w:t>
      </w:r>
      <w:r>
        <w:rPr>
          <w:rFonts w:ascii="宋体" w:hAnsi="宋体" w:cs="宋体"/>
          <w:snapToGrid w:val="0"/>
          <w:color w:val="000000" w:themeColor="text1"/>
          <w:spacing w:val="-3"/>
          <w:kern w:val="0"/>
          <w:sz w:val="24"/>
          <w:highlight w:val="none"/>
          <w14:textFill>
            <w14:solidFill>
              <w14:schemeClr w14:val="tx1"/>
            </w14:solidFill>
          </w14:textFill>
        </w:rPr>
        <w:t>则计算并宣布评标基准价。若招标人发</w:t>
      </w:r>
      <w:r>
        <w:rPr>
          <w:rFonts w:ascii="宋体" w:hAnsi="宋体" w:cs="宋体"/>
          <w:snapToGrid w:val="0"/>
          <w:color w:val="000000" w:themeColor="text1"/>
          <w:kern w:val="0"/>
          <w:sz w:val="24"/>
          <w:highlight w:val="none"/>
          <w14:textFill>
            <w14:solidFill>
              <w14:schemeClr w14:val="tx1"/>
            </w14:solidFill>
          </w14:textFill>
        </w:rPr>
        <w:t>现投标文件出现以下任一情况，其投标报价将</w:t>
      </w:r>
      <w:r>
        <w:rPr>
          <w:rFonts w:ascii="宋体" w:hAnsi="宋体" w:cs="宋体"/>
          <w:snapToGrid w:val="0"/>
          <w:color w:val="000000" w:themeColor="text1"/>
          <w:spacing w:val="-1"/>
          <w:kern w:val="0"/>
          <w:sz w:val="24"/>
          <w:highlight w:val="none"/>
          <w14:textFill>
            <w14:solidFill>
              <w14:schemeClr w14:val="tx1"/>
            </w14:solidFill>
          </w14:textFill>
        </w:rPr>
        <w:t>不再参加评标基准价的计算：</w:t>
      </w:r>
    </w:p>
    <w:p w14:paraId="4EA8FF2A">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(1)未在报价函上填写投标总报价；</w:t>
      </w:r>
    </w:p>
    <w:p w14:paraId="750F1C9A">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(2)投标总报价或调价函（如有）中投标总报</w:t>
      </w:r>
      <w:r>
        <w:rPr>
          <w:rFonts w:ascii="宋体" w:hAnsi="宋体" w:cs="宋体"/>
          <w:snapToGrid w:val="0"/>
          <w:color w:val="000000" w:themeColor="text1"/>
          <w:spacing w:val="-2"/>
          <w:kern w:val="0"/>
          <w:sz w:val="24"/>
          <w:highlight w:val="none"/>
          <w14:textFill>
            <w14:solidFill>
              <w14:schemeClr w14:val="tx1"/>
            </w14:solidFill>
          </w14:textFill>
        </w:rPr>
        <w:t>价超出招标人公布的最高投标限价；</w:t>
      </w:r>
    </w:p>
    <w:p w14:paraId="4E6796DC">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(3)投标总报价或调价函（如有）中投标</w:t>
      </w:r>
      <w:r>
        <w:rPr>
          <w:rFonts w:ascii="宋体" w:hAnsi="宋体" w:cs="宋体"/>
          <w:snapToGrid w:val="0"/>
          <w:color w:val="000000" w:themeColor="text1"/>
          <w:spacing w:val="-2"/>
          <w:kern w:val="0"/>
          <w:sz w:val="24"/>
          <w:highlight w:val="none"/>
          <w14:textFill>
            <w14:solidFill>
              <w14:schemeClr w14:val="tx1"/>
            </w14:solidFill>
          </w14:textFill>
        </w:rPr>
        <w:t>总报价的大写金额无法确定具体数值；</w:t>
      </w:r>
    </w:p>
    <w:p w14:paraId="2FA82ADA">
      <w:pPr>
        <w:widowControl/>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(4)投标函上填写的标段号标记错误。</w:t>
      </w:r>
    </w:p>
    <w:p w14:paraId="22496381">
      <w:pPr>
        <w:widowControl/>
        <w:autoSpaceDE w:val="0"/>
        <w:autoSpaceDN w:val="0"/>
        <w:adjustRightInd w:val="0"/>
        <w:snapToGrid w:val="0"/>
        <w:spacing w:line="360" w:lineRule="auto"/>
        <w:ind w:left="7" w:right="181" w:firstLine="484"/>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如果投标人认为某一标段的评标基准价计算有误，有权在开标现场提出，经招标人当场核实确认之后，可重新宣布评标基准价。开标现场宣布的评标基准价除计算有误经</w:t>
      </w:r>
      <w:r>
        <w:rPr>
          <w:rFonts w:ascii="宋体" w:hAnsi="宋体" w:cs="宋体"/>
          <w:snapToGrid w:val="0"/>
          <w:color w:val="000000" w:themeColor="text1"/>
          <w:kern w:val="0"/>
          <w:sz w:val="24"/>
          <w:highlight w:val="none"/>
          <w14:textFill>
            <w14:solidFill>
              <w14:schemeClr w14:val="tx1"/>
            </w14:solidFill>
          </w14:textFill>
        </w:rPr>
        <w:t>评标委员会修正外，在整个评标期间保持不变，不</w:t>
      </w:r>
      <w:r>
        <w:rPr>
          <w:rFonts w:ascii="宋体" w:hAnsi="宋体" w:cs="宋体"/>
          <w:snapToGrid w:val="0"/>
          <w:color w:val="000000" w:themeColor="text1"/>
          <w:spacing w:val="-1"/>
          <w:kern w:val="0"/>
          <w:sz w:val="24"/>
          <w:highlight w:val="none"/>
          <w14:textFill>
            <w14:solidFill>
              <w14:schemeClr w14:val="tx1"/>
            </w14:solidFill>
          </w14:textFill>
        </w:rPr>
        <w:t>随任何因素发生变化。</w:t>
      </w:r>
    </w:p>
    <w:p w14:paraId="44E31A4C">
      <w:pPr>
        <w:widowControl/>
        <w:autoSpaceDE w:val="0"/>
        <w:autoSpaceDN w:val="0"/>
        <w:adjustRightInd w:val="0"/>
        <w:snapToGrid w:val="0"/>
        <w:spacing w:line="360" w:lineRule="auto"/>
        <w:ind w:left="9" w:right="181"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5.2.5 在投标文件第一个信封（商务及技术文件）或第二个信封（报价文件）开标过程中，若招标人宣读的内容与投标文件不符时，投标人有权在开标现场提出异议，经招标人当场核查确认之后，可重新宣读其投标文件。若投标人现场未提出异议，则认为</w:t>
      </w:r>
      <w:r>
        <w:rPr>
          <w:rFonts w:ascii="宋体" w:hAnsi="宋体" w:cs="宋体"/>
          <w:snapToGrid w:val="0"/>
          <w:color w:val="000000" w:themeColor="text1"/>
          <w:spacing w:val="-1"/>
          <w:kern w:val="0"/>
          <w:sz w:val="24"/>
          <w:highlight w:val="none"/>
          <w14:textFill>
            <w14:solidFill>
              <w14:schemeClr w14:val="tx1"/>
            </w14:solidFill>
          </w14:textFill>
        </w:rPr>
        <w:t>投标人已确认招标人宣读的内容。</w:t>
      </w:r>
    </w:p>
    <w:p w14:paraId="2E166BAD">
      <w:pPr>
        <w:pStyle w:val="6"/>
        <w:spacing w:before="218" w:after="156"/>
        <w:rPr>
          <w:color w:val="000000" w:themeColor="text1"/>
          <w:highlight w:val="none"/>
          <w14:textFill>
            <w14:solidFill>
              <w14:schemeClr w14:val="tx1"/>
            </w14:solidFill>
          </w14:textFill>
        </w:rPr>
      </w:pPr>
      <w:bookmarkStart w:id="61" w:name="_Toc30104"/>
      <w:r>
        <w:rPr>
          <w:color w:val="000000" w:themeColor="text1"/>
          <w:highlight w:val="none"/>
          <w14:textFill>
            <w14:solidFill>
              <w14:schemeClr w14:val="tx1"/>
            </w14:solidFill>
          </w14:textFill>
        </w:rPr>
        <w:t>5.3 开标异议</w:t>
      </w:r>
      <w:bookmarkEnd w:id="61"/>
    </w:p>
    <w:p w14:paraId="38C84F14">
      <w:pPr>
        <w:widowControl/>
        <w:kinsoku w:val="0"/>
        <w:autoSpaceDE w:val="0"/>
        <w:autoSpaceDN w:val="0"/>
        <w:adjustRightInd w:val="0"/>
        <w:snapToGrid w:val="0"/>
        <w:spacing w:before="184" w:line="361" w:lineRule="auto"/>
        <w:ind w:left="9" w:firstLine="481"/>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投标人对开标有异议的，应在开标现场提出（采用电子化开标的可在系统平台</w:t>
      </w:r>
      <w:r>
        <w:rPr>
          <w:rFonts w:ascii="宋体" w:hAnsi="宋体" w:cs="宋体"/>
          <w:snapToGrid w:val="0"/>
          <w:color w:val="000000" w:themeColor="text1"/>
          <w:spacing w:val="-6"/>
          <w:kern w:val="0"/>
          <w:sz w:val="24"/>
          <w:highlight w:val="none"/>
          <w14:textFill>
            <w14:solidFill>
              <w14:schemeClr w14:val="tx1"/>
            </w14:solidFill>
          </w14:textFill>
        </w:rPr>
        <w:t>提出</w:t>
      </w:r>
      <w:r>
        <w:rPr>
          <w:rFonts w:ascii="宋体" w:hAnsi="宋体" w:cs="宋体"/>
          <w:snapToGrid w:val="0"/>
          <w:color w:val="000000" w:themeColor="text1"/>
          <w:spacing w:val="-53"/>
          <w:w w:val="85"/>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招标人当场作出答复（采用电子化开标的可在系</w:t>
      </w:r>
      <w:r>
        <w:rPr>
          <w:rFonts w:ascii="宋体" w:hAnsi="宋体" w:cs="宋体"/>
          <w:snapToGrid w:val="0"/>
          <w:color w:val="000000" w:themeColor="text1"/>
          <w:spacing w:val="-2"/>
          <w:kern w:val="0"/>
          <w:sz w:val="24"/>
          <w:highlight w:val="none"/>
          <w14:textFill>
            <w14:solidFill>
              <w14:schemeClr w14:val="tx1"/>
            </w14:solidFill>
          </w14:textFill>
        </w:rPr>
        <w:t>统平台答复</w:t>
      </w:r>
      <w:r>
        <w:rPr>
          <w:rFonts w:ascii="宋体" w:hAnsi="宋体" w:cs="宋体"/>
          <w:snapToGrid w:val="0"/>
          <w:color w:val="000000" w:themeColor="text1"/>
          <w:spacing w:val="-5"/>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并制作记录，有异议的投标人（现场如有）、招标人代表、记录人等有关人员在记录上签字确认。未参加开标</w:t>
      </w:r>
      <w:r>
        <w:rPr>
          <w:rFonts w:ascii="宋体" w:hAnsi="宋体" w:cs="宋体"/>
          <w:snapToGrid w:val="0"/>
          <w:color w:val="000000" w:themeColor="text1"/>
          <w:spacing w:val="-1"/>
          <w:kern w:val="0"/>
          <w:sz w:val="24"/>
          <w:highlight w:val="none"/>
          <w14:textFill>
            <w14:solidFill>
              <w14:schemeClr w14:val="tx1"/>
            </w14:solidFill>
          </w14:textFill>
        </w:rPr>
        <w:t>的投标人，视为对开标过程无异议。</w:t>
      </w:r>
    </w:p>
    <w:p w14:paraId="32240BA7">
      <w:pPr>
        <w:pStyle w:val="6"/>
        <w:spacing w:before="218" w:after="156"/>
        <w:rPr>
          <w:color w:val="000000" w:themeColor="text1"/>
          <w:highlight w:val="none"/>
          <w14:textFill>
            <w14:solidFill>
              <w14:schemeClr w14:val="tx1"/>
            </w14:solidFill>
          </w14:textFill>
        </w:rPr>
      </w:pPr>
      <w:bookmarkStart w:id="62" w:name="_Toc2912"/>
      <w:r>
        <w:rPr>
          <w:color w:val="000000" w:themeColor="text1"/>
          <w:highlight w:val="none"/>
          <w14:textFill>
            <w14:solidFill>
              <w14:schemeClr w14:val="tx1"/>
            </w14:solidFill>
          </w14:textFill>
        </w:rPr>
        <w:t>5.4 开标补救措施</w:t>
      </w:r>
      <w:bookmarkEnd w:id="62"/>
    </w:p>
    <w:p w14:paraId="1836948E">
      <w:pPr>
        <w:widowControl/>
        <w:kinsoku w:val="0"/>
        <w:autoSpaceDE w:val="0"/>
        <w:autoSpaceDN w:val="0"/>
        <w:adjustRightInd w:val="0"/>
        <w:snapToGrid w:val="0"/>
        <w:spacing w:before="182" w:line="360" w:lineRule="auto"/>
        <w:ind w:left="7" w:right="99"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5.4.1 开标过程中因出现以下情况，导致系统无法正常运行，应中止电子开标，并</w:t>
      </w:r>
      <w:r>
        <w:rPr>
          <w:rFonts w:ascii="宋体" w:hAnsi="宋体" w:cs="宋体"/>
          <w:snapToGrid w:val="0"/>
          <w:color w:val="000000" w:themeColor="text1"/>
          <w:kern w:val="0"/>
          <w:sz w:val="24"/>
          <w:highlight w:val="none"/>
          <w14:textFill>
            <w14:solidFill>
              <w14:schemeClr w14:val="tx1"/>
            </w14:solidFill>
          </w14:textFill>
        </w:rPr>
        <w:t>在恢复正常后及时安排时间开标。同时，做好</w:t>
      </w:r>
      <w:r>
        <w:rPr>
          <w:rFonts w:ascii="宋体" w:hAnsi="宋体" w:cs="宋体"/>
          <w:snapToGrid w:val="0"/>
          <w:color w:val="000000" w:themeColor="text1"/>
          <w:spacing w:val="-1"/>
          <w:kern w:val="0"/>
          <w:sz w:val="24"/>
          <w:highlight w:val="none"/>
          <w14:textFill>
            <w14:solidFill>
              <w14:schemeClr w14:val="tx1"/>
            </w14:solidFill>
          </w14:textFill>
        </w:rPr>
        <w:t>后续开标的前期工作。</w:t>
      </w:r>
    </w:p>
    <w:p w14:paraId="758FDBA1">
      <w:pPr>
        <w:widowControl/>
        <w:kinsoku w:val="0"/>
        <w:autoSpaceDE w:val="0"/>
        <w:autoSpaceDN w:val="0"/>
        <w:adjustRightInd w:val="0"/>
        <w:snapToGrid w:val="0"/>
        <w:spacing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(1)系统服务器发生故障，无法访问或无法使用</w:t>
      </w:r>
      <w:r>
        <w:rPr>
          <w:rFonts w:ascii="宋体" w:hAnsi="宋体" w:cs="宋体"/>
          <w:snapToGrid w:val="0"/>
          <w:color w:val="000000" w:themeColor="text1"/>
          <w:spacing w:val="-3"/>
          <w:kern w:val="0"/>
          <w:sz w:val="24"/>
          <w:highlight w:val="none"/>
          <w14:textFill>
            <w14:solidFill>
              <w14:schemeClr w14:val="tx1"/>
            </w14:solidFill>
          </w14:textFill>
        </w:rPr>
        <w:t>系统；</w:t>
      </w:r>
    </w:p>
    <w:p w14:paraId="13DAC9DA">
      <w:pPr>
        <w:widowControl/>
        <w:kinsoku w:val="0"/>
        <w:autoSpaceDE w:val="0"/>
        <w:autoSpaceDN w:val="0"/>
        <w:adjustRightInd w:val="0"/>
        <w:snapToGrid w:val="0"/>
        <w:spacing w:before="183"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(2)系统的软件或数据库出现错误，不能进行正常操作；</w:t>
      </w:r>
    </w:p>
    <w:p w14:paraId="400958D5">
      <w:pPr>
        <w:widowControl/>
        <w:kinsoku w:val="0"/>
        <w:autoSpaceDE w:val="0"/>
        <w:autoSpaceDN w:val="0"/>
        <w:adjustRightInd w:val="0"/>
        <w:snapToGrid w:val="0"/>
        <w:spacing w:before="182" w:line="22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(3)系统发现有安全漏洞，有潜在的泄密危险；</w:t>
      </w:r>
    </w:p>
    <w:p w14:paraId="0EC02757">
      <w:pPr>
        <w:widowControl/>
        <w:kinsoku w:val="0"/>
        <w:autoSpaceDE w:val="0"/>
        <w:autoSpaceDN w:val="0"/>
        <w:adjustRightInd w:val="0"/>
        <w:snapToGrid w:val="0"/>
        <w:spacing w:before="182"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(4)出现断电事故且短时间内无法恢复供电的；</w:t>
      </w:r>
    </w:p>
    <w:p w14:paraId="5F833DC1">
      <w:pPr>
        <w:widowControl/>
        <w:kinsoku w:val="0"/>
        <w:autoSpaceDE w:val="0"/>
        <w:autoSpaceDN w:val="0"/>
        <w:adjustRightInd w:val="0"/>
        <w:snapToGrid w:val="0"/>
        <w:spacing w:before="184" w:line="22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(5)其他无法保证招投标过程正常进行的情形。</w:t>
      </w:r>
    </w:p>
    <w:p w14:paraId="2CCF4C26">
      <w:pPr>
        <w:widowControl/>
        <w:kinsoku w:val="0"/>
        <w:autoSpaceDE w:val="0"/>
        <w:autoSpaceDN w:val="0"/>
        <w:adjustRightInd w:val="0"/>
        <w:snapToGrid w:val="0"/>
        <w:spacing w:before="181" w:line="219" w:lineRule="auto"/>
        <w:ind w:left="49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5.4.2 采取补救措施时，必须对原有资料及信息作出妥善保密处理。</w:t>
      </w:r>
    </w:p>
    <w:p w14:paraId="50633C06">
      <w:pPr>
        <w:rPr>
          <w:color w:val="000000" w:themeColor="text1"/>
          <w:highlight w:val="none"/>
          <w14:textFill>
            <w14:solidFill>
              <w14:schemeClr w14:val="tx1"/>
            </w14:solidFill>
          </w14:textFill>
        </w:rPr>
      </w:pPr>
    </w:p>
    <w:p w14:paraId="6E4FC4B5">
      <w:pPr>
        <w:pStyle w:val="5"/>
        <w:rPr>
          <w:color w:val="000000" w:themeColor="text1"/>
          <w:highlight w:val="none"/>
          <w14:textFill>
            <w14:solidFill>
              <w14:schemeClr w14:val="tx1"/>
            </w14:solidFill>
          </w14:textFill>
        </w:rPr>
      </w:pPr>
      <w:bookmarkStart w:id="63" w:name="_Toc19857"/>
      <w:r>
        <w:rPr>
          <w:color w:val="000000" w:themeColor="text1"/>
          <w:highlight w:val="none"/>
          <w14:textFill>
            <w14:solidFill>
              <w14:schemeClr w14:val="tx1"/>
            </w14:solidFill>
          </w14:textFill>
        </w:rPr>
        <w:t>6. 评标</w:t>
      </w:r>
      <w:bookmarkEnd w:id="63"/>
    </w:p>
    <w:p w14:paraId="0A52FBE6">
      <w:pPr>
        <w:pStyle w:val="6"/>
        <w:spacing w:before="218" w:after="156"/>
        <w:rPr>
          <w:color w:val="000000" w:themeColor="text1"/>
          <w:highlight w:val="none"/>
          <w14:textFill>
            <w14:solidFill>
              <w14:schemeClr w14:val="tx1"/>
            </w14:solidFill>
          </w14:textFill>
        </w:rPr>
      </w:pPr>
      <w:bookmarkStart w:id="64" w:name="_Toc4624"/>
      <w:r>
        <w:rPr>
          <w:color w:val="000000" w:themeColor="text1"/>
          <w:highlight w:val="none"/>
          <w14:textFill>
            <w14:solidFill>
              <w14:schemeClr w14:val="tx1"/>
            </w14:solidFill>
          </w14:textFill>
        </w:rPr>
        <w:t>6.1 评标委员会</w:t>
      </w:r>
      <w:bookmarkEnd w:id="64"/>
    </w:p>
    <w:p w14:paraId="7E2D48F9">
      <w:pPr>
        <w:widowControl/>
        <w:autoSpaceDE w:val="0"/>
        <w:autoSpaceDN w:val="0"/>
        <w:adjustRightInd w:val="0"/>
        <w:snapToGrid w:val="0"/>
        <w:spacing w:line="360" w:lineRule="auto"/>
        <w:ind w:left="7"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6.1.1 评标由招标人依法组建的评标委员会负责。评标委员会由招标人（或其委</w:t>
      </w:r>
      <w:r>
        <w:rPr>
          <w:rFonts w:ascii="宋体" w:hAnsi="宋体" w:cs="宋体"/>
          <w:snapToGrid w:val="0"/>
          <w:color w:val="000000" w:themeColor="text1"/>
          <w:spacing w:val="-6"/>
          <w:kern w:val="0"/>
          <w:sz w:val="24"/>
          <w:highlight w:val="none"/>
          <w14:textFill>
            <w14:solidFill>
              <w14:schemeClr w14:val="tx1"/>
            </w14:solidFill>
          </w14:textFill>
        </w:rPr>
        <w:t>派）</w:t>
      </w:r>
      <w:r>
        <w:rPr>
          <w:rFonts w:ascii="宋体" w:hAnsi="宋体" w:cs="宋体"/>
          <w:snapToGrid w:val="0"/>
          <w:color w:val="000000" w:themeColor="text1"/>
          <w:spacing w:val="-2"/>
          <w:kern w:val="0"/>
          <w:sz w:val="24"/>
          <w:highlight w:val="none"/>
          <w14:textFill>
            <w14:solidFill>
              <w14:schemeClr w14:val="tx1"/>
            </w14:solidFill>
          </w14:textFill>
        </w:rPr>
        <w:t>代表（简称“招标人代表</w:t>
      </w:r>
      <w:r>
        <w:rPr>
          <w:rFonts w:ascii="宋体" w:hAnsi="宋体" w:cs="宋体"/>
          <w:snapToGrid w:val="0"/>
          <w:color w:val="000000" w:themeColor="text1"/>
          <w:spacing w:val="-8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7"/>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以及有关技术、经济等方面的专家组成。评</w:t>
      </w:r>
      <w:r>
        <w:rPr>
          <w:rFonts w:ascii="宋体" w:hAnsi="宋体" w:cs="宋体"/>
          <w:snapToGrid w:val="0"/>
          <w:color w:val="000000" w:themeColor="text1"/>
          <w:spacing w:val="-3"/>
          <w:kern w:val="0"/>
          <w:sz w:val="24"/>
          <w:highlight w:val="none"/>
          <w14:textFill>
            <w14:solidFill>
              <w14:schemeClr w14:val="tx1"/>
            </w14:solidFill>
          </w14:textFill>
        </w:rPr>
        <w:t>标委员会成</w:t>
      </w:r>
      <w:r>
        <w:rPr>
          <w:rFonts w:ascii="宋体" w:hAnsi="宋体" w:cs="宋体"/>
          <w:snapToGrid w:val="0"/>
          <w:color w:val="000000" w:themeColor="text1"/>
          <w:kern w:val="0"/>
          <w:sz w:val="24"/>
          <w:highlight w:val="none"/>
          <w14:textFill>
            <w14:solidFill>
              <w14:schemeClr w14:val="tx1"/>
            </w14:solidFill>
          </w14:textFill>
        </w:rPr>
        <w:t>员人数以及技术、经济等方面专家的确定方式</w:t>
      </w:r>
      <w:r>
        <w:rPr>
          <w:rFonts w:ascii="宋体" w:hAnsi="宋体" w:cs="宋体"/>
          <w:snapToGrid w:val="0"/>
          <w:color w:val="000000" w:themeColor="text1"/>
          <w:spacing w:val="-1"/>
          <w:kern w:val="0"/>
          <w:sz w:val="24"/>
          <w:highlight w:val="none"/>
          <w14:textFill>
            <w14:solidFill>
              <w14:schemeClr w14:val="tx1"/>
            </w14:solidFill>
          </w14:textFill>
        </w:rPr>
        <w:t>见投标人须知前附表。</w:t>
      </w:r>
    </w:p>
    <w:p w14:paraId="7FC81583">
      <w:pPr>
        <w:widowControl/>
        <w:autoSpaceDE w:val="0"/>
        <w:autoSpaceDN w:val="0"/>
        <w:adjustRightInd w:val="0"/>
        <w:snapToGrid w:val="0"/>
        <w:spacing w:line="360" w:lineRule="auto"/>
        <w:ind w:left="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6.1.2 评标委员会成员有下列情形之一的，应主动提出回避：</w:t>
      </w:r>
    </w:p>
    <w:p w14:paraId="5B868DFF">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（1）为负责招标项目监督管理的交通运输主管部门的工作人员；</w:t>
      </w:r>
    </w:p>
    <w:p w14:paraId="1BA5D090">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（2）与投标人法定代表人或者授权参与投标的代理人有近亲属关系的人员；</w:t>
      </w:r>
    </w:p>
    <w:p w14:paraId="0ECEE959">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（3）为投标人的工作人员或退休或离职未满</w:t>
      </w:r>
      <w:r>
        <w:rPr>
          <w:rFonts w:ascii="宋体" w:hAnsi="宋体" w:cs="宋体"/>
          <w:snapToGrid w:val="0"/>
          <w:color w:val="000000" w:themeColor="text1"/>
          <w:spacing w:val="-4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年的人员；</w:t>
      </w:r>
    </w:p>
    <w:p w14:paraId="56B4190A">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（4）与投标人有其他利害关系，可能影响评标活动公正性；</w:t>
      </w:r>
    </w:p>
    <w:p w14:paraId="6F4CB415">
      <w:pPr>
        <w:widowControl/>
        <w:autoSpaceDE w:val="0"/>
        <w:autoSpaceDN w:val="0"/>
        <w:adjustRightInd w:val="0"/>
        <w:snapToGrid w:val="0"/>
        <w:spacing w:line="360" w:lineRule="auto"/>
        <w:ind w:left="489" w:right="18" w:firstLine="1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（5）在与招标投标有关的活动中有过违法违规行为、曾受过行政处罚或刑事处罚。</w:t>
      </w:r>
      <w:r>
        <w:rPr>
          <w:rFonts w:ascii="宋体" w:hAnsi="宋体" w:cs="宋体"/>
          <w:snapToGrid w:val="0"/>
          <w:color w:val="000000" w:themeColor="text1"/>
          <w:spacing w:val="-2"/>
          <w:kern w:val="0"/>
          <w:sz w:val="24"/>
          <w:highlight w:val="none"/>
          <w14:textFill>
            <w14:solidFill>
              <w14:schemeClr w14:val="tx1"/>
            </w14:solidFill>
          </w14:textFill>
        </w:rPr>
        <w:t>招标人及其子公司、招标人下属单位、招标人的上级主管部门或者控股公司、招标</w:t>
      </w:r>
    </w:p>
    <w:p w14:paraId="482496B2">
      <w:pPr>
        <w:widowControl/>
        <w:autoSpaceDE w:val="0"/>
        <w:autoSpaceDN w:val="0"/>
        <w:adjustRightInd w:val="0"/>
        <w:snapToGrid w:val="0"/>
        <w:spacing w:line="360" w:lineRule="auto"/>
        <w:ind w:left="11" w:right="99" w:hanging="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代理机构的工作人员或者退休人员不得以评标专家身份参与本单位招标或者招</w:t>
      </w:r>
      <w:r>
        <w:rPr>
          <w:rFonts w:ascii="宋体" w:hAnsi="宋体" w:cs="宋体"/>
          <w:snapToGrid w:val="0"/>
          <w:color w:val="000000" w:themeColor="text1"/>
          <w:spacing w:val="4"/>
          <w:kern w:val="0"/>
          <w:sz w:val="24"/>
          <w:highlight w:val="none"/>
          <w14:textFill>
            <w14:solidFill>
              <w14:schemeClr w14:val="tx1"/>
            </w14:solidFill>
          </w14:textFill>
        </w:rPr>
        <w:t>标代理</w:t>
      </w:r>
      <w:r>
        <w:rPr>
          <w:rFonts w:ascii="宋体" w:hAnsi="宋体" w:cs="宋体"/>
          <w:snapToGrid w:val="0"/>
          <w:color w:val="000000" w:themeColor="text1"/>
          <w:spacing w:val="-3"/>
          <w:kern w:val="0"/>
          <w:sz w:val="24"/>
          <w:highlight w:val="none"/>
          <w14:textFill>
            <w14:solidFill>
              <w14:schemeClr w14:val="tx1"/>
            </w14:solidFill>
          </w14:textFill>
        </w:rPr>
        <w:t>项目的评标。</w:t>
      </w:r>
    </w:p>
    <w:p w14:paraId="2F86392C">
      <w:pPr>
        <w:widowControl/>
        <w:autoSpaceDE w:val="0"/>
        <w:autoSpaceDN w:val="0"/>
        <w:adjustRightInd w:val="0"/>
        <w:snapToGrid w:val="0"/>
        <w:spacing w:line="360" w:lineRule="auto"/>
        <w:ind w:left="11" w:right="99" w:firstLine="479"/>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6.1.3 评标过程中，评标委员会成员有回避事由、擅离职守或因健康等原因不能继续评标的，招标人有权更换。被更换的评标委员会成员作出的评审结论无效，由更换后</w:t>
      </w:r>
      <w:r>
        <w:rPr>
          <w:rFonts w:ascii="宋体" w:hAnsi="宋体" w:cs="宋体"/>
          <w:snapToGrid w:val="0"/>
          <w:color w:val="000000" w:themeColor="text1"/>
          <w:spacing w:val="-1"/>
          <w:kern w:val="0"/>
          <w:sz w:val="24"/>
          <w:highlight w:val="none"/>
          <w14:textFill>
            <w14:solidFill>
              <w14:schemeClr w14:val="tx1"/>
            </w14:solidFill>
          </w14:textFill>
        </w:rPr>
        <w:t>的评标委员会成员重新进行评审。</w:t>
      </w:r>
    </w:p>
    <w:p w14:paraId="3B1ACFED">
      <w:pPr>
        <w:pStyle w:val="6"/>
        <w:spacing w:before="218" w:after="156"/>
        <w:rPr>
          <w:color w:val="000000" w:themeColor="text1"/>
          <w:highlight w:val="none"/>
          <w14:textFill>
            <w14:solidFill>
              <w14:schemeClr w14:val="tx1"/>
            </w14:solidFill>
          </w14:textFill>
        </w:rPr>
      </w:pPr>
      <w:bookmarkStart w:id="65" w:name="_Toc8778"/>
      <w:r>
        <w:rPr>
          <w:color w:val="000000" w:themeColor="text1"/>
          <w:highlight w:val="none"/>
          <w14:textFill>
            <w14:solidFill>
              <w14:schemeClr w14:val="tx1"/>
            </w14:solidFill>
          </w14:textFill>
        </w:rPr>
        <w:t>6.2 评标原则</w:t>
      </w:r>
      <w:bookmarkEnd w:id="65"/>
    </w:p>
    <w:p w14:paraId="38FC51E5">
      <w:pPr>
        <w:widowControl/>
        <w:kinsoku w:val="0"/>
        <w:autoSpaceDE w:val="0"/>
        <w:autoSpaceDN w:val="0"/>
        <w:adjustRightInd w:val="0"/>
        <w:snapToGrid w:val="0"/>
        <w:spacing w:before="181" w:line="219"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评标活动遵循公平、公正、科学和择优的原则。</w:t>
      </w:r>
    </w:p>
    <w:p w14:paraId="18FAD095">
      <w:pPr>
        <w:pStyle w:val="6"/>
        <w:spacing w:before="218" w:after="156"/>
        <w:rPr>
          <w:color w:val="000000" w:themeColor="text1"/>
          <w:highlight w:val="none"/>
          <w14:textFill>
            <w14:solidFill>
              <w14:schemeClr w14:val="tx1"/>
            </w14:solidFill>
          </w14:textFill>
        </w:rPr>
      </w:pPr>
      <w:bookmarkStart w:id="66" w:name="_Toc7079"/>
      <w:r>
        <w:rPr>
          <w:color w:val="000000" w:themeColor="text1"/>
          <w:highlight w:val="none"/>
          <w14:textFill>
            <w14:solidFill>
              <w14:schemeClr w14:val="tx1"/>
            </w14:solidFill>
          </w14:textFill>
        </w:rPr>
        <w:t>6.3 评标</w:t>
      </w:r>
      <w:bookmarkEnd w:id="66"/>
      <w:bookmarkStart w:id="67" w:name="bookmark173"/>
      <w:bookmarkEnd w:id="67"/>
    </w:p>
    <w:p w14:paraId="5F3C5CA4">
      <w:pPr>
        <w:widowControl/>
        <w:autoSpaceDE w:val="0"/>
        <w:autoSpaceDN w:val="0"/>
        <w:adjustRightInd w:val="0"/>
        <w:snapToGrid w:val="0"/>
        <w:spacing w:line="360" w:lineRule="auto"/>
        <w:ind w:left="7" w:right="154" w:firstLine="482"/>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6.3.1 评标委员会按照第三章“评标办法 ”规定的方法、评审因素、标准和程序对投标文件进行评审。第三章“评标办法 ”没有规定的方法、评审因素和标准，不作为评标依据。</w:t>
      </w:r>
    </w:p>
    <w:p w14:paraId="0AB6A328">
      <w:pPr>
        <w:widowControl/>
        <w:autoSpaceDE w:val="0"/>
        <w:autoSpaceDN w:val="0"/>
        <w:adjustRightInd w:val="0"/>
        <w:snapToGrid w:val="0"/>
        <w:spacing w:line="360" w:lineRule="auto"/>
        <w:ind w:left="7" w:right="154"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6.3.2 评标完成后，评标委员会应向招标人提交书</w:t>
      </w:r>
      <w:r>
        <w:rPr>
          <w:rFonts w:ascii="宋体" w:hAnsi="宋体" w:cs="宋体"/>
          <w:snapToGrid w:val="0"/>
          <w:color w:val="000000" w:themeColor="text1"/>
          <w:spacing w:val="-2"/>
          <w:kern w:val="0"/>
          <w:sz w:val="24"/>
          <w:highlight w:val="none"/>
          <w14:textFill>
            <w14:solidFill>
              <w14:schemeClr w14:val="tx1"/>
            </w14:solidFill>
          </w14:textFill>
        </w:rPr>
        <w:t>面评标报告和中标候选人名单。</w:t>
      </w:r>
      <w:r>
        <w:rPr>
          <w:rFonts w:ascii="宋体" w:hAnsi="宋体" w:cs="宋体"/>
          <w:snapToGrid w:val="0"/>
          <w:color w:val="000000" w:themeColor="text1"/>
          <w:spacing w:val="-1"/>
          <w:kern w:val="0"/>
          <w:sz w:val="24"/>
          <w:highlight w:val="none"/>
          <w14:textFill>
            <w14:solidFill>
              <w14:schemeClr w14:val="tx1"/>
            </w14:solidFill>
          </w14:textFill>
        </w:rPr>
        <w:t>评标委员会推荐中标候选人的人数见投标人须知前附表。</w:t>
      </w:r>
    </w:p>
    <w:p w14:paraId="39251907">
      <w:pPr>
        <w:widowControl/>
        <w:autoSpaceDE w:val="0"/>
        <w:autoSpaceDN w:val="0"/>
        <w:adjustRightInd w:val="0"/>
        <w:snapToGrid w:val="0"/>
        <w:spacing w:line="360" w:lineRule="auto"/>
        <w:ind w:left="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6.3.3 评标及补救措施</w:t>
      </w:r>
    </w:p>
    <w:p w14:paraId="4BD4E89C">
      <w:pPr>
        <w:widowControl/>
        <w:autoSpaceDE w:val="0"/>
        <w:autoSpaceDN w:val="0"/>
        <w:adjustRightInd w:val="0"/>
        <w:snapToGrid w:val="0"/>
        <w:spacing w:line="360" w:lineRule="auto"/>
        <w:ind w:left="8" w:right="163" w:firstLine="479"/>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评标委员会按照本章第6.3.1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项的规定在电子评标系统上</w:t>
      </w:r>
      <w:r>
        <w:rPr>
          <w:rFonts w:ascii="宋体" w:hAnsi="宋体" w:cs="宋体"/>
          <w:snapToGrid w:val="0"/>
          <w:color w:val="000000" w:themeColor="text1"/>
          <w:spacing w:val="-1"/>
          <w:kern w:val="0"/>
          <w:sz w:val="24"/>
          <w:highlight w:val="none"/>
          <w14:textFill>
            <w14:solidFill>
              <w14:schemeClr w14:val="tx1"/>
            </w14:solidFill>
          </w14:textFill>
        </w:rPr>
        <w:t>开展评审工作。若遇不可</w:t>
      </w:r>
      <w:r>
        <w:rPr>
          <w:rFonts w:ascii="宋体" w:hAnsi="宋体" w:cs="宋体"/>
          <w:snapToGrid w:val="0"/>
          <w:color w:val="000000" w:themeColor="text1"/>
          <w:spacing w:val="-2"/>
          <w:kern w:val="0"/>
          <w:sz w:val="24"/>
          <w:highlight w:val="none"/>
          <w14:textFill>
            <w14:solidFill>
              <w14:schemeClr w14:val="tx1"/>
            </w14:solidFill>
          </w14:textFill>
        </w:rPr>
        <w:t>抗力发生（包括网络瘫痪、服务器损坏、交易系统故障短期无法恢复等因素</w:t>
      </w:r>
      <w:r>
        <w:rPr>
          <w:rFonts w:ascii="宋体" w:hAnsi="宋体" w:cs="宋体"/>
          <w:snapToGrid w:val="0"/>
          <w:color w:val="000000" w:themeColor="text1"/>
          <w:spacing w:val="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导致系</w:t>
      </w:r>
      <w:r>
        <w:rPr>
          <w:rFonts w:ascii="宋体" w:hAnsi="宋体" w:cs="宋体"/>
          <w:snapToGrid w:val="0"/>
          <w:color w:val="000000" w:themeColor="text1"/>
          <w:kern w:val="0"/>
          <w:sz w:val="24"/>
          <w:highlight w:val="none"/>
          <w14:textFill>
            <w14:solidFill>
              <w14:schemeClr w14:val="tx1"/>
            </w14:solidFill>
          </w14:textFill>
        </w:rPr>
        <w:t>统无法正常运行，应中止评标，并在恢复正</w:t>
      </w:r>
      <w:r>
        <w:rPr>
          <w:rFonts w:ascii="宋体" w:hAnsi="宋体" w:cs="宋体"/>
          <w:snapToGrid w:val="0"/>
          <w:color w:val="000000" w:themeColor="text1"/>
          <w:spacing w:val="-1"/>
          <w:kern w:val="0"/>
          <w:sz w:val="24"/>
          <w:highlight w:val="none"/>
          <w14:textFill>
            <w14:solidFill>
              <w14:schemeClr w14:val="tx1"/>
            </w14:solidFill>
          </w14:textFill>
        </w:rPr>
        <w:t>常后及时安排时间评标。</w:t>
      </w:r>
    </w:p>
    <w:p w14:paraId="4993A796">
      <w:pPr>
        <w:pStyle w:val="5"/>
        <w:rPr>
          <w:color w:val="000000" w:themeColor="text1"/>
          <w:highlight w:val="none"/>
          <w14:textFill>
            <w14:solidFill>
              <w14:schemeClr w14:val="tx1"/>
            </w14:solidFill>
          </w14:textFill>
        </w:rPr>
      </w:pPr>
      <w:bookmarkStart w:id="68" w:name="_Toc10207"/>
      <w:r>
        <w:rPr>
          <w:color w:val="000000" w:themeColor="text1"/>
          <w:highlight w:val="none"/>
          <w14:textFill>
            <w14:solidFill>
              <w14:schemeClr w14:val="tx1"/>
            </w14:solidFill>
          </w14:textFill>
        </w:rPr>
        <w:t>7. 合同授予</w:t>
      </w:r>
      <w:bookmarkEnd w:id="68"/>
    </w:p>
    <w:p w14:paraId="6CF30D48">
      <w:pPr>
        <w:pStyle w:val="6"/>
        <w:spacing w:before="218" w:after="156"/>
        <w:rPr>
          <w:color w:val="000000" w:themeColor="text1"/>
          <w:highlight w:val="none"/>
          <w14:textFill>
            <w14:solidFill>
              <w14:schemeClr w14:val="tx1"/>
            </w14:solidFill>
          </w14:textFill>
        </w:rPr>
      </w:pPr>
      <w:bookmarkStart w:id="69" w:name="_Toc30457"/>
      <w:r>
        <w:rPr>
          <w:color w:val="000000" w:themeColor="text1"/>
          <w:highlight w:val="none"/>
          <w14:textFill>
            <w14:solidFill>
              <w14:schemeClr w14:val="tx1"/>
            </w14:solidFill>
          </w14:textFill>
        </w:rPr>
        <w:t>7.1 中标候选人公示</w:t>
      </w:r>
      <w:bookmarkEnd w:id="69"/>
    </w:p>
    <w:p w14:paraId="1F9F053E">
      <w:pPr>
        <w:widowControl/>
        <w:autoSpaceDE w:val="0"/>
        <w:autoSpaceDN w:val="0"/>
        <w:adjustRightInd w:val="0"/>
        <w:snapToGrid w:val="0"/>
        <w:spacing w:line="360" w:lineRule="auto"/>
        <w:ind w:left="8" w:right="163"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7.1.1</w:t>
      </w:r>
      <w:r>
        <w:rPr>
          <w:rFonts w:ascii="宋体" w:hAnsi="宋体" w:cs="宋体"/>
          <w:snapToGrid w:val="0"/>
          <w:color w:val="000000" w:themeColor="text1"/>
          <w:spacing w:val="-40"/>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招标人在收到评标报告之日起3日内，按照投标人须知前附表规定的公示媒</w:t>
      </w:r>
      <w:r>
        <w:rPr>
          <w:rFonts w:ascii="宋体" w:hAnsi="宋体" w:cs="宋体"/>
          <w:snapToGrid w:val="0"/>
          <w:color w:val="000000" w:themeColor="text1"/>
          <w:spacing w:val="-2"/>
          <w:kern w:val="0"/>
          <w:sz w:val="24"/>
          <w:highlight w:val="none"/>
          <w14:textFill>
            <w14:solidFill>
              <w14:schemeClr w14:val="tx1"/>
            </w14:solidFill>
          </w14:textFill>
        </w:rPr>
        <w:t>介和期限公示中标候选人，公示期不得少于3日，公示内容包</w:t>
      </w:r>
      <w:r>
        <w:rPr>
          <w:rFonts w:ascii="宋体" w:hAnsi="宋体" w:cs="宋体"/>
          <w:snapToGrid w:val="0"/>
          <w:color w:val="000000" w:themeColor="text1"/>
          <w:spacing w:val="-3"/>
          <w:kern w:val="0"/>
          <w:sz w:val="24"/>
          <w:highlight w:val="none"/>
          <w14:textFill>
            <w14:solidFill>
              <w14:schemeClr w14:val="tx1"/>
            </w14:solidFill>
          </w14:textFill>
        </w:rPr>
        <w:t>括：</w:t>
      </w:r>
    </w:p>
    <w:p w14:paraId="6B26D563">
      <w:pPr>
        <w:widowControl/>
        <w:autoSpaceDE w:val="0"/>
        <w:autoSpaceDN w:val="0"/>
        <w:adjustRightInd w:val="0"/>
        <w:snapToGrid w:val="0"/>
        <w:spacing w:line="360" w:lineRule="auto"/>
        <w:ind w:left="8" w:right="163"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（1）中标候选人排序、名称、投标报价，对工程质量要求、安全目标和工期的响</w:t>
      </w:r>
      <w:r>
        <w:rPr>
          <w:rFonts w:ascii="宋体" w:hAnsi="宋体" w:cs="宋体"/>
          <w:snapToGrid w:val="0"/>
          <w:color w:val="000000" w:themeColor="text1"/>
          <w:spacing w:val="-3"/>
          <w:kern w:val="0"/>
          <w:sz w:val="24"/>
          <w:highlight w:val="none"/>
          <w14:textFill>
            <w14:solidFill>
              <w14:schemeClr w14:val="tx1"/>
            </w14:solidFill>
          </w14:textFill>
        </w:rPr>
        <w:t>应情况；</w:t>
      </w:r>
    </w:p>
    <w:p w14:paraId="538B8710">
      <w:pPr>
        <w:widowControl/>
        <w:autoSpaceDE w:val="0"/>
        <w:autoSpaceDN w:val="0"/>
        <w:adjustRightInd w:val="0"/>
        <w:snapToGrid w:val="0"/>
        <w:spacing w:line="360" w:lineRule="auto"/>
        <w:ind w:left="11" w:right="162" w:firstLine="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（2）中标候选人在投标文件中承诺的项目经理（含备选人，如有）和项</w:t>
      </w:r>
      <w:r>
        <w:rPr>
          <w:rFonts w:ascii="宋体" w:hAnsi="宋体" w:cs="宋体"/>
          <w:snapToGrid w:val="0"/>
          <w:color w:val="000000" w:themeColor="text1"/>
          <w:spacing w:val="-6"/>
          <w:kern w:val="0"/>
          <w:sz w:val="24"/>
          <w:highlight w:val="none"/>
          <w14:textFill>
            <w14:solidFill>
              <w14:schemeClr w14:val="tx1"/>
            </w14:solidFill>
          </w14:textFill>
        </w:rPr>
        <w:t>目总工（含</w:t>
      </w:r>
      <w:r>
        <w:rPr>
          <w:rFonts w:ascii="宋体" w:hAnsi="宋体" w:cs="宋体"/>
          <w:snapToGrid w:val="0"/>
          <w:color w:val="000000" w:themeColor="text1"/>
          <w:spacing w:val="-1"/>
          <w:kern w:val="0"/>
          <w:sz w:val="24"/>
          <w:highlight w:val="none"/>
          <w14:textFill>
            <w14:solidFill>
              <w14:schemeClr w14:val="tx1"/>
            </w14:solidFill>
          </w14:textFill>
        </w:rPr>
        <w:t>备选人，如有）姓名、个人业绩、相关证书名称和编号；</w:t>
      </w:r>
    </w:p>
    <w:p w14:paraId="75067660">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（3）中标候选人在投标文件中填报的项目业绩；</w:t>
      </w:r>
    </w:p>
    <w:p w14:paraId="64C541C6">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（4）被否决投标的投标人名称、否决依据和原因；</w:t>
      </w:r>
    </w:p>
    <w:p w14:paraId="26D92E98">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（5）提出异议的渠道和方式；</w:t>
      </w:r>
    </w:p>
    <w:p w14:paraId="6710B577">
      <w:pPr>
        <w:widowControl/>
        <w:autoSpaceDE w:val="0"/>
        <w:autoSpaceDN w:val="0"/>
        <w:adjustRightInd w:val="0"/>
        <w:snapToGrid w:val="0"/>
        <w:spacing w:line="360" w:lineRule="auto"/>
        <w:ind w:left="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（6）投标人须知前附表规定公示的其他内容。</w:t>
      </w:r>
    </w:p>
    <w:p w14:paraId="2C4800C5">
      <w:pPr>
        <w:pStyle w:val="6"/>
        <w:spacing w:before="218" w:after="156"/>
        <w:rPr>
          <w:color w:val="000000" w:themeColor="text1"/>
          <w:highlight w:val="none"/>
          <w14:textFill>
            <w14:solidFill>
              <w14:schemeClr w14:val="tx1"/>
            </w14:solidFill>
          </w14:textFill>
        </w:rPr>
      </w:pPr>
      <w:bookmarkStart w:id="70" w:name="_Toc22616"/>
      <w:r>
        <w:rPr>
          <w:color w:val="000000" w:themeColor="text1"/>
          <w:highlight w:val="none"/>
          <w14:textFill>
            <w14:solidFill>
              <w14:schemeClr w14:val="tx1"/>
            </w14:solidFill>
          </w14:textFill>
        </w:rPr>
        <w:t>7.2 评标结果异议</w:t>
      </w:r>
      <w:bookmarkEnd w:id="70"/>
    </w:p>
    <w:p w14:paraId="233724CF">
      <w:pPr>
        <w:widowControl/>
        <w:kinsoku w:val="0"/>
        <w:autoSpaceDE w:val="0"/>
        <w:autoSpaceDN w:val="0"/>
        <w:adjustRightInd w:val="0"/>
        <w:snapToGrid w:val="0"/>
        <w:spacing w:before="183" w:line="360" w:lineRule="auto"/>
        <w:ind w:left="8" w:firstLine="482"/>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投标人或其他利害关系人对依法必须进行招标的项目的评标结果有异议的，应在中</w:t>
      </w:r>
      <w:r>
        <w:rPr>
          <w:rFonts w:ascii="宋体" w:hAnsi="宋体" w:cs="宋体"/>
          <w:snapToGrid w:val="0"/>
          <w:color w:val="000000" w:themeColor="text1"/>
          <w:spacing w:val="-3"/>
          <w:kern w:val="0"/>
          <w:sz w:val="24"/>
          <w:highlight w:val="none"/>
          <w14:textFill>
            <w14:solidFill>
              <w14:schemeClr w14:val="tx1"/>
            </w14:solidFill>
          </w14:textFill>
        </w:rPr>
        <w:t>标候选人公示期间提出。招标人将在收到异议之日起</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3 日内作出答复；作出答复前，将</w:t>
      </w:r>
      <w:r>
        <w:rPr>
          <w:rFonts w:ascii="宋体" w:hAnsi="宋体" w:cs="宋体"/>
          <w:snapToGrid w:val="0"/>
          <w:color w:val="000000" w:themeColor="text1"/>
          <w:kern w:val="0"/>
          <w:sz w:val="24"/>
          <w:highlight w:val="none"/>
          <w14:textFill>
            <w14:solidFill>
              <w14:schemeClr w14:val="tx1"/>
            </w14:solidFill>
          </w14:textFill>
        </w:rPr>
        <w:t>暂停招标投标活动。提出异议与作出答复均应通过“</w:t>
      </w:r>
      <w:r>
        <w:rPr>
          <w:rFonts w:ascii="宋体" w:hAnsi="宋体" w:cs="宋体"/>
          <w:snapToGrid w:val="0"/>
          <w:color w:val="000000" w:themeColor="text1"/>
          <w:spacing w:val="-80"/>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电子交易平台</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”在“异议与答复</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菜单以书面形式进行。</w:t>
      </w:r>
    </w:p>
    <w:p w14:paraId="56D37164">
      <w:pPr>
        <w:pStyle w:val="6"/>
        <w:spacing w:before="218" w:after="156"/>
        <w:rPr>
          <w:color w:val="000000" w:themeColor="text1"/>
          <w:highlight w:val="none"/>
          <w14:textFill>
            <w14:solidFill>
              <w14:schemeClr w14:val="tx1"/>
            </w14:solidFill>
          </w14:textFill>
        </w:rPr>
      </w:pPr>
      <w:bookmarkStart w:id="71" w:name="_Toc2666"/>
      <w:r>
        <w:rPr>
          <w:color w:val="000000" w:themeColor="text1"/>
          <w:highlight w:val="none"/>
          <w14:textFill>
            <w14:solidFill>
              <w14:schemeClr w14:val="tx1"/>
            </w14:solidFill>
          </w14:textFill>
        </w:rPr>
        <w:t>7.3 中标候选人履约能力审查</w:t>
      </w:r>
      <w:bookmarkEnd w:id="71"/>
    </w:p>
    <w:p w14:paraId="7971EA4B">
      <w:pPr>
        <w:widowControl/>
        <w:kinsoku w:val="0"/>
        <w:autoSpaceDE w:val="0"/>
        <w:autoSpaceDN w:val="0"/>
        <w:adjustRightInd w:val="0"/>
        <w:snapToGrid w:val="0"/>
        <w:spacing w:before="182" w:line="362" w:lineRule="auto"/>
        <w:ind w:left="9" w:right="163" w:firstLine="501"/>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中标候选人的经营、财务状况发生较大变化或存在违法行为，</w:t>
      </w:r>
      <w:r>
        <w:rPr>
          <w:rFonts w:ascii="宋体" w:hAnsi="宋体" w:cs="宋体"/>
          <w:snapToGrid w:val="0"/>
          <w:color w:val="000000" w:themeColor="text1"/>
          <w:spacing w:val="-3"/>
          <w:kern w:val="0"/>
          <w:sz w:val="24"/>
          <w:highlight w:val="none"/>
          <w14:textFill>
            <w14:solidFill>
              <w14:schemeClr w14:val="tx1"/>
            </w14:solidFill>
          </w14:textFill>
        </w:rPr>
        <w:t>招标人认为可能影响</w:t>
      </w:r>
      <w:r>
        <w:rPr>
          <w:rFonts w:ascii="宋体" w:hAnsi="宋体" w:cs="宋体"/>
          <w:snapToGrid w:val="0"/>
          <w:color w:val="000000" w:themeColor="text1"/>
          <w:spacing w:val="-2"/>
          <w:kern w:val="0"/>
          <w:sz w:val="24"/>
          <w:highlight w:val="none"/>
          <w14:textFill>
            <w14:solidFill>
              <w14:schemeClr w14:val="tx1"/>
            </w14:solidFill>
          </w14:textFill>
        </w:rPr>
        <w:t>其履约能力的，将在发出中标通知书前提请原评标委员会按照招标文件规定的标准和方法进行审查确认。</w:t>
      </w:r>
    </w:p>
    <w:p w14:paraId="31A061E9">
      <w:pPr>
        <w:pStyle w:val="6"/>
        <w:spacing w:before="218" w:after="156"/>
        <w:rPr>
          <w:color w:val="000000" w:themeColor="text1"/>
          <w:highlight w:val="none"/>
          <w14:textFill>
            <w14:solidFill>
              <w14:schemeClr w14:val="tx1"/>
            </w14:solidFill>
          </w14:textFill>
        </w:rPr>
      </w:pPr>
      <w:bookmarkStart w:id="72" w:name="_Toc27413"/>
      <w:r>
        <w:rPr>
          <w:color w:val="000000" w:themeColor="text1"/>
          <w:highlight w:val="none"/>
          <w14:textFill>
            <w14:solidFill>
              <w14:schemeClr w14:val="tx1"/>
            </w14:solidFill>
          </w14:textFill>
        </w:rPr>
        <w:t>7.4 定标</w:t>
      </w:r>
      <w:bookmarkEnd w:id="72"/>
    </w:p>
    <w:p w14:paraId="3BC6F00E">
      <w:pPr>
        <w:widowControl/>
        <w:kinsoku w:val="0"/>
        <w:autoSpaceDE w:val="0"/>
        <w:autoSpaceDN w:val="0"/>
        <w:adjustRightInd w:val="0"/>
        <w:snapToGrid w:val="0"/>
        <w:spacing w:before="181" w:line="219" w:lineRule="auto"/>
        <w:jc w:val="center"/>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按照投标人须知前附表的规定，招标人或招标人授权的评标委员会依法确定中标人。</w:t>
      </w:r>
    </w:p>
    <w:p w14:paraId="16662F79">
      <w:pPr>
        <w:pStyle w:val="6"/>
        <w:spacing w:before="218" w:after="156"/>
        <w:rPr>
          <w:color w:val="000000" w:themeColor="text1"/>
          <w:highlight w:val="none"/>
          <w14:textFill>
            <w14:solidFill>
              <w14:schemeClr w14:val="tx1"/>
            </w14:solidFill>
          </w14:textFill>
        </w:rPr>
      </w:pPr>
      <w:bookmarkStart w:id="73" w:name="_Toc14368"/>
      <w:r>
        <w:rPr>
          <w:color w:val="000000" w:themeColor="text1"/>
          <w:highlight w:val="none"/>
          <w14:textFill>
            <w14:solidFill>
              <w14:schemeClr w14:val="tx1"/>
            </w14:solidFill>
          </w14:textFill>
        </w:rPr>
        <w:t>7.5 中标通知</w:t>
      </w:r>
      <w:bookmarkEnd w:id="73"/>
    </w:p>
    <w:p w14:paraId="0849ACC9">
      <w:pPr>
        <w:widowControl/>
        <w:kinsoku w:val="0"/>
        <w:autoSpaceDE w:val="0"/>
        <w:autoSpaceDN w:val="0"/>
        <w:adjustRightInd w:val="0"/>
        <w:snapToGrid w:val="0"/>
        <w:spacing w:before="181" w:line="360" w:lineRule="auto"/>
        <w:ind w:left="9" w:right="200"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在本章第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3.3</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款规定的投标有效期内，招标人以投标人须知前附</w:t>
      </w:r>
      <w:r>
        <w:rPr>
          <w:rFonts w:ascii="宋体" w:hAnsi="宋体" w:cs="宋体"/>
          <w:snapToGrid w:val="0"/>
          <w:color w:val="000000" w:themeColor="text1"/>
          <w:spacing w:val="-3"/>
          <w:kern w:val="0"/>
          <w:sz w:val="24"/>
          <w:highlight w:val="none"/>
          <w14:textFill>
            <w14:solidFill>
              <w14:schemeClr w14:val="tx1"/>
            </w14:solidFill>
          </w14:textFill>
        </w:rPr>
        <w:t>表规定的形式向中</w:t>
      </w:r>
      <w:r>
        <w:rPr>
          <w:rFonts w:ascii="宋体" w:hAnsi="宋体" w:cs="宋体"/>
          <w:snapToGrid w:val="0"/>
          <w:color w:val="000000" w:themeColor="text1"/>
          <w:spacing w:val="-1"/>
          <w:kern w:val="0"/>
          <w:sz w:val="24"/>
          <w:highlight w:val="none"/>
          <w14:textFill>
            <w14:solidFill>
              <w14:schemeClr w14:val="tx1"/>
            </w14:solidFill>
          </w14:textFill>
        </w:rPr>
        <w:t>标人发出中标通知书，同时将中标结果通知未中标的投标人。</w:t>
      </w:r>
    </w:p>
    <w:p w14:paraId="0A389246">
      <w:pPr>
        <w:pStyle w:val="6"/>
        <w:spacing w:before="218" w:after="156"/>
        <w:rPr>
          <w:color w:val="000000" w:themeColor="text1"/>
          <w:highlight w:val="none"/>
          <w14:textFill>
            <w14:solidFill>
              <w14:schemeClr w14:val="tx1"/>
            </w14:solidFill>
          </w14:textFill>
        </w:rPr>
      </w:pPr>
      <w:bookmarkStart w:id="74" w:name="_Toc18633"/>
      <w:r>
        <w:rPr>
          <w:color w:val="000000" w:themeColor="text1"/>
          <w:highlight w:val="none"/>
          <w14:textFill>
            <w14:solidFill>
              <w14:schemeClr w14:val="tx1"/>
            </w14:solidFill>
          </w14:textFill>
        </w:rPr>
        <w:t>7.6 中标结果公告</w:t>
      </w:r>
      <w:bookmarkEnd w:id="74"/>
    </w:p>
    <w:p w14:paraId="72D1964D">
      <w:pPr>
        <w:widowControl/>
        <w:kinsoku w:val="0"/>
        <w:autoSpaceDE w:val="0"/>
        <w:autoSpaceDN w:val="0"/>
        <w:adjustRightInd w:val="0"/>
        <w:snapToGrid w:val="0"/>
        <w:spacing w:before="184" w:line="360" w:lineRule="auto"/>
        <w:ind w:left="15" w:right="200" w:firstLine="47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招标人在确定中标人之日起</w:t>
      </w:r>
      <w:r>
        <w:rPr>
          <w:rFonts w:ascii="宋体" w:hAnsi="宋体" w:cs="宋体"/>
          <w:snapToGrid w:val="0"/>
          <w:color w:val="000000" w:themeColor="text1"/>
          <w:spacing w:val="-32"/>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3 日内，按照投标人须知前附表规定的公告媒介和期限</w:t>
      </w:r>
      <w:r>
        <w:rPr>
          <w:rFonts w:ascii="宋体" w:hAnsi="宋体" w:cs="宋体"/>
          <w:snapToGrid w:val="0"/>
          <w:color w:val="000000" w:themeColor="text1"/>
          <w:spacing w:val="-3"/>
          <w:kern w:val="0"/>
          <w:sz w:val="24"/>
          <w:highlight w:val="none"/>
          <w14:textFill>
            <w14:solidFill>
              <w14:schemeClr w14:val="tx1"/>
            </w14:solidFill>
          </w14:textFill>
        </w:rPr>
        <w:t>公告中标结果，公告期不得少于</w:t>
      </w:r>
      <w:r>
        <w:rPr>
          <w:rFonts w:ascii="宋体" w:hAnsi="宋体" w:cs="宋体"/>
          <w:snapToGrid w:val="0"/>
          <w:color w:val="000000" w:themeColor="text1"/>
          <w:spacing w:val="-3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3 日。公告内容包括中标人名称、中标价。</w:t>
      </w:r>
    </w:p>
    <w:p w14:paraId="518A6D2B">
      <w:pPr>
        <w:pStyle w:val="6"/>
        <w:spacing w:before="218" w:after="156"/>
        <w:rPr>
          <w:color w:val="000000" w:themeColor="text1"/>
          <w:highlight w:val="none"/>
          <w14:textFill>
            <w14:solidFill>
              <w14:schemeClr w14:val="tx1"/>
            </w14:solidFill>
          </w14:textFill>
        </w:rPr>
      </w:pPr>
      <w:bookmarkStart w:id="75" w:name="_Toc8353"/>
      <w:r>
        <w:rPr>
          <w:color w:val="000000" w:themeColor="text1"/>
          <w:highlight w:val="none"/>
          <w14:textFill>
            <w14:solidFill>
              <w14:schemeClr w14:val="tx1"/>
            </w14:solidFill>
          </w14:textFill>
        </w:rPr>
        <w:t>7.7 履约保证金</w:t>
      </w:r>
      <w:bookmarkEnd w:id="75"/>
    </w:p>
    <w:p w14:paraId="147B219A">
      <w:pPr>
        <w:widowControl/>
        <w:kinsoku w:val="0"/>
        <w:autoSpaceDE w:val="0"/>
        <w:autoSpaceDN w:val="0"/>
        <w:adjustRightInd w:val="0"/>
        <w:snapToGrid w:val="0"/>
        <w:spacing w:before="182" w:line="360" w:lineRule="auto"/>
        <w:ind w:left="8" w:right="119" w:firstLine="485"/>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7.7.1 在签订合同前，中标人应按投标人须知前附表规定的形式、金额和招标文件第四章“合同条款及格式</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”规定的或事先经过招标人</w:t>
      </w:r>
      <w:r>
        <w:rPr>
          <w:rFonts w:ascii="宋体" w:hAnsi="宋体" w:cs="宋体"/>
          <w:snapToGrid w:val="0"/>
          <w:color w:val="000000" w:themeColor="text1"/>
          <w:spacing w:val="-3"/>
          <w:kern w:val="0"/>
          <w:sz w:val="24"/>
          <w:highlight w:val="none"/>
          <w14:textFill>
            <w14:solidFill>
              <w14:schemeClr w14:val="tx1"/>
            </w14:solidFill>
          </w14:textFill>
        </w:rPr>
        <w:t>书面认可的履约保证金格式向招标</w:t>
      </w:r>
      <w:r>
        <w:rPr>
          <w:rFonts w:ascii="宋体" w:hAnsi="宋体" w:cs="宋体"/>
          <w:snapToGrid w:val="0"/>
          <w:color w:val="000000" w:themeColor="text1"/>
          <w:spacing w:val="-5"/>
          <w:kern w:val="0"/>
          <w:sz w:val="24"/>
          <w:highlight w:val="none"/>
          <w14:textFill>
            <w14:solidFill>
              <w14:schemeClr w14:val="tx1"/>
            </w14:solidFill>
          </w14:textFill>
        </w:rPr>
        <w:t>人提交履约保证金。除投标人须知前附表另有规定外，履约保证金为签约合同价的</w:t>
      </w:r>
      <w:r>
        <w:rPr>
          <w:rFonts w:ascii="宋体" w:hAnsi="宋体" w:cs="宋体"/>
          <w:snapToGrid w:val="0"/>
          <w:color w:val="000000" w:themeColor="text1"/>
          <w:spacing w:val="-19"/>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10%。</w:t>
      </w:r>
      <w:r>
        <w:rPr>
          <w:rFonts w:ascii="宋体" w:hAnsi="宋体" w:cs="宋体"/>
          <w:snapToGrid w:val="0"/>
          <w:color w:val="000000" w:themeColor="text1"/>
          <w:kern w:val="0"/>
          <w:sz w:val="24"/>
          <w:highlight w:val="none"/>
          <w14:textFill>
            <w14:solidFill>
              <w14:schemeClr w14:val="tx1"/>
            </w14:solidFill>
          </w14:textFill>
        </w:rPr>
        <w:t>联合体中标的，其履约保证金以联合体各方或联合</w:t>
      </w:r>
      <w:r>
        <w:rPr>
          <w:rFonts w:ascii="宋体" w:hAnsi="宋体" w:cs="宋体"/>
          <w:snapToGrid w:val="0"/>
          <w:color w:val="000000" w:themeColor="text1"/>
          <w:spacing w:val="-1"/>
          <w:kern w:val="0"/>
          <w:sz w:val="24"/>
          <w:highlight w:val="none"/>
          <w14:textFill>
            <w14:solidFill>
              <w14:schemeClr w14:val="tx1"/>
            </w14:solidFill>
          </w14:textFill>
        </w:rPr>
        <w:t>体中牵头人的名义提交。</w:t>
      </w:r>
    </w:p>
    <w:p w14:paraId="0AC4E162">
      <w:pPr>
        <w:widowControl/>
        <w:kinsoku w:val="0"/>
        <w:autoSpaceDE w:val="0"/>
        <w:autoSpaceDN w:val="0"/>
        <w:adjustRightInd w:val="0"/>
        <w:snapToGrid w:val="0"/>
        <w:spacing w:before="3" w:line="359" w:lineRule="auto"/>
        <w:ind w:left="30" w:right="200" w:firstLine="45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采用银行保函时，应由符合投标人须知前附表规定级别的银行开具，所需的费用由中标人承担，中标人应保证银行保函有效。</w:t>
      </w:r>
    </w:p>
    <w:p w14:paraId="5AC5A703">
      <w:pPr>
        <w:widowControl/>
        <w:kinsoku w:val="0"/>
        <w:autoSpaceDE w:val="0"/>
        <w:autoSpaceDN w:val="0"/>
        <w:adjustRightInd w:val="0"/>
        <w:snapToGrid w:val="0"/>
        <w:spacing w:line="360" w:lineRule="auto"/>
        <w:ind w:left="9" w:right="200" w:firstLine="484"/>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7.7.2</w:t>
      </w:r>
      <w:r>
        <w:rPr>
          <w:rFonts w:ascii="宋体" w:hAnsi="宋体" w:cs="宋体"/>
          <w:snapToGrid w:val="0"/>
          <w:color w:val="000000" w:themeColor="text1"/>
          <w:spacing w:val="32"/>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中标人不能按本章第</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7.7.1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项要求提交履约保证金的，视为放弃</w:t>
      </w:r>
      <w:r>
        <w:rPr>
          <w:rFonts w:ascii="宋体" w:hAnsi="宋体" w:cs="宋体"/>
          <w:snapToGrid w:val="0"/>
          <w:color w:val="000000" w:themeColor="text1"/>
          <w:spacing w:val="-4"/>
          <w:kern w:val="0"/>
          <w:sz w:val="24"/>
          <w:highlight w:val="none"/>
          <w14:textFill>
            <w14:solidFill>
              <w14:schemeClr w14:val="tx1"/>
            </w14:solidFill>
          </w14:textFill>
        </w:rPr>
        <w:t>中标，其投</w:t>
      </w:r>
      <w:r>
        <w:rPr>
          <w:rFonts w:ascii="宋体" w:hAnsi="宋体" w:cs="宋体"/>
          <w:snapToGrid w:val="0"/>
          <w:color w:val="000000" w:themeColor="text1"/>
          <w:spacing w:val="-2"/>
          <w:kern w:val="0"/>
          <w:sz w:val="24"/>
          <w:highlight w:val="none"/>
          <w14:textFill>
            <w14:solidFill>
              <w14:schemeClr w14:val="tx1"/>
            </w14:solidFill>
          </w14:textFill>
        </w:rPr>
        <w:t>标保证金不予退还，给招标人造成的损失超过投标保证金数额的，中标人还应对超过部分予以赔偿。</w:t>
      </w:r>
    </w:p>
    <w:p w14:paraId="4D697D10">
      <w:pPr>
        <w:pStyle w:val="6"/>
        <w:spacing w:before="218" w:after="156"/>
        <w:rPr>
          <w:color w:val="000000" w:themeColor="text1"/>
          <w:highlight w:val="none"/>
          <w14:textFill>
            <w14:solidFill>
              <w14:schemeClr w14:val="tx1"/>
            </w14:solidFill>
          </w14:textFill>
        </w:rPr>
      </w:pPr>
      <w:bookmarkStart w:id="76" w:name="_Toc26647"/>
      <w:r>
        <w:rPr>
          <w:color w:val="000000" w:themeColor="text1"/>
          <w:highlight w:val="none"/>
          <w14:textFill>
            <w14:solidFill>
              <w14:schemeClr w14:val="tx1"/>
            </w14:solidFill>
          </w14:textFill>
        </w:rPr>
        <w:t>7.8 签订合同</w:t>
      </w:r>
      <w:bookmarkEnd w:id="76"/>
    </w:p>
    <w:p w14:paraId="1A17E9A4">
      <w:pPr>
        <w:widowControl/>
        <w:autoSpaceDE w:val="0"/>
        <w:autoSpaceDN w:val="0"/>
        <w:adjustRightInd w:val="0"/>
        <w:snapToGrid w:val="0"/>
        <w:spacing w:line="360" w:lineRule="auto"/>
        <w:ind w:left="9" w:right="200" w:firstLine="48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7.8.1 根据《公路工程建设项目招标投标管理办法</w:t>
      </w:r>
      <w:r>
        <w:rPr>
          <w:rFonts w:ascii="宋体" w:hAnsi="宋体" w:cs="宋体"/>
          <w:snapToGrid w:val="0"/>
          <w:color w:val="000000" w:themeColor="text1"/>
          <w:kern w:val="0"/>
          <w:sz w:val="24"/>
          <w:highlight w:val="none"/>
          <w14:textFill>
            <w14:solidFill>
              <w14:schemeClr w14:val="tx1"/>
            </w14:solidFill>
          </w14:textFill>
        </w:rPr>
        <w:t>》第</w:t>
      </w:r>
      <w:r>
        <w:rPr>
          <w:rFonts w:ascii="宋体" w:hAnsi="宋体" w:cs="宋体"/>
          <w:snapToGrid w:val="0"/>
          <w:color w:val="000000" w:themeColor="text1"/>
          <w:spacing w:val="-43"/>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57</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条规定，招标人和中标人应在中标通知书发出之日起</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30日内，根据招标</w:t>
      </w:r>
      <w:r>
        <w:rPr>
          <w:rFonts w:ascii="宋体" w:hAnsi="宋体" w:cs="宋体"/>
          <w:snapToGrid w:val="0"/>
          <w:color w:val="000000" w:themeColor="text1"/>
          <w:spacing w:val="-1"/>
          <w:kern w:val="0"/>
          <w:sz w:val="24"/>
          <w:highlight w:val="none"/>
          <w14:textFill>
            <w14:solidFill>
              <w14:schemeClr w14:val="tx1"/>
            </w14:solidFill>
          </w14:textFill>
        </w:rPr>
        <w:t>文件和中标人的投标文件订立合同。</w:t>
      </w:r>
      <w:r>
        <w:rPr>
          <w:rFonts w:ascii="宋体" w:hAnsi="宋体" w:cs="宋体"/>
          <w:snapToGrid w:val="0"/>
          <w:color w:val="000000" w:themeColor="text1"/>
          <w:spacing w:val="-2"/>
          <w:kern w:val="0"/>
          <w:sz w:val="24"/>
          <w:highlight w:val="none"/>
          <w14:textFill>
            <w14:solidFill>
              <w14:schemeClr w14:val="tx1"/>
            </w14:solidFill>
          </w14:textFill>
        </w:rPr>
        <w:t>中标人无正当理由拒签合同，在签订合同时向招标人提出附加条件，或不按照招标文件要求提交履约保证金的，招标人取消其中标资格，其投标保证金不予退还；给招标人造</w:t>
      </w:r>
      <w:r>
        <w:rPr>
          <w:rFonts w:ascii="宋体" w:hAnsi="宋体" w:cs="宋体"/>
          <w:snapToGrid w:val="0"/>
          <w:color w:val="000000" w:themeColor="text1"/>
          <w:spacing w:val="-1"/>
          <w:kern w:val="0"/>
          <w:sz w:val="24"/>
          <w:highlight w:val="none"/>
          <w14:textFill>
            <w14:solidFill>
              <w14:schemeClr w14:val="tx1"/>
            </w14:solidFill>
          </w14:textFill>
        </w:rPr>
        <w:t>成的损失超过投标保证金数额的，中标人还应对超过部分予以赔偿。</w:t>
      </w:r>
    </w:p>
    <w:p w14:paraId="23E9B67E">
      <w:pPr>
        <w:widowControl/>
        <w:autoSpaceDE w:val="0"/>
        <w:autoSpaceDN w:val="0"/>
        <w:adjustRightInd w:val="0"/>
        <w:snapToGrid w:val="0"/>
        <w:spacing w:line="360" w:lineRule="auto"/>
        <w:ind w:left="9" w:right="200" w:firstLine="48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7.8.2 发出中标通知书后，招标人无正当理由拒签合同，或在签订合同时向中标人提出附加条件的，招标人向中标人退还投标保证金；给中标人造成损失的，还应赔偿损</w:t>
      </w:r>
      <w:r>
        <w:rPr>
          <w:rFonts w:ascii="宋体" w:hAnsi="宋体" w:cs="宋体"/>
          <w:snapToGrid w:val="0"/>
          <w:color w:val="000000" w:themeColor="text1"/>
          <w:spacing w:val="-6"/>
          <w:kern w:val="0"/>
          <w:sz w:val="24"/>
          <w:highlight w:val="none"/>
          <w14:textFill>
            <w14:solidFill>
              <w14:schemeClr w14:val="tx1"/>
            </w14:solidFill>
          </w14:textFill>
        </w:rPr>
        <w:t>失。</w:t>
      </w:r>
    </w:p>
    <w:p w14:paraId="2761FF03">
      <w:pPr>
        <w:widowControl/>
        <w:autoSpaceDE w:val="0"/>
        <w:autoSpaceDN w:val="0"/>
        <w:adjustRightInd w:val="0"/>
        <w:snapToGrid w:val="0"/>
        <w:spacing w:line="360" w:lineRule="auto"/>
        <w:ind w:left="49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bookmarkStart w:id="77" w:name="bookmark174"/>
      <w:bookmarkEnd w:id="77"/>
      <w:r>
        <w:rPr>
          <w:rFonts w:ascii="宋体" w:hAnsi="宋体" w:cs="宋体"/>
          <w:snapToGrid w:val="0"/>
          <w:color w:val="000000" w:themeColor="text1"/>
          <w:spacing w:val="-1"/>
          <w:kern w:val="0"/>
          <w:position w:val="4"/>
          <w:sz w:val="24"/>
          <w:highlight w:val="none"/>
          <w14:textFill>
            <w14:solidFill>
              <w14:schemeClr w14:val="tx1"/>
            </w14:solidFill>
          </w14:textFill>
        </w:rPr>
        <w:t>7.8.3 签约合同价的确定原则如下：</w:t>
      </w:r>
    </w:p>
    <w:p w14:paraId="54B23FC4">
      <w:pPr>
        <w:widowControl/>
        <w:autoSpaceDE w:val="0"/>
        <w:autoSpaceDN w:val="0"/>
        <w:adjustRightInd w:val="0"/>
        <w:snapToGrid w:val="0"/>
        <w:spacing w:line="360" w:lineRule="auto"/>
        <w:ind w:left="9" w:right="61"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（1）按照评标办法规定对投标报价进行修正后，若修正后的最终投标报价小于开</w:t>
      </w:r>
      <w:r>
        <w:rPr>
          <w:rFonts w:ascii="宋体" w:hAnsi="宋体" w:cs="宋体"/>
          <w:snapToGrid w:val="0"/>
          <w:color w:val="000000" w:themeColor="text1"/>
          <w:kern w:val="0"/>
          <w:sz w:val="24"/>
          <w:highlight w:val="none"/>
          <w14:textFill>
            <w14:solidFill>
              <w14:schemeClr w14:val="tx1"/>
            </w14:solidFill>
          </w14:textFill>
        </w:rPr>
        <w:t>标时的投标函大写金额报价，则签订合同时以修</w:t>
      </w:r>
      <w:r>
        <w:rPr>
          <w:rFonts w:ascii="宋体" w:hAnsi="宋体" w:cs="宋体"/>
          <w:snapToGrid w:val="0"/>
          <w:color w:val="000000" w:themeColor="text1"/>
          <w:spacing w:val="-1"/>
          <w:kern w:val="0"/>
          <w:sz w:val="24"/>
          <w:highlight w:val="none"/>
          <w14:textFill>
            <w14:solidFill>
              <w14:schemeClr w14:val="tx1"/>
            </w14:solidFill>
          </w14:textFill>
        </w:rPr>
        <w:t>正后的最终投标报价为准；</w:t>
      </w:r>
    </w:p>
    <w:p w14:paraId="14241AA9">
      <w:pPr>
        <w:widowControl/>
        <w:autoSpaceDE w:val="0"/>
        <w:autoSpaceDN w:val="0"/>
        <w:adjustRightInd w:val="0"/>
        <w:snapToGrid w:val="0"/>
        <w:spacing w:line="360" w:lineRule="auto"/>
        <w:ind w:left="9" w:right="61" w:firstLine="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（2）按照评标办法规定对投标报价进行修正后，若修正后的最终投标报价大于开</w:t>
      </w:r>
      <w:r>
        <w:rPr>
          <w:rFonts w:ascii="宋体" w:hAnsi="宋体" w:cs="宋体"/>
          <w:snapToGrid w:val="0"/>
          <w:color w:val="000000" w:themeColor="text1"/>
          <w:spacing w:val="-2"/>
          <w:kern w:val="0"/>
          <w:sz w:val="24"/>
          <w:highlight w:val="none"/>
          <w14:textFill>
            <w14:solidFill>
              <w14:schemeClr w14:val="tx1"/>
            </w14:solidFill>
          </w14:textFill>
        </w:rPr>
        <w:t>标时的投标函大写金额报价，则签订合同时以开标时的投标函大写金额报价为准，同时</w:t>
      </w:r>
      <w:r>
        <w:rPr>
          <w:rFonts w:ascii="宋体" w:hAnsi="宋体" w:cs="宋体"/>
          <w:snapToGrid w:val="0"/>
          <w:color w:val="000000" w:themeColor="text1"/>
          <w:spacing w:val="-1"/>
          <w:kern w:val="0"/>
          <w:sz w:val="24"/>
          <w:highlight w:val="none"/>
          <w14:textFill>
            <w14:solidFill>
              <w14:schemeClr w14:val="tx1"/>
            </w14:solidFill>
          </w14:textFill>
        </w:rPr>
        <w:t>按比例修正相应子目的单价或合价。</w:t>
      </w:r>
    </w:p>
    <w:p w14:paraId="39BA1D86">
      <w:pPr>
        <w:widowControl/>
        <w:autoSpaceDE w:val="0"/>
        <w:autoSpaceDN w:val="0"/>
        <w:adjustRightInd w:val="0"/>
        <w:snapToGrid w:val="0"/>
        <w:spacing w:line="360" w:lineRule="auto"/>
        <w:ind w:left="8" w:right="61"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7.8.4 联合体中标的，联合体各方应共同与招标人签订合同，就中标项目向招标人承担连带责任。</w:t>
      </w:r>
    </w:p>
    <w:p w14:paraId="2ED06D71">
      <w:pPr>
        <w:widowControl/>
        <w:autoSpaceDE w:val="0"/>
        <w:autoSpaceDN w:val="0"/>
        <w:adjustRightInd w:val="0"/>
        <w:snapToGrid w:val="0"/>
        <w:spacing w:line="360" w:lineRule="auto"/>
        <w:ind w:left="9" w:right="61" w:firstLine="484"/>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7.8.5 招标人和中标人在签订合同协议书的同时，须按照本招标文件规定的格式和要求签订廉政合同及安全生产合同，明确双方在廉政建设和安全生产方面的权利和义务</w:t>
      </w:r>
      <w:r>
        <w:rPr>
          <w:rFonts w:ascii="宋体" w:hAnsi="宋体" w:cs="宋体"/>
          <w:snapToGrid w:val="0"/>
          <w:color w:val="000000" w:themeColor="text1"/>
          <w:spacing w:val="-1"/>
          <w:kern w:val="0"/>
          <w:sz w:val="24"/>
          <w:highlight w:val="none"/>
          <w14:textFill>
            <w14:solidFill>
              <w14:schemeClr w14:val="tx1"/>
            </w14:solidFill>
          </w14:textFill>
        </w:rPr>
        <w:t>以及应承担的违约责任。</w:t>
      </w:r>
    </w:p>
    <w:p w14:paraId="44397A38">
      <w:pPr>
        <w:rPr>
          <w:color w:val="000000" w:themeColor="text1"/>
          <w:highlight w:val="none"/>
          <w14:textFill>
            <w14:solidFill>
              <w14:schemeClr w14:val="tx1"/>
            </w14:solidFill>
          </w14:textFill>
        </w:rPr>
      </w:pPr>
    </w:p>
    <w:p w14:paraId="4A594B03">
      <w:pPr>
        <w:pStyle w:val="5"/>
        <w:rPr>
          <w:color w:val="000000" w:themeColor="text1"/>
          <w:highlight w:val="none"/>
          <w14:textFill>
            <w14:solidFill>
              <w14:schemeClr w14:val="tx1"/>
            </w14:solidFill>
          </w14:textFill>
        </w:rPr>
      </w:pPr>
      <w:bookmarkStart w:id="78" w:name="_Toc8038"/>
      <w:r>
        <w:rPr>
          <w:color w:val="000000" w:themeColor="text1"/>
          <w:highlight w:val="none"/>
          <w14:textFill>
            <w14:solidFill>
              <w14:schemeClr w14:val="tx1"/>
            </w14:solidFill>
          </w14:textFill>
        </w:rPr>
        <w:t>8. 纪律和监督</w:t>
      </w:r>
      <w:bookmarkEnd w:id="78"/>
    </w:p>
    <w:p w14:paraId="3DE88207">
      <w:pPr>
        <w:pStyle w:val="6"/>
        <w:spacing w:before="218" w:after="156"/>
        <w:rPr>
          <w:color w:val="000000" w:themeColor="text1"/>
          <w:highlight w:val="none"/>
          <w14:textFill>
            <w14:solidFill>
              <w14:schemeClr w14:val="tx1"/>
            </w14:solidFill>
          </w14:textFill>
        </w:rPr>
      </w:pPr>
      <w:bookmarkStart w:id="79" w:name="_Toc8273"/>
      <w:r>
        <w:rPr>
          <w:color w:val="000000" w:themeColor="text1"/>
          <w:highlight w:val="none"/>
          <w14:textFill>
            <w14:solidFill>
              <w14:schemeClr w14:val="tx1"/>
            </w14:solidFill>
          </w14:textFill>
        </w:rPr>
        <w:t>8.1 对招标人的纪律要求</w:t>
      </w:r>
      <w:bookmarkEnd w:id="79"/>
    </w:p>
    <w:p w14:paraId="441B2635">
      <w:pPr>
        <w:widowControl/>
        <w:kinsoku w:val="0"/>
        <w:autoSpaceDE w:val="0"/>
        <w:autoSpaceDN w:val="0"/>
        <w:adjustRightInd w:val="0"/>
        <w:snapToGrid w:val="0"/>
        <w:spacing w:before="183" w:line="360" w:lineRule="auto"/>
        <w:ind w:left="9" w:right="61"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招标人不得泄露招标投标活动中应保密的情况和资料，不得与投标人串通损害国家</w:t>
      </w:r>
      <w:r>
        <w:rPr>
          <w:rFonts w:ascii="宋体" w:hAnsi="宋体" w:cs="宋体"/>
          <w:snapToGrid w:val="0"/>
          <w:color w:val="000000" w:themeColor="text1"/>
          <w:spacing w:val="-1"/>
          <w:kern w:val="0"/>
          <w:sz w:val="24"/>
          <w:highlight w:val="none"/>
          <w14:textFill>
            <w14:solidFill>
              <w14:schemeClr w14:val="tx1"/>
            </w14:solidFill>
          </w14:textFill>
        </w:rPr>
        <w:t>利益、社会公共利益或他人合法权益。</w:t>
      </w:r>
    </w:p>
    <w:p w14:paraId="4A8152D2">
      <w:pPr>
        <w:pStyle w:val="6"/>
        <w:spacing w:before="218" w:after="156"/>
        <w:rPr>
          <w:color w:val="000000" w:themeColor="text1"/>
          <w:highlight w:val="none"/>
          <w14:textFill>
            <w14:solidFill>
              <w14:schemeClr w14:val="tx1"/>
            </w14:solidFill>
          </w14:textFill>
        </w:rPr>
      </w:pPr>
      <w:bookmarkStart w:id="80" w:name="_Toc31036"/>
      <w:r>
        <w:rPr>
          <w:color w:val="000000" w:themeColor="text1"/>
          <w:highlight w:val="none"/>
          <w14:textFill>
            <w14:solidFill>
              <w14:schemeClr w14:val="tx1"/>
            </w14:solidFill>
          </w14:textFill>
        </w:rPr>
        <w:t>8.2 对投标人的纪律要求</w:t>
      </w:r>
      <w:bookmarkEnd w:id="80"/>
    </w:p>
    <w:p w14:paraId="76199423">
      <w:pPr>
        <w:widowControl/>
        <w:kinsoku w:val="0"/>
        <w:autoSpaceDE w:val="0"/>
        <w:autoSpaceDN w:val="0"/>
        <w:adjustRightInd w:val="0"/>
        <w:snapToGrid w:val="0"/>
        <w:spacing w:before="183" w:line="360" w:lineRule="auto"/>
        <w:ind w:left="7" w:right="61"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投标人不得相互串通投标或与招标人串通投标，不得向招标人或评标委员会成员行贿谋取中标，不得以他人名义投标或以其他方式弄虚作假骗取中标；投标人不得以任何</w:t>
      </w:r>
      <w:r>
        <w:rPr>
          <w:rFonts w:ascii="宋体" w:hAnsi="宋体" w:cs="宋体"/>
          <w:snapToGrid w:val="0"/>
          <w:color w:val="000000" w:themeColor="text1"/>
          <w:spacing w:val="-1"/>
          <w:kern w:val="0"/>
          <w:sz w:val="24"/>
          <w:highlight w:val="none"/>
          <w14:textFill>
            <w14:solidFill>
              <w14:schemeClr w14:val="tx1"/>
            </w14:solidFill>
          </w14:textFill>
        </w:rPr>
        <w:t>方式干扰、影响评标工作。</w:t>
      </w:r>
    </w:p>
    <w:p w14:paraId="55F5E66A">
      <w:pPr>
        <w:pStyle w:val="6"/>
        <w:spacing w:before="218" w:after="156"/>
        <w:rPr>
          <w:color w:val="000000" w:themeColor="text1"/>
          <w:highlight w:val="none"/>
          <w14:textFill>
            <w14:solidFill>
              <w14:schemeClr w14:val="tx1"/>
            </w14:solidFill>
          </w14:textFill>
        </w:rPr>
      </w:pPr>
      <w:bookmarkStart w:id="81" w:name="_Toc10980"/>
      <w:r>
        <w:rPr>
          <w:color w:val="000000" w:themeColor="text1"/>
          <w:highlight w:val="none"/>
          <w14:textFill>
            <w14:solidFill>
              <w14:schemeClr w14:val="tx1"/>
            </w14:solidFill>
          </w14:textFill>
        </w:rPr>
        <w:t>8.3 对评标委员会成员的纪律要求</w:t>
      </w:r>
      <w:bookmarkEnd w:id="81"/>
    </w:p>
    <w:p w14:paraId="7EE4D53B">
      <w:pPr>
        <w:widowControl/>
        <w:kinsoku w:val="0"/>
        <w:autoSpaceDE w:val="0"/>
        <w:autoSpaceDN w:val="0"/>
        <w:adjustRightInd w:val="0"/>
        <w:snapToGrid w:val="0"/>
        <w:spacing w:before="184" w:line="360" w:lineRule="auto"/>
        <w:ind w:left="7" w:right="61"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w:t>
      </w:r>
      <w:r>
        <w:rPr>
          <w:rFonts w:ascii="宋体" w:hAnsi="宋体" w:cs="宋体"/>
          <w:snapToGrid w:val="0"/>
          <w:color w:val="000000" w:themeColor="text1"/>
          <w:spacing w:val="-1"/>
          <w:kern w:val="0"/>
          <w:sz w:val="24"/>
          <w:highlight w:val="none"/>
          <w14:textFill>
            <w14:solidFill>
              <w14:schemeClr w14:val="tx1"/>
            </w14:solidFill>
          </w14:textFill>
        </w:rPr>
        <w:t>行，不得使用第三章“评标办法</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”没有规定的评审</w:t>
      </w:r>
      <w:r>
        <w:rPr>
          <w:rFonts w:ascii="宋体" w:hAnsi="宋体" w:cs="宋体"/>
          <w:snapToGrid w:val="0"/>
          <w:color w:val="000000" w:themeColor="text1"/>
          <w:spacing w:val="-2"/>
          <w:kern w:val="0"/>
          <w:sz w:val="24"/>
          <w:highlight w:val="none"/>
          <w14:textFill>
            <w14:solidFill>
              <w14:schemeClr w14:val="tx1"/>
            </w14:solidFill>
          </w14:textFill>
        </w:rPr>
        <w:t>因素和标准进行评标。</w:t>
      </w:r>
    </w:p>
    <w:p w14:paraId="3D0E0ABE">
      <w:pPr>
        <w:pStyle w:val="6"/>
        <w:spacing w:before="218" w:after="156"/>
        <w:rPr>
          <w:color w:val="000000" w:themeColor="text1"/>
          <w:highlight w:val="none"/>
          <w14:textFill>
            <w14:solidFill>
              <w14:schemeClr w14:val="tx1"/>
            </w14:solidFill>
          </w14:textFill>
        </w:rPr>
      </w:pPr>
      <w:bookmarkStart w:id="82" w:name="_Toc12897"/>
      <w:r>
        <w:rPr>
          <w:color w:val="000000" w:themeColor="text1"/>
          <w:highlight w:val="none"/>
          <w14:textFill>
            <w14:solidFill>
              <w14:schemeClr w14:val="tx1"/>
            </w14:solidFill>
          </w14:textFill>
        </w:rPr>
        <w:t>8.4 对与评标活动有关的工作人员的纪律要求</w:t>
      </w:r>
      <w:bookmarkEnd w:id="82"/>
    </w:p>
    <w:p w14:paraId="6D03D0C5">
      <w:pPr>
        <w:widowControl/>
        <w:kinsoku w:val="0"/>
        <w:autoSpaceDE w:val="0"/>
        <w:autoSpaceDN w:val="0"/>
        <w:adjustRightInd w:val="0"/>
        <w:snapToGrid w:val="0"/>
        <w:spacing w:before="183" w:line="360" w:lineRule="auto"/>
        <w:ind w:left="9"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与评标活动有关的工作人员不得收受他人的财物或其他好处，不得向他人透露对投</w:t>
      </w:r>
      <w:r>
        <w:rPr>
          <w:rFonts w:ascii="宋体" w:hAnsi="宋体" w:cs="宋体"/>
          <w:snapToGrid w:val="0"/>
          <w:color w:val="000000" w:themeColor="text1"/>
          <w:spacing w:val="-6"/>
          <w:kern w:val="0"/>
          <w:sz w:val="24"/>
          <w:highlight w:val="none"/>
          <w14:textFill>
            <w14:solidFill>
              <w14:schemeClr w14:val="tx1"/>
            </w14:solidFill>
          </w14:textFill>
        </w:rPr>
        <w:t>标文件的评审和比较、中标候选人的推荐情况以及评标有关的其他情况。在评标</w:t>
      </w:r>
      <w:r>
        <w:rPr>
          <w:rFonts w:ascii="宋体" w:hAnsi="宋体" w:cs="宋体"/>
          <w:snapToGrid w:val="0"/>
          <w:color w:val="000000" w:themeColor="text1"/>
          <w:spacing w:val="-7"/>
          <w:kern w:val="0"/>
          <w:sz w:val="24"/>
          <w:highlight w:val="none"/>
          <w14:textFill>
            <w14:solidFill>
              <w14:schemeClr w14:val="tx1"/>
            </w14:solidFill>
          </w14:textFill>
        </w:rPr>
        <w:t>活动中，</w:t>
      </w:r>
      <w:r>
        <w:rPr>
          <w:rFonts w:ascii="宋体" w:hAnsi="宋体" w:cs="宋体"/>
          <w:snapToGrid w:val="0"/>
          <w:color w:val="000000" w:themeColor="text1"/>
          <w:spacing w:val="-1"/>
          <w:kern w:val="0"/>
          <w:sz w:val="24"/>
          <w:highlight w:val="none"/>
          <w14:textFill>
            <w14:solidFill>
              <w14:schemeClr w14:val="tx1"/>
            </w14:solidFill>
          </w14:textFill>
        </w:rPr>
        <w:t>与评标活动有关的工作人员不得擅离职守，影响评标程序正常进行。</w:t>
      </w:r>
    </w:p>
    <w:p w14:paraId="29BBF381">
      <w:pPr>
        <w:pStyle w:val="6"/>
        <w:spacing w:before="218" w:after="156"/>
        <w:rPr>
          <w:color w:val="000000" w:themeColor="text1"/>
          <w:highlight w:val="none"/>
          <w14:textFill>
            <w14:solidFill>
              <w14:schemeClr w14:val="tx1"/>
            </w14:solidFill>
          </w14:textFill>
        </w:rPr>
      </w:pPr>
      <w:bookmarkStart w:id="83" w:name="_Toc4472"/>
      <w:r>
        <w:rPr>
          <w:color w:val="000000" w:themeColor="text1"/>
          <w:highlight w:val="none"/>
          <w14:textFill>
            <w14:solidFill>
              <w14:schemeClr w14:val="tx1"/>
            </w14:solidFill>
          </w14:textFill>
        </w:rPr>
        <w:t>8.5 投诉</w:t>
      </w:r>
      <w:bookmarkEnd w:id="83"/>
    </w:p>
    <w:p w14:paraId="4ECF5AEC">
      <w:pPr>
        <w:widowControl/>
        <w:autoSpaceDE w:val="0"/>
        <w:autoSpaceDN w:val="0"/>
        <w:adjustRightInd w:val="0"/>
        <w:snapToGrid w:val="0"/>
        <w:spacing w:line="360" w:lineRule="auto"/>
        <w:ind w:left="10" w:right="61" w:firstLine="47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8.5.1 投标人或其他利害关系人认为招标投标活动不符合法律、行政法规规定的，</w:t>
      </w:r>
      <w:r>
        <w:rPr>
          <w:rFonts w:ascii="宋体" w:hAnsi="宋体" w:cs="宋体"/>
          <w:snapToGrid w:val="0"/>
          <w:color w:val="000000" w:themeColor="text1"/>
          <w:spacing w:val="-1"/>
          <w:kern w:val="0"/>
          <w:sz w:val="24"/>
          <w:highlight w:val="none"/>
          <w14:textFill>
            <w14:solidFill>
              <w14:schemeClr w14:val="tx1"/>
            </w14:solidFill>
          </w14:textFill>
        </w:rPr>
        <w:t>可以自知道或应当知道之日起10日内向有关行政监督部门投诉。对于按法规规定应先</w:t>
      </w:r>
      <w:r>
        <w:rPr>
          <w:rFonts w:ascii="宋体" w:hAnsi="宋体" w:cs="宋体"/>
          <w:snapToGrid w:val="0"/>
          <w:color w:val="000000" w:themeColor="text1"/>
          <w:spacing w:val="-2"/>
          <w:kern w:val="0"/>
          <w:sz w:val="24"/>
          <w:highlight w:val="none"/>
          <w14:textFill>
            <w14:solidFill>
              <w14:schemeClr w14:val="tx1"/>
            </w14:solidFill>
          </w14:textFill>
        </w:rPr>
        <w:t>提出异议的事项进行投诉的，应当提交已提出异议的证明文件。未按规定提出异议或者未提交已提出异议的证明文件的投诉，行政监督部门可以不予受理。投诉人缺乏事实根据或者法律依据进行投诉的，或者有证据表明投诉人捏造事实、伪造材料的，或者投诉人以非法手段取得证明材料进行投诉的，行政监督部门应当予以驳回，并对恶意投诉按</w:t>
      </w:r>
      <w:r>
        <w:rPr>
          <w:rFonts w:ascii="宋体" w:hAnsi="宋体" w:cs="宋体"/>
          <w:snapToGrid w:val="0"/>
          <w:color w:val="000000" w:themeColor="text1"/>
          <w:spacing w:val="-6"/>
          <w:kern w:val="0"/>
          <w:sz w:val="24"/>
          <w:highlight w:val="none"/>
          <w14:textFill>
            <w14:solidFill>
              <w14:schemeClr w14:val="tx1"/>
            </w14:solidFill>
          </w14:textFill>
        </w:rPr>
        <w:t>照有关规定追究投诉人责任。行政监督部门处理投诉，有权查阅、复制有关文件、资</w:t>
      </w:r>
      <w:r>
        <w:rPr>
          <w:rFonts w:ascii="宋体" w:hAnsi="宋体" w:cs="宋体"/>
          <w:snapToGrid w:val="0"/>
          <w:color w:val="000000" w:themeColor="text1"/>
          <w:spacing w:val="-7"/>
          <w:kern w:val="0"/>
          <w:sz w:val="24"/>
          <w:highlight w:val="none"/>
          <w14:textFill>
            <w14:solidFill>
              <w14:schemeClr w14:val="tx1"/>
            </w14:solidFill>
          </w14:textFill>
        </w:rPr>
        <w:t>料，</w:t>
      </w:r>
      <w:r>
        <w:rPr>
          <w:rFonts w:ascii="宋体" w:hAnsi="宋体" w:cs="宋体"/>
          <w:snapToGrid w:val="0"/>
          <w:color w:val="000000" w:themeColor="text1"/>
          <w:spacing w:val="-2"/>
          <w:kern w:val="0"/>
          <w:sz w:val="24"/>
          <w:highlight w:val="none"/>
          <w14:textFill>
            <w14:solidFill>
              <w14:schemeClr w14:val="tx1"/>
            </w14:solidFill>
          </w14:textFill>
        </w:rPr>
        <w:t>调查有关情况，相关单位和人员应当予以配合。必要时，行政监督部门可以责令暂停招标投标活动。</w:t>
      </w:r>
    </w:p>
    <w:p w14:paraId="6518F727">
      <w:pPr>
        <w:widowControl/>
        <w:autoSpaceDE w:val="0"/>
        <w:autoSpaceDN w:val="0"/>
        <w:adjustRightInd w:val="0"/>
        <w:snapToGrid w:val="0"/>
        <w:spacing w:line="36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监督部门的联系方式见投标人须知前附表。</w:t>
      </w:r>
    </w:p>
    <w:p w14:paraId="1F98AB80">
      <w:pPr>
        <w:widowControl/>
        <w:autoSpaceDE w:val="0"/>
        <w:autoSpaceDN w:val="0"/>
        <w:adjustRightInd w:val="0"/>
        <w:snapToGrid w:val="0"/>
        <w:spacing w:line="360" w:lineRule="auto"/>
        <w:ind w:left="7" w:right="80" w:firstLine="481"/>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8.5.2 投标人或其他利害关系人对招标文件、开标和评标结果提出投诉的，应按照</w:t>
      </w:r>
      <w:r>
        <w:rPr>
          <w:rFonts w:ascii="宋体" w:hAnsi="宋体" w:cs="宋体"/>
          <w:snapToGrid w:val="0"/>
          <w:color w:val="000000" w:themeColor="text1"/>
          <w:spacing w:val="-3"/>
          <w:kern w:val="0"/>
          <w:sz w:val="24"/>
          <w:highlight w:val="none"/>
          <w14:textFill>
            <w14:solidFill>
              <w14:schemeClr w14:val="tx1"/>
            </w14:solidFill>
          </w14:textFill>
        </w:rPr>
        <w:t>本章第</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2.4</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款、第</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5.3</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款和第</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7.2</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款的规定先向招标人提出异议。异议</w:t>
      </w:r>
      <w:r>
        <w:rPr>
          <w:rFonts w:ascii="宋体" w:hAnsi="宋体" w:cs="宋体"/>
          <w:snapToGrid w:val="0"/>
          <w:color w:val="000000" w:themeColor="text1"/>
          <w:spacing w:val="-4"/>
          <w:kern w:val="0"/>
          <w:sz w:val="24"/>
          <w:highlight w:val="none"/>
          <w14:textFill>
            <w14:solidFill>
              <w14:schemeClr w14:val="tx1"/>
            </w14:solidFill>
          </w14:textFill>
        </w:rPr>
        <w:t>答复期间不计算</w:t>
      </w:r>
      <w:r>
        <w:rPr>
          <w:rFonts w:ascii="宋体" w:hAnsi="宋体" w:cs="宋体"/>
          <w:snapToGrid w:val="0"/>
          <w:color w:val="000000" w:themeColor="text1"/>
          <w:spacing w:val="-3"/>
          <w:kern w:val="0"/>
          <w:sz w:val="24"/>
          <w:highlight w:val="none"/>
          <w14:textFill>
            <w14:solidFill>
              <w14:schemeClr w14:val="tx1"/>
            </w14:solidFill>
          </w14:textFill>
        </w:rPr>
        <w:t>在第</w:t>
      </w:r>
      <w:r>
        <w:rPr>
          <w:rFonts w:ascii="宋体" w:hAnsi="宋体" w:cs="宋体"/>
          <w:snapToGrid w:val="0"/>
          <w:color w:val="000000" w:themeColor="text1"/>
          <w:spacing w:val="-3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8.5.1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项规定的期限内。</w:t>
      </w:r>
    </w:p>
    <w:p w14:paraId="085E4967">
      <w:pPr>
        <w:pStyle w:val="6"/>
        <w:spacing w:before="218" w:after="156"/>
        <w:rPr>
          <w:color w:val="000000" w:themeColor="text1"/>
          <w:highlight w:val="none"/>
          <w14:textFill>
            <w14:solidFill>
              <w14:schemeClr w14:val="tx1"/>
            </w14:solidFill>
          </w14:textFill>
        </w:rPr>
      </w:pPr>
      <w:bookmarkStart w:id="84" w:name="_Toc29370"/>
      <w:r>
        <w:rPr>
          <w:color w:val="000000" w:themeColor="text1"/>
          <w:highlight w:val="none"/>
          <w14:textFill>
            <w14:solidFill>
              <w14:schemeClr w14:val="tx1"/>
            </w14:solidFill>
          </w14:textFill>
        </w:rPr>
        <w:t>9. 是否采用电子招标投标</w:t>
      </w:r>
      <w:bookmarkEnd w:id="84"/>
    </w:p>
    <w:p w14:paraId="745479E1">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本招标项目是否采用电子招标投标方式，见投标人须知前附表。</w:t>
      </w:r>
    </w:p>
    <w:p w14:paraId="3EF6B832">
      <w:pPr>
        <w:pStyle w:val="6"/>
        <w:spacing w:before="218" w:after="156"/>
        <w:rPr>
          <w:color w:val="000000" w:themeColor="text1"/>
          <w:highlight w:val="none"/>
          <w14:textFill>
            <w14:solidFill>
              <w14:schemeClr w14:val="tx1"/>
            </w14:solidFill>
          </w14:textFill>
        </w:rPr>
      </w:pPr>
      <w:bookmarkStart w:id="85" w:name="_Toc30164"/>
      <w:r>
        <w:rPr>
          <w:color w:val="000000" w:themeColor="text1"/>
          <w:highlight w:val="none"/>
          <w14:textFill>
            <w14:solidFill>
              <w14:schemeClr w14:val="tx1"/>
            </w14:solidFill>
          </w14:textFill>
        </w:rPr>
        <w:t>10. 需要补充的其他内容</w:t>
      </w:r>
      <w:bookmarkEnd w:id="85"/>
    </w:p>
    <w:p w14:paraId="1880A542">
      <w:pPr>
        <w:widowControl/>
        <w:autoSpaceDE w:val="0"/>
        <w:autoSpaceDN w:val="0"/>
        <w:adjustRightInd w:val="0"/>
        <w:snapToGrid w:val="0"/>
        <w:spacing w:line="360" w:lineRule="auto"/>
        <w:ind w:left="6" w:firstLine="4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10.1</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自投标登记并获取招标文件之日起，投标人应保</w:t>
      </w:r>
      <w:r>
        <w:rPr>
          <w:rFonts w:ascii="宋体" w:hAnsi="宋体" w:cs="宋体"/>
          <w:snapToGrid w:val="0"/>
          <w:color w:val="000000" w:themeColor="text1"/>
          <w:spacing w:val="-5"/>
          <w:kern w:val="0"/>
          <w:sz w:val="24"/>
          <w:highlight w:val="none"/>
          <w14:textFill>
            <w14:solidFill>
              <w14:schemeClr w14:val="tx1"/>
            </w14:solidFill>
          </w14:textFill>
        </w:rPr>
        <w:t>证其提供的联系方式（电话、</w:t>
      </w:r>
      <w:r>
        <w:rPr>
          <w:rFonts w:ascii="宋体" w:hAnsi="宋体" w:cs="宋体"/>
          <w:snapToGrid w:val="0"/>
          <w:color w:val="000000" w:themeColor="text1"/>
          <w:spacing w:val="2"/>
          <w:kern w:val="0"/>
          <w:sz w:val="24"/>
          <w:highlight w:val="none"/>
          <w14:textFill>
            <w14:solidFill>
              <w14:schemeClr w14:val="tx1"/>
            </w14:solidFill>
          </w14:textFill>
        </w:rPr>
        <w:t>传真、电子邮件）一直有效，以便及时收到招标人发出的</w:t>
      </w:r>
      <w:r>
        <w:rPr>
          <w:rFonts w:ascii="宋体" w:hAnsi="宋体" w:cs="宋体"/>
          <w:snapToGrid w:val="0"/>
          <w:color w:val="000000" w:themeColor="text1"/>
          <w:spacing w:val="1"/>
          <w:kern w:val="0"/>
          <w:sz w:val="24"/>
          <w:highlight w:val="none"/>
          <w14:textFill>
            <w14:solidFill>
              <w14:schemeClr w14:val="tx1"/>
            </w14:solidFill>
          </w14:textFill>
        </w:rPr>
        <w:t>函件(招标文件的澄清、修改</w:t>
      </w:r>
      <w:r>
        <w:rPr>
          <w:rFonts w:ascii="宋体" w:hAnsi="宋体" w:cs="宋体"/>
          <w:snapToGrid w:val="0"/>
          <w:color w:val="000000" w:themeColor="text1"/>
          <w:kern w:val="0"/>
          <w:sz w:val="24"/>
          <w:highlight w:val="none"/>
          <w14:textFill>
            <w14:solidFill>
              <w14:schemeClr w14:val="tx1"/>
            </w14:solidFill>
          </w14:textFill>
        </w:rPr>
        <w:t>等)，并应及时向招标人反馈信息，否则招标人不承担由</w:t>
      </w:r>
      <w:r>
        <w:rPr>
          <w:rFonts w:ascii="宋体" w:hAnsi="宋体" w:cs="宋体"/>
          <w:snapToGrid w:val="0"/>
          <w:color w:val="000000" w:themeColor="text1"/>
          <w:spacing w:val="-1"/>
          <w:kern w:val="0"/>
          <w:sz w:val="24"/>
          <w:highlight w:val="none"/>
          <w14:textFill>
            <w14:solidFill>
              <w14:schemeClr w14:val="tx1"/>
            </w14:solidFill>
          </w14:textFill>
        </w:rPr>
        <w:t>此引起的一切后果。</w:t>
      </w:r>
    </w:p>
    <w:p w14:paraId="019F51BA">
      <w:pPr>
        <w:widowControl/>
        <w:autoSpaceDE w:val="0"/>
        <w:autoSpaceDN w:val="0"/>
        <w:adjustRightInd w:val="0"/>
        <w:snapToGrid w:val="0"/>
        <w:spacing w:line="360" w:lineRule="auto"/>
        <w:ind w:left="50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需要补充的其他内容：见投标人须知前附表。</w:t>
      </w:r>
    </w:p>
    <w:p w14:paraId="400FE63D">
      <w:pPr>
        <w:pStyle w:val="91"/>
        <w:spacing w:line="360" w:lineRule="auto"/>
        <w:ind w:firstLine="0" w:firstLineChars="0"/>
        <w:rPr>
          <w:rFonts w:ascii="宋体" w:cs="宋体"/>
          <w:color w:val="000000" w:themeColor="text1"/>
          <w:highlight w:val="none"/>
          <w14:textFill>
            <w14:solidFill>
              <w14:schemeClr w14:val="tx1"/>
            </w14:solidFill>
          </w14:textFill>
        </w:rPr>
      </w:pPr>
    </w:p>
    <w:p w14:paraId="39A33B3D">
      <w:pPr>
        <w:pStyle w:val="91"/>
        <w:ind w:left="0" w:leftChars="0" w:firstLine="0" w:firstLineChars="0"/>
        <w:rPr>
          <w:rFonts w:ascii="宋体" w:cs="宋体"/>
          <w:color w:val="000000" w:themeColor="text1"/>
          <w:highlight w:val="none"/>
          <w14:textFill>
            <w14:solidFill>
              <w14:schemeClr w14:val="tx1"/>
            </w14:solidFill>
          </w14:textFill>
        </w:rPr>
      </w:pPr>
    </w:p>
    <w:p w14:paraId="1EB172ED">
      <w:pPr>
        <w:pStyle w:val="91"/>
        <w:ind w:firstLine="0" w:firstLineChars="0"/>
        <w:rPr>
          <w:rFonts w:ascii="宋体" w:cs="宋体"/>
          <w:color w:val="000000" w:themeColor="text1"/>
          <w:highlight w:val="none"/>
          <w14:textFill>
            <w14:solidFill>
              <w14:schemeClr w14:val="tx1"/>
            </w14:solidFill>
          </w14:textFill>
        </w:rPr>
        <w:sectPr>
          <w:headerReference r:id="rId17" w:type="default"/>
          <w:footerReference r:id="rId18" w:type="default"/>
          <w:pgSz w:w="11906" w:h="16838"/>
          <w:pgMar w:top="1134" w:right="1134" w:bottom="1134" w:left="1134" w:header="851" w:footer="992" w:gutter="0"/>
          <w:cols w:space="720" w:num="1"/>
          <w:docGrid w:type="lines" w:linePitch="312" w:charSpace="0"/>
        </w:sectPr>
      </w:pPr>
    </w:p>
    <w:p w14:paraId="6B2B3A1C">
      <w:pPr>
        <w:pStyle w:val="4"/>
        <w:jc w:val="center"/>
        <w:rPr>
          <w:rFonts w:hint="eastAsia" w:ascii="宋体" w:hAnsi="宋体" w:cs="宋体"/>
          <w:color w:val="000000" w:themeColor="text1"/>
          <w:sz w:val="36"/>
          <w:szCs w:val="36"/>
          <w:highlight w:val="none"/>
          <w14:textFill>
            <w14:solidFill>
              <w14:schemeClr w14:val="tx1"/>
            </w14:solidFill>
          </w14:textFill>
        </w:rPr>
      </w:pPr>
      <w:bookmarkStart w:id="86" w:name="_Toc20634"/>
      <w:bookmarkStart w:id="87" w:name="_Toc234382651"/>
      <w:r>
        <w:rPr>
          <w:rFonts w:hint="eastAsia" w:ascii="宋体" w:hAnsi="宋体" w:cs="宋体"/>
          <w:color w:val="000000" w:themeColor="text1"/>
          <w:sz w:val="36"/>
          <w:szCs w:val="36"/>
          <w:highlight w:val="none"/>
          <w14:textFill>
            <w14:solidFill>
              <w14:schemeClr w14:val="tx1"/>
            </w14:solidFill>
          </w14:textFill>
        </w:rPr>
        <w:t>第三章 评标</w:t>
      </w:r>
      <w:r>
        <w:rPr>
          <w:rFonts w:hint="eastAsia" w:ascii="宋体" w:hAnsi="宋体" w:cs="宋体"/>
          <w:color w:val="000000" w:themeColor="text1"/>
          <w:sz w:val="36"/>
          <w:szCs w:val="36"/>
          <w:highlight w:val="none"/>
          <w:lang w:val="en-US" w:eastAsia="zh-CN"/>
          <w14:textFill>
            <w14:solidFill>
              <w14:schemeClr w14:val="tx1"/>
            </w14:solidFill>
          </w14:textFill>
        </w:rPr>
        <w:t>及定标</w:t>
      </w:r>
      <w:r>
        <w:rPr>
          <w:rFonts w:hint="eastAsia" w:ascii="宋体" w:hAnsi="宋体" w:cs="宋体"/>
          <w:color w:val="000000" w:themeColor="text1"/>
          <w:sz w:val="36"/>
          <w:szCs w:val="36"/>
          <w:highlight w:val="none"/>
          <w14:textFill>
            <w14:solidFill>
              <w14:schemeClr w14:val="tx1"/>
            </w14:solidFill>
          </w14:textFill>
        </w:rPr>
        <w:t>办法（双信封的技术评分最低标价法）</w:t>
      </w:r>
      <w:bookmarkEnd w:id="86"/>
    </w:p>
    <w:p w14:paraId="20EBF48C">
      <w:pPr>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8"/>
          <w:highlight w:val="none"/>
          <w14:textFill>
            <w14:solidFill>
              <w14:schemeClr w14:val="tx1"/>
            </w14:solidFill>
          </w14:textFill>
        </w:rPr>
        <w:t>评标办法前附表</w:t>
      </w:r>
    </w:p>
    <w:tbl>
      <w:tblPr>
        <w:tblStyle w:val="45"/>
        <w:tblW w:w="9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134"/>
        <w:gridCol w:w="7802"/>
      </w:tblGrid>
      <w:tr w14:paraId="6B9A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970" w:type="dxa"/>
            <w:gridSpan w:val="2"/>
            <w:vAlign w:val="center"/>
          </w:tcPr>
          <w:p w14:paraId="7822BAF6">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条款号</w:t>
            </w:r>
          </w:p>
        </w:tc>
        <w:tc>
          <w:tcPr>
            <w:tcW w:w="7802" w:type="dxa"/>
            <w:vAlign w:val="center"/>
          </w:tcPr>
          <w:p w14:paraId="74ADBDAA">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评审因素与评审标准</w:t>
            </w:r>
          </w:p>
        </w:tc>
      </w:tr>
      <w:tr w14:paraId="669E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20F49B3D">
            <w:pPr>
              <w:pStyle w:val="99"/>
              <w:tabs>
                <w:tab w:val="left" w:pos="804"/>
              </w:tabs>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1</w:t>
            </w:r>
          </w:p>
        </w:tc>
        <w:tc>
          <w:tcPr>
            <w:tcW w:w="1134" w:type="dxa"/>
            <w:vAlign w:val="center"/>
          </w:tcPr>
          <w:p w14:paraId="396FF4B0">
            <w:pPr>
              <w:pStyle w:val="99"/>
              <w:tabs>
                <w:tab w:val="left" w:pos="804"/>
              </w:tabs>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评标方法</w:t>
            </w:r>
          </w:p>
        </w:tc>
        <w:tc>
          <w:tcPr>
            <w:tcW w:w="7802" w:type="dxa"/>
          </w:tcPr>
          <w:p w14:paraId="51349393">
            <w:pPr>
              <w:pStyle w:val="124"/>
              <w:spacing w:line="360" w:lineRule="auto"/>
              <w:ind w:left="131" w:right="108" w:hanging="20"/>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评标价相等时，评标委员会依次按照以下优先顺序推荐中标候选人</w:t>
            </w:r>
            <w:r>
              <w:rPr>
                <w:color w:val="000000" w:themeColor="text1"/>
                <w:spacing w:val="11"/>
                <w:highlight w:val="none"/>
                <w:lang w:eastAsia="zh-CN"/>
                <w14:textFill>
                  <w14:solidFill>
                    <w14:schemeClr w14:val="tx1"/>
                  </w14:solidFill>
                </w14:textFill>
              </w:rPr>
              <w:t>或确定</w:t>
            </w:r>
            <w:r>
              <w:rPr>
                <w:color w:val="000000" w:themeColor="text1"/>
                <w:highlight w:val="none"/>
                <w:lang w:eastAsia="zh-CN"/>
                <w14:textFill>
                  <w14:solidFill>
                    <w14:schemeClr w14:val="tx1"/>
                  </w14:solidFill>
                </w14:textFill>
              </w:rPr>
              <w:t>中标人：</w:t>
            </w:r>
          </w:p>
          <w:p w14:paraId="1E32BFC1">
            <w:pPr>
              <w:pStyle w:val="124"/>
              <w:spacing w:line="360" w:lineRule="auto"/>
              <w:ind w:left="107" w:right="108" w:firstLine="14"/>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（1）按招标文件规定被认定为广东省交通运输厅最新年度发布的公路工程</w:t>
            </w:r>
            <w:r>
              <w:rPr>
                <w:color w:val="000000" w:themeColor="text1"/>
                <w:spacing w:val="10"/>
                <w:highlight w:val="none"/>
                <w:lang w:eastAsia="zh-CN"/>
                <w14:textFill>
                  <w14:solidFill>
                    <w14:schemeClr w14:val="tx1"/>
                  </w14:solidFill>
                </w14:textFill>
              </w:rPr>
              <w:t>从业单位信用评价等级（</w:t>
            </w:r>
            <w:r>
              <w:rPr>
                <w:rFonts w:hint="eastAsia"/>
                <w:color w:val="000000" w:themeColor="text1"/>
                <w:spacing w:val="10"/>
                <w:highlight w:val="none"/>
                <w:u w:val="single"/>
                <w:lang w:eastAsia="zh-CN"/>
                <w14:textFill>
                  <w14:solidFill>
                    <w14:schemeClr w14:val="tx1"/>
                  </w14:solidFill>
                </w14:textFill>
              </w:rPr>
              <w:t>土建工程施工单位</w:t>
            </w:r>
            <w:r>
              <w:rPr>
                <w:color w:val="000000" w:themeColor="text1"/>
                <w:spacing w:val="10"/>
                <w:highlight w:val="none"/>
                <w:lang w:eastAsia="zh-CN"/>
                <w14:textFill>
                  <w14:solidFill>
                    <w14:schemeClr w14:val="tx1"/>
                  </w14:solidFill>
                </w14:textFill>
              </w:rPr>
              <w:t>) 较高的投标人优先（采用如下的优</w:t>
            </w:r>
            <w:r>
              <w:rPr>
                <w:color w:val="000000" w:themeColor="text1"/>
                <w:spacing w:val="12"/>
                <w:highlight w:val="none"/>
                <w:lang w:eastAsia="zh-CN"/>
                <w14:textFill>
                  <w14:solidFill>
                    <w14:schemeClr w14:val="tx1"/>
                  </w14:solidFill>
                </w14:textFill>
              </w:rPr>
              <w:t>先顺序：承诺使用的</w:t>
            </w:r>
            <w:r>
              <w:rPr>
                <w:color w:val="000000" w:themeColor="text1"/>
                <w:spacing w:val="-43"/>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2"/>
                <w:highlight w:val="none"/>
                <w:lang w:eastAsia="zh-CN"/>
                <w14:textFill>
                  <w14:solidFill>
                    <w14:schemeClr w14:val="tx1"/>
                  </w14:solidFill>
                </w14:textFill>
              </w:rPr>
              <w:t xml:space="preserve"> </w:t>
            </w:r>
            <w:r>
              <w:rPr>
                <w:color w:val="000000" w:themeColor="text1"/>
                <w:spacing w:val="12"/>
                <w:highlight w:val="none"/>
                <w:lang w:eastAsia="zh-CN"/>
                <w14:textFill>
                  <w14:solidFill>
                    <w14:schemeClr w14:val="tx1"/>
                  </w14:solidFill>
                </w14:textFill>
              </w:rPr>
              <w:t>级投标人、不承诺使用</w:t>
            </w:r>
            <w:r>
              <w:rPr>
                <w:color w:val="000000" w:themeColor="text1"/>
                <w:spacing w:val="11"/>
                <w:highlight w:val="none"/>
                <w:lang w:eastAsia="zh-CN"/>
                <w14:textFill>
                  <w14:solidFill>
                    <w14:schemeClr w14:val="tx1"/>
                  </w14:solidFill>
                </w14:textFill>
              </w:rPr>
              <w:t>的</w:t>
            </w:r>
            <w:r>
              <w:rPr>
                <w:color w:val="000000" w:themeColor="text1"/>
                <w:spacing w:val="-44"/>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AA</w:t>
            </w:r>
            <w:r>
              <w:rPr>
                <w:color w:val="000000" w:themeColor="text1"/>
                <w:spacing w:val="-34"/>
                <w:highlight w:val="non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级投标人、承诺使用</w:t>
            </w:r>
            <w:r>
              <w:rPr>
                <w:color w:val="000000" w:themeColor="text1"/>
                <w:spacing w:val="5"/>
                <w:highlight w:val="none"/>
                <w:lang w:eastAsia="zh-CN"/>
                <w14:textFill>
                  <w14:solidFill>
                    <w14:schemeClr w14:val="tx1"/>
                  </w14:solidFill>
                </w14:textFill>
              </w:rPr>
              <w:t>的</w:t>
            </w:r>
            <w:r>
              <w:rPr>
                <w:color w:val="000000" w:themeColor="text1"/>
                <w:spacing w:val="-3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A</w:t>
            </w:r>
            <w:r>
              <w:rPr>
                <w:color w:val="000000" w:themeColor="text1"/>
                <w:spacing w:val="-3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级投标人、不承诺使用的</w:t>
            </w:r>
            <w:r>
              <w:rPr>
                <w:color w:val="000000" w:themeColor="text1"/>
                <w:spacing w:val="-43"/>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A</w:t>
            </w:r>
            <w:r>
              <w:rPr>
                <w:color w:val="000000" w:themeColor="text1"/>
                <w:spacing w:val="-34"/>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级投标人、B</w:t>
            </w:r>
            <w:r>
              <w:rPr>
                <w:color w:val="000000" w:themeColor="text1"/>
                <w:spacing w:val="-3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级投标人、未参评且被确定为B</w:t>
            </w:r>
            <w:r>
              <w:rPr>
                <w:color w:val="000000" w:themeColor="text1"/>
                <w:spacing w:val="-34"/>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级投标人</w:t>
            </w:r>
            <w:r>
              <w:rPr>
                <w:color w:val="000000" w:themeColor="text1"/>
                <w:highlight w:val="none"/>
                <w:lang w:eastAsia="zh-CN"/>
                <w14:textFill>
                  <w14:solidFill>
                    <w14:schemeClr w14:val="tx1"/>
                  </w14:solidFill>
                </w14:textFill>
              </w:rPr>
              <w:t>）；</w:t>
            </w:r>
          </w:p>
          <w:p w14:paraId="7E856E2D">
            <w:pPr>
              <w:pStyle w:val="124"/>
              <w:spacing w:line="360" w:lineRule="auto"/>
              <w:ind w:left="122"/>
              <w:rPr>
                <w:rFonts w:hint="eastAsia"/>
                <w:color w:val="000000" w:themeColor="text1"/>
                <w:spacing w:val="8"/>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（2）以投标人企业最新年度净资产较高的优先；</w:t>
            </w:r>
          </w:p>
          <w:p w14:paraId="66E2CE59">
            <w:pPr>
              <w:pStyle w:val="124"/>
              <w:spacing w:line="360" w:lineRule="auto"/>
              <w:ind w:left="122"/>
              <w:rPr>
                <w:rFonts w:hint="eastAsia"/>
                <w:color w:val="000000" w:themeColor="text1"/>
                <w:spacing w:val="-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（3）评标委员会视投标人情况综合比较，投票确定其名次。</w:t>
            </w:r>
          </w:p>
        </w:tc>
      </w:tr>
      <w:tr w14:paraId="4238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6" w:type="dxa"/>
            <w:vAlign w:val="center"/>
          </w:tcPr>
          <w:p w14:paraId="6FFE0EE3">
            <w:pPr>
              <w:pStyle w:val="99"/>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2.1.1</w:t>
            </w:r>
          </w:p>
          <w:p w14:paraId="612C3ABE">
            <w:pPr>
              <w:pStyle w:val="99"/>
              <w:tabs>
                <w:tab w:val="left" w:pos="804"/>
              </w:tabs>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2.1.3</w:t>
            </w:r>
          </w:p>
        </w:tc>
        <w:tc>
          <w:tcPr>
            <w:tcW w:w="1134" w:type="dxa"/>
            <w:vAlign w:val="center"/>
          </w:tcPr>
          <w:p w14:paraId="0DB77E05">
            <w:pPr>
              <w:pStyle w:val="99"/>
              <w:tabs>
                <w:tab w:val="left" w:pos="804"/>
              </w:tabs>
              <w:kinsoku w:val="0"/>
              <w:overflowPunct w:val="0"/>
              <w:spacing w:line="360" w:lineRule="auto"/>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形式评审与响应性评审标准</w:t>
            </w:r>
          </w:p>
        </w:tc>
        <w:tc>
          <w:tcPr>
            <w:tcW w:w="7802" w:type="dxa"/>
          </w:tcPr>
          <w:p w14:paraId="0EA7AB68">
            <w:pPr>
              <w:pStyle w:val="99"/>
              <w:tabs>
                <w:tab w:val="left" w:pos="804"/>
              </w:tabs>
              <w:overflowPunct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第一个信封 (商务及技术文件) 评审标准：</w:t>
            </w:r>
          </w:p>
          <w:p w14:paraId="2E582681">
            <w:pPr>
              <w:pStyle w:val="99"/>
              <w:tabs>
                <w:tab w:val="left" w:pos="804"/>
              </w:tabs>
              <w:overflowPunct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(1)投标文件按照招标文件规定的格式、内容填写，字迹清晰可辨：</w:t>
            </w:r>
          </w:p>
          <w:p w14:paraId="59A606AF">
            <w:pPr>
              <w:pStyle w:val="99"/>
              <w:tabs>
                <w:tab w:val="left" w:pos="804"/>
              </w:tabs>
              <w:overflowPunct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a.投标函按招标文件规定填报了项目名称、标段号(如有)、工期、工程质量要求及安全目标；</w:t>
            </w:r>
          </w:p>
          <w:p w14:paraId="423538E1">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b.投标函附录的所有数据均符合招标文件规定；</w:t>
            </w:r>
          </w:p>
          <w:p w14:paraId="6BE9EC54">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c.投标文件组成齐全完整，内容均按规定填写。</w:t>
            </w:r>
          </w:p>
          <w:p w14:paraId="483365D6">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(2)投标文件上法定代表人或其委托代理人的签字</w:t>
            </w:r>
            <w:r>
              <w:rPr>
                <w:rFonts w:hint="eastAsia" w:ascii="宋体" w:hAnsi="宋体" w:cs="宋体"/>
                <w:color w:val="000000" w:themeColor="text1"/>
                <w:sz w:val="24"/>
                <w:highlight w:val="none"/>
                <w:lang w:val="en-US" w:eastAsia="zh-CN"/>
                <w14:textFill>
                  <w14:solidFill>
                    <w14:schemeClr w14:val="tx1"/>
                  </w14:solidFill>
                </w14:textFill>
              </w:rPr>
              <w:t>或盖章</w:t>
            </w:r>
            <w:r>
              <w:rPr>
                <w:rFonts w:hint="eastAsia" w:ascii="宋体" w:hAnsi="宋体" w:cs="宋体"/>
                <w:color w:val="000000" w:themeColor="text1"/>
                <w:sz w:val="24"/>
                <w:highlight w:val="none"/>
                <w14:textFill>
                  <w14:solidFill>
                    <w14:schemeClr w14:val="tx1"/>
                  </w14:solidFill>
                </w14:textFill>
              </w:rPr>
              <w:t>、投标人的单位章盖章齐全，符合招标文件规定。</w:t>
            </w:r>
          </w:p>
          <w:p w14:paraId="4589A457">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(3)投标人按照招标文件的规定提供了投标保证金：</w:t>
            </w:r>
          </w:p>
          <w:p w14:paraId="1CE4704B">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a.投标保证金金额符合招标文件规定的金额，且投标保证金有效期不少于投标有效期；</w:t>
            </w:r>
          </w:p>
          <w:p w14:paraId="1BB3F1C6">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b.若投标保证金采用现金或支票形式提交，投标人应在招标文件规定的投标保证金递交截止时间之前，将投标保证金由投标人的基本账户转入招标人指定账户；</w:t>
            </w:r>
          </w:p>
          <w:p w14:paraId="52EECF65">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c.若投标保证金采用银行保函或投标人须知前附表3.4.1项规定的其他形式提交，应满足招标文件要求。</w:t>
            </w:r>
          </w:p>
          <w:p w14:paraId="4E947CBB">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(4)投标人法定代表人授权委托代理人签署投标文件的，需提交授权委托 书，且授权人和被授权人均在授权委托书上</w:t>
            </w:r>
            <w:r>
              <w:rPr>
                <w:rFonts w:hint="eastAsia" w:ascii="宋体" w:hAnsi="宋体" w:cs="宋体"/>
                <w:color w:val="000000" w:themeColor="text1"/>
                <w:sz w:val="24"/>
                <w:highlight w:val="none"/>
                <w:lang w:val="en-US" w:eastAsia="zh-CN"/>
                <w14:textFill>
                  <w14:solidFill>
                    <w14:schemeClr w14:val="tx1"/>
                  </w14:solidFill>
                </w14:textFill>
              </w:rPr>
              <w:t>签字或盖章的</w:t>
            </w:r>
            <w:r>
              <w:rPr>
                <w:rFonts w:hint="eastAsia" w:ascii="宋体" w:hAnsi="宋体" w:cs="宋体"/>
                <w:color w:val="000000" w:themeColor="text1"/>
                <w:sz w:val="24"/>
                <w:highlight w:val="none"/>
                <w14:textFill>
                  <w14:solidFill>
                    <w14:schemeClr w14:val="tx1"/>
                  </w14:solidFill>
                </w14:textFill>
              </w:rPr>
              <w:t>。</w:t>
            </w:r>
          </w:p>
          <w:p w14:paraId="12F70C51">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(5)投标人法定代表人亲自签署投标文件的，提供了法定代表人身份证明，且法定代表人在法定代表人身份证明上</w:t>
            </w:r>
            <w:r>
              <w:rPr>
                <w:rFonts w:hint="eastAsia" w:ascii="宋体" w:hAnsi="宋体" w:cs="宋体"/>
                <w:color w:val="000000" w:themeColor="text1"/>
                <w:sz w:val="24"/>
                <w:highlight w:val="none"/>
                <w:lang w:val="en-US" w:eastAsia="zh-CN"/>
                <w14:textFill>
                  <w14:solidFill>
                    <w14:schemeClr w14:val="tx1"/>
                  </w14:solidFill>
                </w14:textFill>
              </w:rPr>
              <w:t>签字或盖章的</w:t>
            </w:r>
            <w:r>
              <w:rPr>
                <w:rFonts w:hint="eastAsia" w:ascii="宋体" w:hAnsi="宋体" w:cs="宋体"/>
                <w:color w:val="000000" w:themeColor="text1"/>
                <w:sz w:val="24"/>
                <w:highlight w:val="none"/>
                <w14:textFill>
                  <w14:solidFill>
                    <w14:schemeClr w14:val="tx1"/>
                  </w14:solidFill>
                </w14:textFill>
              </w:rPr>
              <w:t>。</w:t>
            </w:r>
          </w:p>
          <w:p w14:paraId="5A8F755B">
            <w:pPr>
              <w:pStyle w:val="99"/>
              <w:tabs>
                <w:tab w:val="left" w:pos="804"/>
              </w:tabs>
              <w:overflowPunct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投标人以联合体形式投标时，联合体满足招标文件的要求：</w:t>
            </w:r>
          </w:p>
          <w:p w14:paraId="05225A76">
            <w:pPr>
              <w:pStyle w:val="99"/>
              <w:tabs>
                <w:tab w:val="left" w:pos="804"/>
              </w:tabs>
              <w:overflowPunct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a.未进行资格预审的，投标人按照招标文件提供的格式签订了联合体协议书，明确各方承担连带责任，并明确了联合体牵头人；</w:t>
            </w:r>
          </w:p>
          <w:p w14:paraId="41EF4255">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b.已进行资格预审的，投标人提供了资格预审申请文件中所附的联合体协议书扫描件，且通过资格预审后的联合体无成员增减或更换的情况。</w:t>
            </w:r>
          </w:p>
          <w:p w14:paraId="37E05563">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(7)同一投标人未提交两个以上不同的投标文件，但招标文件要求提交备选投标的除外。</w:t>
            </w:r>
          </w:p>
          <w:p w14:paraId="365E9AD0">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(8)投标文件中未出现有关投标报价的内容。</w:t>
            </w:r>
          </w:p>
          <w:p w14:paraId="1F3A2A9C">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(9)投标文件载明的招标项目完成期限未超过招标文件规定的时限。</w:t>
            </w:r>
          </w:p>
          <w:p w14:paraId="5C19890D">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(10)投标文件对招标文件的实质性要求和条件作出响应。</w:t>
            </w:r>
          </w:p>
          <w:p w14:paraId="1E786674">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(11)权利义务符合招标文件规定：</w:t>
            </w:r>
          </w:p>
          <w:p w14:paraId="1C230791">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a. 投标人应接受招标文件规定的风险划分原则，未提出新的风险划分办 法；</w:t>
            </w:r>
          </w:p>
          <w:p w14:paraId="10F55C97">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b. 投标人未增加发包人的责任范围，或减少投标人义务；</w:t>
            </w:r>
          </w:p>
          <w:p w14:paraId="6A86D52B">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c.投标人未提出不同的工程验收、计量、支付办法；</w:t>
            </w:r>
          </w:p>
          <w:p w14:paraId="2622AECE">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d. 投标人对合同纠纷、事故处理办法未提出异议；</w:t>
            </w:r>
          </w:p>
          <w:p w14:paraId="55B01625">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e. 投标人在投标活动中无欺诈行为；</w:t>
            </w:r>
          </w:p>
          <w:p w14:paraId="7FDD5779">
            <w:pPr>
              <w:pStyle w:val="99"/>
              <w:tabs>
                <w:tab w:val="left" w:pos="804"/>
              </w:tabs>
              <w:overflowPunct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f. 投标人未对合同条款有重要保留。</w:t>
            </w:r>
          </w:p>
          <w:p w14:paraId="70450839">
            <w:pPr>
              <w:pStyle w:val="99"/>
              <w:tabs>
                <w:tab w:val="left" w:pos="804"/>
              </w:tabs>
              <w:overflowPunct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第二个信封（报价文件）评审标准：</w:t>
            </w:r>
          </w:p>
          <w:p w14:paraId="3DAA04F1">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投标文件按照招标文件规定的格式、内容填写，字迹清晰可辩：</w:t>
            </w:r>
          </w:p>
          <w:p w14:paraId="1E81D03B">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a.投标函按招标文件规定填报了项目名称、标段号 (如有)、投标总报价 (包括大写金额和小写金额)；</w:t>
            </w:r>
          </w:p>
          <w:p w14:paraId="5716E3D0">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b.已标价工程量清单说明文字与招标文件规定一致，未进行实质性修改和删减；</w:t>
            </w:r>
          </w:p>
          <w:p w14:paraId="1CF231B0">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c.投标文件组成齐全完整，内容均按规定填写。</w:t>
            </w:r>
          </w:p>
          <w:p w14:paraId="3B8EB8BC">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(2)投标文件上法定代表人或其委托代理人的签字</w:t>
            </w:r>
            <w:r>
              <w:rPr>
                <w:rFonts w:hint="eastAsia" w:ascii="宋体" w:hAnsi="宋体" w:cs="宋体"/>
                <w:color w:val="000000" w:themeColor="text1"/>
                <w:sz w:val="24"/>
                <w:highlight w:val="none"/>
                <w:lang w:val="en-US" w:eastAsia="zh-CN"/>
                <w14:textFill>
                  <w14:solidFill>
                    <w14:schemeClr w14:val="tx1"/>
                  </w14:solidFill>
                </w14:textFill>
              </w:rPr>
              <w:t>或盖章</w:t>
            </w:r>
            <w:r>
              <w:rPr>
                <w:rFonts w:hint="eastAsia" w:ascii="宋体" w:hAnsi="宋体" w:cs="宋体"/>
                <w:color w:val="000000" w:themeColor="text1"/>
                <w:sz w:val="24"/>
                <w:highlight w:val="none"/>
                <w14:textFill>
                  <w14:solidFill>
                    <w14:schemeClr w14:val="tx1"/>
                  </w14:solidFill>
                </w14:textFill>
              </w:rPr>
              <w:t>、投标人的单位章盖章齐全，符合招标文件规定。</w:t>
            </w:r>
          </w:p>
          <w:p w14:paraId="478CDBBA">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(3)投标总报价或调价函中的报价未超过招标文件设定的最高投标限价(如有)及最高评标限价(如有)。</w:t>
            </w:r>
          </w:p>
          <w:p w14:paraId="0741FCFE">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(4)投标总报价或调价函中报价的大写金额能够确定具体数值。</w:t>
            </w:r>
          </w:p>
          <w:p w14:paraId="7C5D2EF9">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(5)同一投标人未提交两个以上不同的投标报价，但招标文件要求提交备选投标的除外。</w:t>
            </w:r>
          </w:p>
          <w:p w14:paraId="57EC535D">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(6)投标人若提交调价函，调价函符合招标文件第二章“投标人须知” 第3.2.6项要求。</w:t>
            </w:r>
          </w:p>
          <w:p w14:paraId="7CEE7D06">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(7)投标人若填写工程量固化清单，填写完毕的工程量固化清单未对工程量固化清单电子文件中的数据、格式和运算定义进行修改；工程量固化清单中的投标总报价和投标函大写金额报价一致。</w:t>
            </w:r>
          </w:p>
        </w:tc>
      </w:tr>
      <w:tr w14:paraId="70FF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3" w:hRule="atLeast"/>
          <w:jc w:val="center"/>
        </w:trPr>
        <w:tc>
          <w:tcPr>
            <w:tcW w:w="836" w:type="dxa"/>
            <w:vAlign w:val="center"/>
          </w:tcPr>
          <w:p w14:paraId="7E46E18C">
            <w:pPr>
              <w:pStyle w:val="99"/>
              <w:kinsoku w:val="0"/>
              <w:overflowPunct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2.1.2</w:t>
            </w:r>
          </w:p>
        </w:tc>
        <w:tc>
          <w:tcPr>
            <w:tcW w:w="1134" w:type="dxa"/>
            <w:vAlign w:val="center"/>
          </w:tcPr>
          <w:p w14:paraId="0DBDF578">
            <w:pPr>
              <w:pStyle w:val="99"/>
              <w:kinsoku w:val="0"/>
              <w:overflowPunct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资格评审标准</w:t>
            </w:r>
          </w:p>
        </w:tc>
        <w:tc>
          <w:tcPr>
            <w:tcW w:w="7802" w:type="dxa"/>
          </w:tcPr>
          <w:p w14:paraId="75A913B7">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(1)投标人具备有效的营业执照、资质证书、安全生产许可证和基本账户开户许可证</w:t>
            </w:r>
            <w:r>
              <w:rPr>
                <w:rFonts w:hint="eastAsia" w:ascii="宋体" w:hAnsi="宋体"/>
                <w:color w:val="000000" w:themeColor="text1"/>
                <w:sz w:val="24"/>
                <w:highlight w:val="none"/>
                <w14:textFill>
                  <w14:solidFill>
                    <w14:schemeClr w14:val="tx1"/>
                  </w14:solidFill>
                </w14:textFill>
              </w:rPr>
              <w:t>(如企业所在地已取消企业银行账户许可而无法提供开户许可证的，则需附上开户银行出具的“基本存款账户信息”或“人民银行账户管理系统查询的基本账户信息截图”)</w:t>
            </w:r>
            <w:r>
              <w:rPr>
                <w:rFonts w:hint="eastAsia" w:ascii="宋体" w:hAnsi="宋体" w:cs="宋体"/>
                <w:color w:val="000000" w:themeColor="text1"/>
                <w:sz w:val="24"/>
                <w:highlight w:val="none"/>
                <w14:textFill>
                  <w14:solidFill>
                    <w14:schemeClr w14:val="tx1"/>
                  </w14:solidFill>
                </w14:textFill>
              </w:rPr>
              <w:t>；</w:t>
            </w:r>
          </w:p>
          <w:p w14:paraId="476D6C55">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 投标人的资质等级符合招标文件规定；</w:t>
            </w:r>
          </w:p>
          <w:p w14:paraId="38D3CD95">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投标人的财务状况符合招标文件规定；</w:t>
            </w:r>
          </w:p>
          <w:p w14:paraId="024EBD6F">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 投标人的类似项目业绩符合招标文件规定；</w:t>
            </w:r>
          </w:p>
          <w:p w14:paraId="1FCDA3DB">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 投标人的信誉符合招标文件规定；</w:t>
            </w:r>
          </w:p>
          <w:p w14:paraId="38FCC7B1">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 投标人的项目经理</w:t>
            </w:r>
            <w:r>
              <w:rPr>
                <w:rFonts w:hint="eastAsia" w:ascii="宋体" w:hAnsi="宋体" w:cs="宋体"/>
                <w:color w:val="000000" w:themeColor="text1"/>
                <w:sz w:val="24"/>
                <w:highlight w:val="none"/>
                <w:u w:val="single"/>
                <w14:textFill>
                  <w14:solidFill>
                    <w14:schemeClr w14:val="tx1"/>
                  </w14:solidFill>
                </w14:textFill>
              </w:rPr>
              <w:t>（含备选人，如有）</w:t>
            </w:r>
            <w:r>
              <w:rPr>
                <w:rFonts w:hint="eastAsia" w:ascii="宋体" w:hAnsi="宋体" w:cs="宋体"/>
                <w:color w:val="000000" w:themeColor="text1"/>
                <w:sz w:val="24"/>
                <w:highlight w:val="none"/>
                <w14:textFill>
                  <w14:solidFill>
                    <w14:schemeClr w14:val="tx1"/>
                  </w14:solidFill>
                </w14:textFill>
              </w:rPr>
              <w:t>和项目总工</w:t>
            </w:r>
            <w:r>
              <w:rPr>
                <w:rFonts w:hint="eastAsia" w:ascii="宋体" w:hAnsi="宋体" w:cs="宋体"/>
                <w:color w:val="000000" w:themeColor="text1"/>
                <w:sz w:val="24"/>
                <w:highlight w:val="none"/>
                <w:u w:val="single"/>
                <w14:textFill>
                  <w14:solidFill>
                    <w14:schemeClr w14:val="tx1"/>
                  </w14:solidFill>
                </w14:textFill>
              </w:rPr>
              <w:t>（含备选人，如有）</w:t>
            </w:r>
            <w:r>
              <w:rPr>
                <w:rFonts w:hint="eastAsia" w:ascii="宋体" w:hAnsi="宋体" w:cs="宋体"/>
                <w:color w:val="000000" w:themeColor="text1"/>
                <w:sz w:val="24"/>
                <w:highlight w:val="none"/>
                <w14:textFill>
                  <w14:solidFill>
                    <w14:schemeClr w14:val="tx1"/>
                  </w14:solidFill>
                </w14:textFill>
              </w:rPr>
              <w:t>资格、在岗情况符合招标文件规定，并按规定在投标文件中签字确认，</w:t>
            </w:r>
            <w:r>
              <w:rPr>
                <w:rFonts w:hint="eastAsia" w:ascii="宋体" w:hAnsi="宋体" w:cs="宋体"/>
                <w:color w:val="000000" w:themeColor="text1"/>
                <w:sz w:val="24"/>
                <w:highlight w:val="none"/>
                <w:u w:val="single"/>
                <w14:textFill>
                  <w14:solidFill>
                    <w14:schemeClr w14:val="tx1"/>
                  </w14:solidFill>
                </w14:textFill>
              </w:rPr>
              <w:t>安全总监（如有）、质量总监（如有）资格符合招标文件规定</w:t>
            </w:r>
            <w:r>
              <w:rPr>
                <w:rFonts w:hint="eastAsia" w:ascii="宋体" w:hAnsi="宋体" w:cs="宋体"/>
                <w:color w:val="000000" w:themeColor="text1"/>
                <w:sz w:val="24"/>
                <w:highlight w:val="none"/>
                <w14:textFill>
                  <w14:solidFill>
                    <w14:schemeClr w14:val="tx1"/>
                  </w14:solidFill>
                </w14:textFill>
              </w:rPr>
              <w:t>；</w:t>
            </w:r>
          </w:p>
          <w:p w14:paraId="790FA61E">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 投标人的其他要求符合招标文件规定；</w:t>
            </w:r>
          </w:p>
          <w:p w14:paraId="642EE794">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 投标人不存在第二章“投标人须知”第1.4.3项或第1.4.4项规定的任何一种情形；</w:t>
            </w:r>
          </w:p>
          <w:p w14:paraId="2B86A62F">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 投标人符合第二章“投标人须知”第1.4.5项规定。</w:t>
            </w:r>
          </w:p>
          <w:p w14:paraId="0A7E5AEE">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 以联合体形式参与投标的，联合体各方均未再以自己名义单独或参加其他联合体在同一标段中投标；独立参与投标的，投标人未同时参加联合体在同一标段中投标。</w:t>
            </w:r>
          </w:p>
          <w:p w14:paraId="4A019CA3">
            <w:pPr>
              <w:pStyle w:val="99"/>
              <w:tabs>
                <w:tab w:val="left" w:pos="804"/>
              </w:tabs>
              <w:overflowPunct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r>
    </w:tbl>
    <w:p w14:paraId="5544932A">
      <w:pPr>
        <w:rPr>
          <w:vanish/>
          <w:color w:val="000000" w:themeColor="text1"/>
          <w:highlight w:val="none"/>
          <w14:textFill>
            <w14:solidFill>
              <w14:schemeClr w14:val="tx1"/>
            </w14:solidFill>
          </w14:textFill>
        </w:rPr>
      </w:pPr>
    </w:p>
    <w:tbl>
      <w:tblPr>
        <w:tblStyle w:val="45"/>
        <w:tblpPr w:leftFromText="180" w:rightFromText="180" w:vertAnchor="text" w:horzAnchor="margin" w:tblpXSpec="center" w:tblpY="265"/>
        <w:tblOverlap w:val="never"/>
        <w:tblW w:w="52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150"/>
        <w:gridCol w:w="7772"/>
      </w:tblGrid>
      <w:tr w14:paraId="6326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438" w:type="pct"/>
            <w:vAlign w:val="center"/>
          </w:tcPr>
          <w:p w14:paraId="53C6A9C7">
            <w:pPr>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条款号</w:t>
            </w:r>
          </w:p>
        </w:tc>
        <w:tc>
          <w:tcPr>
            <w:tcW w:w="588" w:type="pct"/>
            <w:vAlign w:val="center"/>
          </w:tcPr>
          <w:p w14:paraId="7C199313">
            <w:pPr>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t>条款内容</w:t>
            </w:r>
          </w:p>
        </w:tc>
        <w:tc>
          <w:tcPr>
            <w:tcW w:w="3972" w:type="pct"/>
            <w:vAlign w:val="center"/>
          </w:tcPr>
          <w:p w14:paraId="7263F204">
            <w:pPr>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t>编列内容</w:t>
            </w:r>
          </w:p>
        </w:tc>
      </w:tr>
      <w:tr w14:paraId="4225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8" w:type="pct"/>
            <w:vAlign w:val="center"/>
          </w:tcPr>
          <w:p w14:paraId="2D6CCB7E">
            <w:pPr>
              <w:pStyle w:val="99"/>
              <w:kinsoku w:val="0"/>
              <w:overflowPunct w:val="0"/>
              <w:spacing w:line="400" w:lineRule="exact"/>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2.2.1</w:t>
            </w:r>
          </w:p>
        </w:tc>
        <w:tc>
          <w:tcPr>
            <w:tcW w:w="588" w:type="pct"/>
            <w:vAlign w:val="center"/>
          </w:tcPr>
          <w:p w14:paraId="01D67B37">
            <w:pPr>
              <w:widowControl/>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第一个信封评分分值构成</w:t>
            </w:r>
          </w:p>
          <w:p w14:paraId="6941AE79">
            <w:pPr>
              <w:widowControl/>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(总100分）</w:t>
            </w:r>
          </w:p>
        </w:tc>
        <w:tc>
          <w:tcPr>
            <w:tcW w:w="3972" w:type="pct"/>
            <w:vAlign w:val="center"/>
          </w:tcPr>
          <w:p w14:paraId="47ED05F3">
            <w:pPr>
              <w:widowControl/>
              <w:spacing w:line="400" w:lineRule="exac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施工组织设计及</w:t>
            </w:r>
            <w:r>
              <w:rPr>
                <w:rFonts w:hint="eastAsia" w:ascii="宋体" w:hAnsi="宋体" w:cs="宋体"/>
                <w:color w:val="000000" w:themeColor="text1"/>
                <w:kern w:val="0"/>
                <w:sz w:val="24"/>
                <w:highlight w:val="none"/>
                <w:u w:val="single"/>
                <w14:textFill>
                  <w14:solidFill>
                    <w14:schemeClr w14:val="tx1"/>
                  </w14:solidFill>
                </w14:textFill>
              </w:rPr>
              <w:t>承包人项目管理方案</w:t>
            </w:r>
            <w:r>
              <w:rPr>
                <w:rFonts w:hint="eastAsia" w:ascii="宋体" w:hAnsi="宋体" w:cs="宋体"/>
                <w:color w:val="000000" w:themeColor="text1"/>
                <w:kern w:val="0"/>
                <w:sz w:val="24"/>
                <w:highlight w:val="none"/>
                <w14:textFill>
                  <w14:solidFill>
                    <w14:schemeClr w14:val="tx1"/>
                  </w14:solidFill>
                </w14:textFill>
              </w:rPr>
              <w:t>（A）：</w:t>
            </w:r>
            <w:r>
              <w:rPr>
                <w:rFonts w:hint="eastAsia" w:ascii="宋体" w:hAnsi="宋体" w:cs="宋体"/>
                <w:color w:val="000000" w:themeColor="text1"/>
                <w:kern w:val="0"/>
                <w:sz w:val="24"/>
                <w:highlight w:val="none"/>
                <w:u w:val="single"/>
                <w14:textFill>
                  <w14:solidFill>
                    <w14:schemeClr w14:val="tx1"/>
                  </w14:solidFill>
                </w14:textFill>
              </w:rPr>
              <w:t>40</w:t>
            </w:r>
            <w:r>
              <w:rPr>
                <w:rFonts w:hint="eastAsia" w:ascii="宋体" w:hAnsi="宋体" w:cs="宋体"/>
                <w:color w:val="000000" w:themeColor="text1"/>
                <w:kern w:val="0"/>
                <w:sz w:val="24"/>
                <w:highlight w:val="none"/>
                <w14:textFill>
                  <w14:solidFill>
                    <w14:schemeClr w14:val="tx1"/>
                  </w14:solidFill>
                </w14:textFill>
              </w:rPr>
              <w:t>分</w:t>
            </w:r>
          </w:p>
          <w:p w14:paraId="0797316F">
            <w:pPr>
              <w:widowControl/>
              <w:spacing w:line="400" w:lineRule="exac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主要人员（B）：</w:t>
            </w:r>
            <w:r>
              <w:rPr>
                <w:rFonts w:hint="eastAsia" w:ascii="宋体" w:hAnsi="宋体" w:cs="宋体"/>
                <w:color w:val="000000" w:themeColor="text1"/>
                <w:kern w:val="0"/>
                <w:sz w:val="24"/>
                <w:highlight w:val="none"/>
                <w:u w:val="single"/>
                <w14:textFill>
                  <w14:solidFill>
                    <w14:schemeClr w14:val="tx1"/>
                  </w14:solidFill>
                </w14:textFill>
              </w:rPr>
              <w:t>25</w:t>
            </w:r>
            <w:r>
              <w:rPr>
                <w:rFonts w:hint="eastAsia" w:ascii="宋体" w:hAnsi="宋体" w:cs="宋体"/>
                <w:color w:val="000000" w:themeColor="text1"/>
                <w:kern w:val="0"/>
                <w:sz w:val="24"/>
                <w:highlight w:val="none"/>
                <w14:textFill>
                  <w14:solidFill>
                    <w14:schemeClr w14:val="tx1"/>
                  </w14:solidFill>
                </w14:textFill>
              </w:rPr>
              <w:t>分</w:t>
            </w:r>
          </w:p>
          <w:p w14:paraId="252A0BC3">
            <w:pPr>
              <w:widowControl/>
              <w:spacing w:line="400" w:lineRule="exact"/>
              <w:rPr>
                <w:rFonts w:hint="eastAsia" w:ascii="宋体" w:hAnsi="宋体" w:cs="宋体"/>
                <w:color w:val="000000" w:themeColor="text1"/>
                <w:kern w:val="0"/>
                <w:sz w:val="24"/>
                <w:highlight w:val="none"/>
                <w:u w:val="singl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其他因素（C）</w:t>
            </w:r>
          </w:p>
          <w:p w14:paraId="12622761">
            <w:pPr>
              <w:widowControl/>
              <w:spacing w:line="400" w:lineRule="exac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技术能力：</w:t>
            </w:r>
            <w:r>
              <w:rPr>
                <w:rFonts w:hint="eastAsia" w:ascii="宋体" w:hAnsi="宋体" w:cs="宋体"/>
                <w:color w:val="000000" w:themeColor="text1"/>
                <w:kern w:val="0"/>
                <w:sz w:val="24"/>
                <w:highlight w:val="none"/>
                <w:u w:val="single"/>
                <w14:textFill>
                  <w14:solidFill>
                    <w14:schemeClr w14:val="tx1"/>
                  </w14:solidFill>
                </w14:textFill>
              </w:rPr>
              <w:t>10</w:t>
            </w:r>
            <w:r>
              <w:rPr>
                <w:rFonts w:hint="eastAsia" w:ascii="宋体" w:hAnsi="宋体" w:cs="宋体"/>
                <w:color w:val="000000" w:themeColor="text1"/>
                <w:kern w:val="0"/>
                <w:sz w:val="24"/>
                <w:highlight w:val="none"/>
                <w14:textFill>
                  <w14:solidFill>
                    <w14:schemeClr w14:val="tx1"/>
                  </w14:solidFill>
                </w14:textFill>
              </w:rPr>
              <w:t>分</w:t>
            </w:r>
          </w:p>
          <w:p w14:paraId="0A7F38D4">
            <w:pPr>
              <w:widowControl/>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履约信誉：</w:t>
            </w:r>
            <w:r>
              <w:rPr>
                <w:rFonts w:hint="eastAsia" w:ascii="宋体" w:hAnsi="宋体" w:cs="宋体"/>
                <w:color w:val="000000" w:themeColor="text1"/>
                <w:kern w:val="0"/>
                <w:sz w:val="24"/>
                <w:highlight w:val="none"/>
                <w:u w:val="single"/>
                <w14:textFill>
                  <w14:solidFill>
                    <w14:schemeClr w14:val="tx1"/>
                  </w14:solidFill>
                </w14:textFill>
              </w:rPr>
              <w:t>25</w:t>
            </w:r>
            <w:r>
              <w:rPr>
                <w:rFonts w:hint="eastAsia" w:ascii="宋体" w:hAnsi="宋体" w:cs="宋体"/>
                <w:color w:val="000000" w:themeColor="text1"/>
                <w:kern w:val="0"/>
                <w:sz w:val="24"/>
                <w:highlight w:val="none"/>
                <w14:textFill>
                  <w14:solidFill>
                    <w14:schemeClr w14:val="tx1"/>
                  </w14:solidFill>
                </w14:textFill>
              </w:rPr>
              <w:t>分</w:t>
            </w:r>
          </w:p>
        </w:tc>
      </w:tr>
      <w:tr w14:paraId="62C8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tcBorders>
              <w:bottom w:val="single" w:color="auto" w:sz="4" w:space="0"/>
            </w:tcBorders>
            <w:vAlign w:val="center"/>
          </w:tcPr>
          <w:p w14:paraId="0B51B04E">
            <w:pPr>
              <w:pStyle w:val="99"/>
              <w:kinsoku w:val="0"/>
              <w:overflowPunct w:val="0"/>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2.2.3</w:t>
            </w:r>
          </w:p>
        </w:tc>
        <w:tc>
          <w:tcPr>
            <w:tcW w:w="588" w:type="pct"/>
            <w:tcBorders>
              <w:bottom w:val="single" w:color="auto" w:sz="4" w:space="0"/>
            </w:tcBorders>
            <w:vAlign w:val="center"/>
          </w:tcPr>
          <w:p w14:paraId="4BACC8B3">
            <w:pPr>
              <w:widowControl/>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第二个信封详细评审标准</w:t>
            </w:r>
          </w:p>
        </w:tc>
        <w:tc>
          <w:tcPr>
            <w:tcW w:w="3972" w:type="pct"/>
            <w:tcBorders>
              <w:bottom w:val="single" w:color="auto" w:sz="4" w:space="0"/>
            </w:tcBorders>
            <w:vAlign w:val="center"/>
          </w:tcPr>
          <w:p w14:paraId="52FBF4A4">
            <w:pPr>
              <w:widowControl/>
              <w:kinsoku w:val="0"/>
              <w:autoSpaceDE w:val="0"/>
              <w:autoSpaceDN w:val="0"/>
              <w:adjustRightInd w:val="0"/>
              <w:snapToGrid w:val="0"/>
              <w:spacing w:line="312" w:lineRule="auto"/>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7"/>
                <w:kern w:val="0"/>
                <w:sz w:val="24"/>
                <w:highlight w:val="none"/>
                <w:lang w:eastAsia="en-US"/>
                <w14:textFill>
                  <w14:solidFill>
                    <w14:schemeClr w14:val="tx1"/>
                  </w14:solidFill>
                </w14:textFill>
              </w:rPr>
              <w:t>评标价的评审：</w:t>
            </w:r>
          </w:p>
          <w:p w14:paraId="78BB378C">
            <w:pPr>
              <w:widowControl/>
              <w:numPr>
                <w:ilvl w:val="0"/>
                <w:numId w:val="5"/>
              </w:numPr>
              <w:kinsoku w:val="0"/>
              <w:autoSpaceDE w:val="0"/>
              <w:autoSpaceDN w:val="0"/>
              <w:adjustRightInd w:val="0"/>
              <w:snapToGrid w:val="0"/>
              <w:spacing w:line="312" w:lineRule="auto"/>
              <w:jc w:val="left"/>
              <w:textAlignment w:val="baseline"/>
              <w:rPr>
                <w:rFonts w:hint="eastAsia" w:ascii="宋体" w:hAnsi="宋体" w:cs="宋体"/>
                <w:snapToGrid w:val="0"/>
                <w:color w:val="000000" w:themeColor="text1"/>
                <w:spacing w:val="3"/>
                <w:kern w:val="0"/>
                <w:sz w:val="24"/>
                <w:highlight w:val="none"/>
                <w:lang w:eastAsia="en-US"/>
                <w14:textFill>
                  <w14:solidFill>
                    <w14:schemeClr w14:val="tx1"/>
                  </w14:solidFill>
                </w14:textFill>
              </w:rPr>
            </w:pPr>
            <w:r>
              <w:rPr>
                <w:rFonts w:ascii="宋体" w:hAnsi="宋体" w:cs="宋体"/>
                <w:snapToGrid w:val="0"/>
                <w:color w:val="000000" w:themeColor="text1"/>
                <w:spacing w:val="3"/>
                <w:kern w:val="0"/>
                <w:sz w:val="24"/>
                <w:highlight w:val="none"/>
                <w:lang w:eastAsia="en-US"/>
                <w14:textFill>
                  <w14:solidFill>
                    <w14:schemeClr w14:val="tx1"/>
                  </w14:solidFill>
                </w14:textFill>
              </w:rPr>
              <w:t>评标价计算公式：</w:t>
            </w:r>
          </w:p>
          <w:p w14:paraId="26DCAC06">
            <w:pPr>
              <w:widowControl/>
              <w:kinsoku w:val="0"/>
              <w:autoSpaceDE w:val="0"/>
              <w:autoSpaceDN w:val="0"/>
              <w:adjustRightInd w:val="0"/>
              <w:snapToGrid w:val="0"/>
              <w:spacing w:line="312" w:lineRule="auto"/>
              <w:ind w:firstLine="260" w:firstLineChars="1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0"/>
                <w:kern w:val="0"/>
                <w:sz w:val="24"/>
                <w:highlight w:val="none"/>
                <w14:textFill>
                  <w14:solidFill>
                    <w14:schemeClr w14:val="tx1"/>
                  </w14:solidFill>
                </w14:textFill>
              </w:rPr>
              <w:t>评标价=</w:t>
            </w:r>
            <w:r>
              <w:rPr>
                <w:rFonts w:ascii="宋体" w:hAnsi="宋体" w:cs="宋体"/>
                <w:snapToGrid w:val="0"/>
                <w:color w:val="000000" w:themeColor="text1"/>
                <w:spacing w:val="10"/>
                <w:kern w:val="0"/>
                <w:sz w:val="24"/>
                <w:highlight w:val="none"/>
                <w:u w:val="single"/>
                <w14:textFill>
                  <w14:solidFill>
                    <w14:schemeClr w14:val="tx1"/>
                  </w14:solidFill>
                </w14:textFill>
              </w:rPr>
              <w:t>修正后的投标总报价-暂估价-暂列金额（不含计日工总额）-</w:t>
            </w:r>
            <w:r>
              <w:rPr>
                <w:rFonts w:ascii="宋体" w:hAnsi="宋体" w:cs="宋体"/>
                <w:snapToGrid w:val="0"/>
                <w:color w:val="000000" w:themeColor="text1"/>
                <w:spacing w:val="7"/>
                <w:kern w:val="0"/>
                <w:sz w:val="24"/>
                <w:highlight w:val="none"/>
                <w:u w:val="single"/>
                <w14:textFill>
                  <w14:solidFill>
                    <w14:schemeClr w14:val="tx1"/>
                  </w14:solidFill>
                </w14:textFill>
              </w:rPr>
              <w:t>安全生产费</w:t>
            </w:r>
          </w:p>
          <w:p w14:paraId="036F5E9F">
            <w:pPr>
              <w:widowControl/>
              <w:spacing w:line="312" w:lineRule="auto"/>
              <w:ind w:firstLine="520" w:firstLineChars="200"/>
              <w:rPr>
                <w:rFonts w:hint="eastAsia" w:ascii="宋体" w:hAnsi="宋体" w:cs="宋体"/>
                <w:snapToGrid w:val="0"/>
                <w:color w:val="000000" w:themeColor="text1"/>
                <w:spacing w:val="9"/>
                <w:kern w:val="0"/>
                <w:sz w:val="22"/>
                <w:szCs w:val="22"/>
                <w:highlight w:val="none"/>
                <w14:textFill>
                  <w14:solidFill>
                    <w14:schemeClr w14:val="tx1"/>
                  </w14:solidFill>
                </w14:textFill>
              </w:rPr>
            </w:pPr>
            <w:r>
              <w:rPr>
                <w:rFonts w:ascii="宋体" w:hAnsi="宋体" w:cs="宋体"/>
                <w:snapToGrid w:val="0"/>
                <w:color w:val="000000" w:themeColor="text1"/>
                <w:spacing w:val="10"/>
                <w:kern w:val="0"/>
                <w:sz w:val="24"/>
                <w:highlight w:val="none"/>
                <w14:textFill>
                  <w14:solidFill>
                    <w14:schemeClr w14:val="tx1"/>
                  </w14:solidFill>
                </w14:textFill>
              </w:rPr>
              <w:t>若投标人的评标价小于最高投标限价</w:t>
            </w:r>
            <w:r>
              <w:rPr>
                <w:rFonts w:hint="eastAsia" w:ascii="宋体" w:hAnsi="宋体" w:cs="宋体"/>
                <w:snapToGrid w:val="0"/>
                <w:color w:val="000000" w:themeColor="text1"/>
                <w:kern w:val="0"/>
                <w:sz w:val="24"/>
                <w:highlight w:val="none"/>
                <w14:textFill>
                  <w14:solidFill>
                    <w14:schemeClr w14:val="tx1"/>
                  </w14:solidFill>
                </w14:textFill>
              </w:rPr>
              <w:t>（扣除暂估价、暂列金额（不含计日工总额）、安全生产费）</w:t>
            </w:r>
            <w:r>
              <w:rPr>
                <w:rFonts w:ascii="宋体" w:hAnsi="宋体" w:cs="宋体"/>
                <w:snapToGrid w:val="0"/>
                <w:color w:val="000000" w:themeColor="text1"/>
                <w:spacing w:val="10"/>
                <w:kern w:val="0"/>
                <w:sz w:val="24"/>
                <w:highlight w:val="none"/>
                <w14:textFill>
                  <w14:solidFill>
                    <w14:schemeClr w14:val="tx1"/>
                  </w14:solidFill>
                </w14:textFill>
              </w:rPr>
              <w:t>85％的，应在投标文件中作</w:t>
            </w:r>
            <w:r>
              <w:rPr>
                <w:rFonts w:ascii="宋体" w:hAnsi="宋体" w:cs="宋体"/>
                <w:snapToGrid w:val="0"/>
                <w:color w:val="000000" w:themeColor="text1"/>
                <w:spacing w:val="7"/>
                <w:kern w:val="0"/>
                <w:sz w:val="24"/>
                <w:highlight w:val="none"/>
                <w14:textFill>
                  <w14:solidFill>
                    <w14:schemeClr w14:val="tx1"/>
                  </w14:solidFill>
                </w14:textFill>
              </w:rPr>
              <w:t>出说明并提供相关证明材料（如主要材料/设备采购意向书/合同、人工</w:t>
            </w:r>
            <w:r>
              <w:rPr>
                <w:rFonts w:ascii="宋体" w:hAnsi="宋体" w:cs="宋体"/>
                <w:snapToGrid w:val="0"/>
                <w:color w:val="000000" w:themeColor="text1"/>
                <w:spacing w:val="8"/>
                <w:kern w:val="0"/>
                <w:sz w:val="24"/>
                <w:highlight w:val="none"/>
                <w14:textFill>
                  <w14:solidFill>
                    <w14:schemeClr w14:val="tx1"/>
                  </w14:solidFill>
                </w14:textFill>
              </w:rPr>
              <w:t>费计算依据、关键分包成本、管理费计算说明等</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8"/>
                <w:kern w:val="0"/>
                <w:sz w:val="24"/>
                <w:highlight w:val="none"/>
                <w14:textFill>
                  <w14:solidFill>
                    <w14:schemeClr w14:val="tx1"/>
                  </w14:solidFill>
                </w14:textFill>
              </w:rPr>
              <w:t>投标人不能合理说</w:t>
            </w:r>
            <w:r>
              <w:rPr>
                <w:rFonts w:ascii="宋体" w:hAnsi="宋体" w:cs="宋体"/>
                <w:snapToGrid w:val="0"/>
                <w:color w:val="000000" w:themeColor="text1"/>
                <w:spacing w:val="7"/>
                <w:kern w:val="0"/>
                <w:sz w:val="24"/>
                <w:highlight w:val="none"/>
                <w14:textFill>
                  <w14:solidFill>
                    <w14:schemeClr w14:val="tx1"/>
                  </w14:solidFill>
                </w14:textFill>
              </w:rPr>
              <w:t>明或者不能提供相关证明资料的，评标委员会认定该投标人以低于成本报价竞标，否决其投标。当所有投标人的投标因此种情况被否决；或当因此种情况被否决部分投标人后，有效投标人不足三家，评标委员会认为竞争不足的情况出现时，评标委员会可以否决全部投标。未否决全部</w:t>
            </w:r>
            <w:r>
              <w:rPr>
                <w:rFonts w:ascii="宋体" w:hAnsi="宋体" w:cs="宋体"/>
                <w:snapToGrid w:val="0"/>
                <w:color w:val="000000" w:themeColor="text1"/>
                <w:spacing w:val="9"/>
                <w:kern w:val="0"/>
                <w:sz w:val="24"/>
                <w:highlight w:val="none"/>
                <w14:textFill>
                  <w14:solidFill>
                    <w14:schemeClr w14:val="tx1"/>
                  </w14:solidFill>
                </w14:textFill>
              </w:rPr>
              <w:t>投标的，评标委员会应当在评标报告中阐明理由并推荐中标候选人。</w:t>
            </w:r>
          </w:p>
          <w:p w14:paraId="702A5397">
            <w:pPr>
              <w:widowControl/>
              <w:ind w:firstLine="438" w:firstLineChars="200"/>
              <w:rPr>
                <w:rFonts w:hint="eastAsia" w:ascii="宋体" w:hAnsi="宋体" w:cs="宋体"/>
                <w:snapToGrid w:val="0"/>
                <w:color w:val="000000" w:themeColor="text1"/>
                <w:spacing w:val="9"/>
                <w:kern w:val="0"/>
                <w:szCs w:val="21"/>
                <w:highlight w:val="none"/>
                <w14:textFill>
                  <w14:solidFill>
                    <w14:schemeClr w14:val="tx1"/>
                  </w14:solidFill>
                </w14:textFill>
              </w:rPr>
            </w:pPr>
            <w:r>
              <w:rPr>
                <w:rFonts w:hint="eastAsia" w:ascii="宋体" w:hAnsi="宋体" w:cs="宋体"/>
                <w:b/>
                <w:bCs/>
                <w:snapToGrid w:val="0"/>
                <w:color w:val="000000" w:themeColor="text1"/>
                <w:spacing w:val="9"/>
                <w:kern w:val="0"/>
                <w:sz w:val="20"/>
                <w:szCs w:val="20"/>
                <w:highlight w:val="none"/>
                <w14:textFill>
                  <w14:solidFill>
                    <w14:schemeClr w14:val="tx1"/>
                  </w14:solidFill>
                </w14:textFill>
              </w:rPr>
              <w:t>注：如本项目招标采用第二章“投标人须知 ”第 3.2. 1 项（1）目规定的投标人按照招标人提供的工程量固化清单电子文件填写工程量清单的，无须按照本章第 3.4.2 项和第 3.4.3 项的规定对投标报价进行修正，经评审的投标价（评标</w:t>
            </w:r>
            <w:bookmarkStart w:id="88" w:name="bookmark241"/>
            <w:bookmarkEnd w:id="88"/>
            <w:r>
              <w:rPr>
                <w:rFonts w:hint="eastAsia" w:ascii="宋体" w:hAnsi="宋体" w:cs="宋体"/>
                <w:b/>
                <w:bCs/>
                <w:snapToGrid w:val="0"/>
                <w:color w:val="000000" w:themeColor="text1"/>
                <w:spacing w:val="9"/>
                <w:kern w:val="0"/>
                <w:sz w:val="20"/>
                <w:szCs w:val="20"/>
                <w:highlight w:val="none"/>
                <w14:textFill>
                  <w14:solidFill>
                    <w14:schemeClr w14:val="tx1"/>
                  </w14:solidFill>
                </w14:textFill>
              </w:rPr>
              <w:t>价）=投标函文字报价-暂估价-暂列金额（不含计日工总额）-安全生产费。</w:t>
            </w:r>
          </w:p>
        </w:tc>
      </w:tr>
      <w:tr w14:paraId="463C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38" w:type="pct"/>
            <w:tcBorders>
              <w:top w:val="single" w:color="auto" w:sz="4" w:space="0"/>
              <w:left w:val="single" w:color="auto" w:sz="4" w:space="0"/>
              <w:bottom w:val="single" w:color="auto" w:sz="4" w:space="0"/>
              <w:right w:val="single" w:color="auto" w:sz="4" w:space="0"/>
            </w:tcBorders>
            <w:vAlign w:val="center"/>
          </w:tcPr>
          <w:p w14:paraId="0C5A6D26">
            <w:pPr>
              <w:widowControl/>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3.2.4</w:t>
            </w:r>
          </w:p>
        </w:tc>
        <w:tc>
          <w:tcPr>
            <w:tcW w:w="588" w:type="pct"/>
            <w:tcBorders>
              <w:top w:val="single" w:color="auto" w:sz="4" w:space="0"/>
              <w:left w:val="single" w:color="auto" w:sz="4" w:space="0"/>
              <w:bottom w:val="single" w:color="auto" w:sz="4" w:space="0"/>
              <w:right w:val="single" w:color="auto" w:sz="4" w:space="0"/>
            </w:tcBorders>
            <w:vAlign w:val="center"/>
          </w:tcPr>
          <w:p w14:paraId="50824DF3">
            <w:pPr>
              <w:widowControl/>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通过第一个信封详细评审的投标人数量</w:t>
            </w:r>
          </w:p>
        </w:tc>
        <w:tc>
          <w:tcPr>
            <w:tcW w:w="3972" w:type="pct"/>
            <w:tcBorders>
              <w:top w:val="single" w:color="auto" w:sz="4" w:space="0"/>
              <w:left w:val="single" w:color="auto" w:sz="4" w:space="0"/>
              <w:bottom w:val="single" w:color="auto" w:sz="4" w:space="0"/>
              <w:right w:val="single" w:color="auto" w:sz="4" w:space="0"/>
            </w:tcBorders>
            <w:vAlign w:val="center"/>
          </w:tcPr>
          <w:p w14:paraId="79FE7EBD">
            <w:pPr>
              <w:pStyle w:val="124"/>
              <w:spacing w:line="312" w:lineRule="auto"/>
              <w:ind w:left="117" w:right="108" w:firstLine="417"/>
              <w:rPr>
                <w:rFonts w:hint="eastAsia"/>
                <w:color w:val="000000" w:themeColor="text1"/>
                <w:highlight w:val="none"/>
                <w:lang w:eastAsia="zh-CN"/>
                <w14:textFill>
                  <w14:solidFill>
                    <w14:schemeClr w14:val="tx1"/>
                  </w14:solidFill>
                </w14:textFill>
              </w:rPr>
            </w:pPr>
            <w:r>
              <w:rPr>
                <w:rFonts w:hint="eastAsia"/>
                <w:color w:val="000000" w:themeColor="text1"/>
                <w:spacing w:val="6"/>
                <w:highlight w:val="none"/>
                <w:lang w:eastAsia="zh-CN"/>
                <w14:textFill>
                  <w14:solidFill>
                    <w14:schemeClr w14:val="tx1"/>
                  </w14:solidFill>
                </w14:textFill>
              </w:rPr>
              <w:t>按照投标人的商务和技术得分由高到低排序，选择</w:t>
            </w:r>
            <w:r>
              <w:rPr>
                <w:rFonts w:hint="eastAsia"/>
                <w:color w:val="000000" w:themeColor="text1"/>
                <w:spacing w:val="6"/>
                <w:highlight w:val="none"/>
                <w:u w:val="single"/>
                <w:lang w:eastAsia="zh-CN"/>
                <w14:textFill>
                  <w14:solidFill>
                    <w14:schemeClr w14:val="tx1"/>
                  </w14:solidFill>
                </w14:textFill>
              </w:rPr>
              <w:t>前</w:t>
            </w:r>
            <w:r>
              <w:rPr>
                <w:rFonts w:hint="eastAsia"/>
                <w:color w:val="000000" w:themeColor="text1"/>
                <w:spacing w:val="-28"/>
                <w:highlight w:val="none"/>
                <w:u w:val="single"/>
                <w:lang w:eastAsia="zh-CN"/>
                <w14:textFill>
                  <w14:solidFill>
                    <w14:schemeClr w14:val="tx1"/>
                  </w14:solidFill>
                </w14:textFill>
              </w:rPr>
              <w:t xml:space="preserve"> </w:t>
            </w:r>
            <w:r>
              <w:rPr>
                <w:rFonts w:hint="eastAsia"/>
                <w:color w:val="000000" w:themeColor="text1"/>
                <w:spacing w:val="6"/>
                <w:highlight w:val="none"/>
                <w:u w:val="single"/>
                <w:lang w:eastAsia="zh-CN"/>
                <w14:textFill>
                  <w14:solidFill>
                    <w14:schemeClr w14:val="tx1"/>
                  </w14:solidFill>
                </w14:textFill>
              </w:rPr>
              <w:t>5</w:t>
            </w:r>
            <w:r>
              <w:rPr>
                <w:rFonts w:hint="eastAsia"/>
                <w:color w:val="000000" w:themeColor="text1"/>
                <w:spacing w:val="-38"/>
                <w:highlight w:val="none"/>
                <w:u w:val="single"/>
                <w:lang w:eastAsia="zh-CN"/>
                <w14:textFill>
                  <w14:solidFill>
                    <w14:schemeClr w14:val="tx1"/>
                  </w14:solidFill>
                </w14:textFill>
              </w:rPr>
              <w:t xml:space="preserve"> </w:t>
            </w:r>
            <w:r>
              <w:rPr>
                <w:rFonts w:hint="eastAsia"/>
                <w:color w:val="000000" w:themeColor="text1"/>
                <w:spacing w:val="6"/>
                <w:highlight w:val="none"/>
                <w:u w:val="single"/>
                <w:lang w:eastAsia="zh-CN"/>
                <w14:textFill>
                  <w14:solidFill>
                    <w14:schemeClr w14:val="tx1"/>
                  </w14:solidFill>
                </w14:textFill>
              </w:rPr>
              <w:t>名（不少于</w:t>
            </w:r>
            <w:r>
              <w:rPr>
                <w:rFonts w:hint="eastAsia"/>
                <w:color w:val="000000" w:themeColor="text1"/>
                <w:spacing w:val="7"/>
                <w:highlight w:val="none"/>
                <w:u w:val="single"/>
                <w:lang w:eastAsia="zh-CN"/>
                <w14:textFill>
                  <w14:solidFill>
                    <w14:schemeClr w14:val="tx1"/>
                  </w14:solidFill>
                </w14:textFill>
              </w:rPr>
              <w:t>3</w:t>
            </w:r>
            <w:r>
              <w:rPr>
                <w:rFonts w:hint="eastAsia"/>
                <w:color w:val="000000" w:themeColor="text1"/>
                <w:spacing w:val="-28"/>
                <w:highlight w:val="none"/>
                <w:u w:val="singl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名但不足</w:t>
            </w:r>
            <w:r>
              <w:rPr>
                <w:rFonts w:hint="eastAsia"/>
                <w:color w:val="000000" w:themeColor="text1"/>
                <w:spacing w:val="-32"/>
                <w:highlight w:val="none"/>
                <w:u w:val="singl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5</w:t>
            </w:r>
            <w:r>
              <w:rPr>
                <w:rFonts w:hint="eastAsia"/>
                <w:color w:val="000000" w:themeColor="text1"/>
                <w:spacing w:val="-36"/>
                <w:highlight w:val="none"/>
                <w:u w:val="singl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名时，按全部实际数量）</w:t>
            </w:r>
            <w:r>
              <w:rPr>
                <w:rFonts w:hint="eastAsia"/>
                <w:color w:val="000000" w:themeColor="text1"/>
                <w:spacing w:val="7"/>
                <w:highlight w:val="none"/>
                <w:lang w:eastAsia="zh-CN"/>
                <w14:textFill>
                  <w14:solidFill>
                    <w14:schemeClr w14:val="tx1"/>
                  </w14:solidFill>
                </w14:textFill>
              </w:rPr>
              <w:t>通过详细评审。</w:t>
            </w:r>
          </w:p>
          <w:p w14:paraId="34DB9B0D">
            <w:pPr>
              <w:widowControl/>
              <w:spacing w:line="312" w:lineRule="auto"/>
              <w:ind w:firstLine="254" w:firstLineChars="100"/>
              <w:rPr>
                <w:rFonts w:hint="eastAsia" w:ascii="宋体" w:hAnsi="宋体" w:cs="宋体"/>
                <w:color w:val="000000" w:themeColor="text1"/>
                <w:spacing w:val="7"/>
                <w:sz w:val="24"/>
                <w:highlight w:val="none"/>
                <w14:textFill>
                  <w14:solidFill>
                    <w14:schemeClr w14:val="tx1"/>
                  </w14:solidFill>
                </w14:textFill>
              </w:rPr>
            </w:pPr>
            <w:r>
              <w:rPr>
                <w:rFonts w:hint="eastAsia" w:ascii="宋体" w:hAnsi="宋体" w:cs="宋体"/>
                <w:color w:val="000000" w:themeColor="text1"/>
                <w:spacing w:val="7"/>
                <w:sz w:val="24"/>
                <w:highlight w:val="none"/>
                <w14:textFill>
                  <w14:solidFill>
                    <w14:schemeClr w14:val="tx1"/>
                  </w14:solidFill>
                </w14:textFill>
              </w:rPr>
              <w:t>注：排名不在上述范围内的投标人不参与第二个信封（报价文件）的评审，但不否决其投标。</w:t>
            </w:r>
          </w:p>
          <w:p w14:paraId="69D694FB">
            <w:pPr>
              <w:widowControl/>
              <w:spacing w:line="312" w:lineRule="auto"/>
              <w:ind w:firstLine="215" w:firstLineChars="100"/>
              <w:rPr>
                <w:color w:val="000000" w:themeColor="text1"/>
                <w:spacing w:val="7"/>
                <w:highlight w:val="none"/>
                <w14:textFill>
                  <w14:solidFill>
                    <w14:schemeClr w14:val="tx1"/>
                  </w14:solidFill>
                </w14:textFill>
              </w:rPr>
            </w:pPr>
            <w:r>
              <w:rPr>
                <w:rFonts w:hint="eastAsia" w:ascii="宋体" w:hAnsi="宋体" w:cs="宋体"/>
                <w:b/>
                <w:bCs/>
                <w:color w:val="000000" w:themeColor="text1"/>
                <w:spacing w:val="7"/>
                <w:sz w:val="20"/>
                <w:szCs w:val="22"/>
                <w:highlight w:val="none"/>
                <w14:textFill>
                  <w14:solidFill>
                    <w14:schemeClr w14:val="tx1"/>
                  </w14:solidFill>
                </w14:textFill>
              </w:rPr>
              <w:t>本条所述“名次 ”包含了并列的情况；如名次为1, 1,3,4,5 ，则前5名为5家投标人；如名次为1,2,3,4,5,5 ，则前5</w:t>
            </w:r>
            <w:bookmarkStart w:id="89" w:name="bookmark242"/>
            <w:bookmarkEnd w:id="89"/>
            <w:r>
              <w:rPr>
                <w:rFonts w:hint="eastAsia" w:ascii="宋体" w:hAnsi="宋体" w:cs="宋体"/>
                <w:b/>
                <w:bCs/>
                <w:color w:val="000000" w:themeColor="text1"/>
                <w:spacing w:val="7"/>
                <w:sz w:val="20"/>
                <w:szCs w:val="22"/>
                <w:highlight w:val="none"/>
                <w14:textFill>
                  <w14:solidFill>
                    <w14:schemeClr w14:val="tx1"/>
                  </w14:solidFill>
                </w14:textFill>
              </w:rPr>
              <w:t>名为6家投标人，下同。</w:t>
            </w:r>
          </w:p>
        </w:tc>
      </w:tr>
    </w:tbl>
    <w:p w14:paraId="0DD77416">
      <w:pPr>
        <w:rPr>
          <w:vanish/>
          <w:color w:val="000000" w:themeColor="text1"/>
          <w:highlight w:val="none"/>
          <w14:textFill>
            <w14:solidFill>
              <w14:schemeClr w14:val="tx1"/>
            </w14:solidFill>
          </w14:textFill>
        </w:rPr>
      </w:pPr>
    </w:p>
    <w:tbl>
      <w:tblPr>
        <w:tblStyle w:val="45"/>
        <w:tblW w:w="5311" w:type="pct"/>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456"/>
        <w:gridCol w:w="462"/>
        <w:gridCol w:w="730"/>
        <w:gridCol w:w="1441"/>
        <w:gridCol w:w="815"/>
        <w:gridCol w:w="4906"/>
      </w:tblGrid>
      <w:tr w14:paraId="4054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514" w:type="pct"/>
            <w:gridSpan w:val="6"/>
          </w:tcPr>
          <w:p w14:paraId="74025E4B">
            <w:pPr>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评分因素与权重分值</w:t>
            </w:r>
          </w:p>
        </w:tc>
        <w:tc>
          <w:tcPr>
            <w:tcW w:w="2485" w:type="pct"/>
          </w:tcPr>
          <w:p w14:paraId="0398E7A6">
            <w:pPr>
              <w:spacing w:line="400" w:lineRule="exact"/>
              <w:jc w:val="left"/>
              <w:rPr>
                <w:rFonts w:hint="eastAsia" w:ascii="宋体" w:hAnsi="宋体" w:cs="宋体"/>
                <w:b/>
                <w:bCs/>
                <w:color w:val="000000" w:themeColor="text1"/>
                <w:sz w:val="24"/>
                <w:highlight w:val="none"/>
                <w14:textFill>
                  <w14:solidFill>
                    <w14:schemeClr w14:val="tx1"/>
                  </w14:solidFill>
                </w14:textFill>
              </w:rPr>
            </w:pPr>
          </w:p>
        </w:tc>
      </w:tr>
      <w:tr w14:paraId="7837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Align w:val="center"/>
          </w:tcPr>
          <w:p w14:paraId="5E545BA4">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条款号</w:t>
            </w:r>
          </w:p>
        </w:tc>
        <w:tc>
          <w:tcPr>
            <w:tcW w:w="465" w:type="pct"/>
            <w:gridSpan w:val="2"/>
            <w:vAlign w:val="center"/>
          </w:tcPr>
          <w:p w14:paraId="6D5ABA6A">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评分因素</w:t>
            </w:r>
          </w:p>
        </w:tc>
        <w:tc>
          <w:tcPr>
            <w:tcW w:w="370" w:type="pct"/>
            <w:vAlign w:val="center"/>
          </w:tcPr>
          <w:p w14:paraId="172559A8">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评分因素权重分值</w:t>
            </w:r>
          </w:p>
        </w:tc>
        <w:tc>
          <w:tcPr>
            <w:tcW w:w="730" w:type="pct"/>
            <w:vAlign w:val="center"/>
          </w:tcPr>
          <w:p w14:paraId="241D96D1">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各评分因素细分项</w:t>
            </w:r>
          </w:p>
        </w:tc>
        <w:tc>
          <w:tcPr>
            <w:tcW w:w="411" w:type="pct"/>
            <w:vAlign w:val="center"/>
          </w:tcPr>
          <w:p w14:paraId="1948399F">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分值</w:t>
            </w:r>
          </w:p>
        </w:tc>
        <w:tc>
          <w:tcPr>
            <w:tcW w:w="2485" w:type="pct"/>
            <w:vAlign w:val="center"/>
          </w:tcPr>
          <w:p w14:paraId="743199F2">
            <w:pPr>
              <w:widowControl/>
              <w:spacing w:line="400" w:lineRule="exac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评分标准</w:t>
            </w:r>
          </w:p>
        </w:tc>
      </w:tr>
      <w:tr w14:paraId="71DD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restart"/>
            <w:vAlign w:val="center"/>
          </w:tcPr>
          <w:p w14:paraId="27F3B9B4">
            <w:pPr>
              <w:widowControl/>
              <w:spacing w:line="4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2.2.2</w:t>
            </w:r>
          </w:p>
          <w:p w14:paraId="5DD32FE7">
            <w:pPr>
              <w:widowControl/>
              <w:spacing w:line="4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p w14:paraId="1D6DBE5C">
            <w:pPr>
              <w:spacing w:line="400" w:lineRule="exact"/>
              <w:jc w:val="center"/>
              <w:rPr>
                <w:rFonts w:hint="eastAsia" w:ascii="宋体" w:hAnsi="宋体" w:cs="宋体"/>
                <w:color w:val="000000" w:themeColor="text1"/>
                <w:sz w:val="24"/>
                <w:highlight w:val="none"/>
                <w14:textFill>
                  <w14:solidFill>
                    <w14:schemeClr w14:val="tx1"/>
                  </w14:solidFill>
                </w14:textFill>
              </w:rPr>
            </w:pPr>
          </w:p>
        </w:tc>
        <w:tc>
          <w:tcPr>
            <w:tcW w:w="465" w:type="pct"/>
            <w:gridSpan w:val="2"/>
            <w:vMerge w:val="restart"/>
            <w:vAlign w:val="center"/>
          </w:tcPr>
          <w:p w14:paraId="72800AFF">
            <w:pPr>
              <w:wordWrap w:val="0"/>
              <w:topLinePunct/>
              <w:jc w:val="center"/>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施工组织设计</w:t>
            </w:r>
          </w:p>
          <w:p w14:paraId="25482EFA">
            <w:pPr>
              <w:wordWrap w:val="0"/>
              <w:topLinePunct/>
              <w:jc w:val="center"/>
              <w:rPr>
                <w:rFonts w:hint="eastAsia" w:ascii="宋体" w:hAnsi="宋体" w:cs="宋体"/>
                <w:color w:val="000000" w:themeColor="text1"/>
                <w:sz w:val="24"/>
                <w:highlight w:val="none"/>
                <w:u w:val="singl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及</w:t>
            </w:r>
            <w:r>
              <w:rPr>
                <w:rFonts w:ascii="宋体" w:hAnsi="宋体" w:cs="宋体"/>
                <w:color w:val="000000" w:themeColor="text1"/>
                <w:sz w:val="24"/>
                <w:highlight w:val="none"/>
                <w:u w:val="single"/>
                <w14:textFill>
                  <w14:solidFill>
                    <w14:schemeClr w14:val="tx1"/>
                  </w14:solidFill>
                </w14:textFill>
              </w:rPr>
              <w:t>承包人项目</w:t>
            </w:r>
          </w:p>
          <w:p w14:paraId="6C1BFA18">
            <w:pPr>
              <w:wordWrap w:val="0"/>
              <w:topLinePunct/>
              <w:jc w:val="center"/>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u w:val="single"/>
                <w14:textFill>
                  <w14:solidFill>
                    <w14:schemeClr w14:val="tx1"/>
                  </w14:solidFill>
                </w14:textFill>
              </w:rPr>
              <w:t>管理方案</w:t>
            </w:r>
          </w:p>
        </w:tc>
        <w:tc>
          <w:tcPr>
            <w:tcW w:w="370" w:type="pct"/>
            <w:vMerge w:val="restart"/>
            <w:vAlign w:val="center"/>
          </w:tcPr>
          <w:p w14:paraId="0BFE720C">
            <w:pPr>
              <w:widowControl/>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w:t>
            </w:r>
            <w:r>
              <w:rPr>
                <w:rFonts w:ascii="宋体" w:hAnsi="宋体" w:cs="宋体"/>
                <w:color w:val="000000" w:themeColor="text1"/>
                <w:kern w:val="0"/>
                <w:sz w:val="24"/>
                <w:highlight w:val="none"/>
                <w14:textFill>
                  <w14:solidFill>
                    <w14:schemeClr w14:val="tx1"/>
                  </w14:solidFill>
                </w14:textFill>
              </w:rPr>
              <w:t>分</w:t>
            </w:r>
          </w:p>
        </w:tc>
        <w:tc>
          <w:tcPr>
            <w:tcW w:w="730" w:type="pct"/>
            <w:vAlign w:val="center"/>
          </w:tcPr>
          <w:p w14:paraId="6177127E">
            <w:pPr>
              <w:pStyle w:val="124"/>
              <w:wordWrap w:val="0"/>
              <w:topLinePunct/>
              <w:jc w:val="center"/>
              <w:rPr>
                <w:rFonts w:hint="eastAsia"/>
                <w:color w:val="000000" w:themeColor="text1"/>
                <w:highlight w:val="none"/>
                <w:lang w:eastAsia="zh-CN"/>
                <w14:textFill>
                  <w14:solidFill>
                    <w14:schemeClr w14:val="tx1"/>
                  </w14:solidFill>
                </w14:textFill>
              </w:rPr>
            </w:pPr>
            <w:r>
              <w:rPr>
                <w:color w:val="000000" w:themeColor="text1"/>
                <w:spacing w:val="5"/>
                <w:highlight w:val="none"/>
                <w:lang w:eastAsia="zh-CN"/>
                <w14:textFill>
                  <w14:solidFill>
                    <w14:schemeClr w14:val="tx1"/>
                  </w14:solidFill>
                </w14:textFill>
              </w:rPr>
              <w:t>总体施工</w:t>
            </w:r>
            <w:r>
              <w:rPr>
                <w:color w:val="000000" w:themeColor="text1"/>
                <w:spacing w:val="6"/>
                <w:highlight w:val="none"/>
                <w:lang w:eastAsia="zh-CN"/>
                <w14:textFill>
                  <w14:solidFill>
                    <w14:schemeClr w14:val="tx1"/>
                  </w14:solidFill>
                </w14:textFill>
              </w:rPr>
              <w:t>组织布置</w:t>
            </w:r>
            <w:r>
              <w:rPr>
                <w:color w:val="000000" w:themeColor="text1"/>
                <w:spacing w:val="41"/>
                <w:highlight w:val="none"/>
                <w:lang w:eastAsia="zh-CN"/>
                <w14:textFill>
                  <w14:solidFill>
                    <w14:schemeClr w14:val="tx1"/>
                  </w14:solidFill>
                </w14:textFill>
              </w:rPr>
              <w:t>及规划</w:t>
            </w:r>
          </w:p>
        </w:tc>
        <w:tc>
          <w:tcPr>
            <w:tcW w:w="411" w:type="pct"/>
            <w:vAlign w:val="center"/>
          </w:tcPr>
          <w:p w14:paraId="1B741394">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u w:val="single"/>
                <w14:textFill>
                  <w14:solidFill>
                    <w14:schemeClr w14:val="tx1"/>
                  </w14:solidFill>
                </w14:textFill>
              </w:rPr>
              <w:t>10</w:t>
            </w:r>
            <w:r>
              <w:rPr>
                <w:color w:val="000000" w:themeColor="text1"/>
                <w:spacing w:val="-38"/>
                <w:highlight w:val="none"/>
                <w:u w:val="single"/>
                <w14:textFill>
                  <w14:solidFill>
                    <w14:schemeClr w14:val="tx1"/>
                  </w14:solidFill>
                </w14:textFill>
              </w:rPr>
              <w:t xml:space="preserve"> </w:t>
            </w:r>
            <w:r>
              <w:rPr>
                <w:color w:val="000000" w:themeColor="text1"/>
                <w:spacing w:val="-5"/>
                <w:highlight w:val="none"/>
                <w14:textFill>
                  <w14:solidFill>
                    <w14:schemeClr w14:val="tx1"/>
                  </w14:solidFill>
                </w14:textFill>
              </w:rPr>
              <w:t>分</w:t>
            </w:r>
          </w:p>
        </w:tc>
        <w:tc>
          <w:tcPr>
            <w:tcW w:w="2485" w:type="pct"/>
          </w:tcPr>
          <w:p w14:paraId="094EB342">
            <w:pPr>
              <w:pStyle w:val="124"/>
              <w:wordWrap w:val="0"/>
              <w:topLinePunct/>
              <w:spacing w:line="288" w:lineRule="auto"/>
              <w:ind w:left="113" w:firstLine="11"/>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（1）对项目的基本情况了解全面、准确，施工</w:t>
            </w:r>
            <w:r>
              <w:rPr>
                <w:color w:val="000000" w:themeColor="text1"/>
                <w:spacing w:val="10"/>
                <w:highlight w:val="none"/>
                <w:lang w:eastAsia="zh-CN"/>
                <w14:textFill>
                  <w14:solidFill>
                    <w14:schemeClr w14:val="tx1"/>
                  </w14:solidFill>
                </w14:textFill>
              </w:rPr>
              <w:t>总体布</w:t>
            </w:r>
            <w:r>
              <w:rPr>
                <w:color w:val="000000" w:themeColor="text1"/>
                <w:spacing w:val="7"/>
                <w:highlight w:val="none"/>
                <w:lang w:eastAsia="zh-CN"/>
                <w14:textFill>
                  <w14:solidFill>
                    <w14:schemeClr w14:val="tx1"/>
                  </w14:solidFill>
                </w14:textFill>
              </w:rPr>
              <w:t>置规划、施工进度计划科学合理、可操作性强，按《广东省公路工程施工标准化指南》及《公路工程施工安全防护设施</w:t>
            </w:r>
            <w:r>
              <w:rPr>
                <w:color w:val="000000" w:themeColor="text1"/>
                <w:spacing w:val="2"/>
                <w:highlight w:val="none"/>
                <w:lang w:eastAsia="zh-CN"/>
                <w14:textFill>
                  <w14:solidFill>
                    <w14:schemeClr w14:val="tx1"/>
                  </w14:solidFill>
                </w14:textFill>
              </w:rPr>
              <w:t>技术指南》执行，得</w:t>
            </w:r>
            <w:r>
              <w:rPr>
                <w:color w:val="000000" w:themeColor="text1"/>
                <w:spacing w:val="-38"/>
                <w:highlight w:val="non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8</w:t>
            </w:r>
            <w:r>
              <w:rPr>
                <w:rFonts w:ascii="Arial" w:hAnsi="Arial" w:eastAsia="Arial" w:cs="Arial"/>
                <w:color w:val="000000" w:themeColor="text1"/>
                <w:spacing w:val="2"/>
                <w:highlight w:val="none"/>
                <w:u w:val="single"/>
                <w:lang w:eastAsia="zh-CN"/>
                <w14:textFill>
                  <w14:solidFill>
                    <w14:schemeClr w14:val="tx1"/>
                  </w14:solidFill>
                </w14:textFill>
              </w:rPr>
              <w:t>~</w:t>
            </w:r>
            <w:r>
              <w:rPr>
                <w:rFonts w:ascii="Arial" w:hAnsi="Arial" w:eastAsia="Arial" w:cs="Arial"/>
                <w:color w:val="000000" w:themeColor="text1"/>
                <w:spacing w:val="-31"/>
                <w:highlight w:val="none"/>
                <w:u w:val="singl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10</w:t>
            </w:r>
            <w:r>
              <w:rPr>
                <w:color w:val="000000" w:themeColor="text1"/>
                <w:spacing w:val="-39"/>
                <w:highlight w:val="none"/>
                <w:u w:val="singl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分</w:t>
            </w:r>
            <w:r>
              <w:rPr>
                <w:color w:val="000000" w:themeColor="text1"/>
                <w:spacing w:val="2"/>
                <w:highlight w:val="none"/>
                <w:u w:val="single"/>
                <w:lang w:eastAsia="zh-CN"/>
                <w14:textFill>
                  <w14:solidFill>
                    <w14:schemeClr w14:val="tx1"/>
                  </w14:solidFill>
                </w14:textFill>
              </w:rPr>
              <w:t>（满分分值的</w:t>
            </w:r>
            <w:r>
              <w:rPr>
                <w:color w:val="000000" w:themeColor="text1"/>
                <w:spacing w:val="-36"/>
                <w:highlight w:val="none"/>
                <w:u w:val="singl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80%</w:t>
            </w:r>
            <w:r>
              <w:rPr>
                <w:color w:val="000000" w:themeColor="text1"/>
                <w:spacing w:val="1"/>
                <w:highlight w:val="none"/>
                <w:u w:val="single"/>
                <w:lang w:eastAsia="zh-CN"/>
                <w14:textFill>
                  <w14:solidFill>
                    <w14:schemeClr w14:val="tx1"/>
                  </w14:solidFill>
                </w14:textFill>
              </w:rPr>
              <w:t>～100%</w:t>
            </w:r>
            <w:r>
              <w:rPr>
                <w:color w:val="000000" w:themeColor="text1"/>
                <w:spacing w:val="-32"/>
                <w:highlight w:val="none"/>
                <w:u w:val="single"/>
                <w:lang w:eastAsia="zh-CN"/>
                <w14:textFill>
                  <w14:solidFill>
                    <w14:schemeClr w14:val="tx1"/>
                  </w14:solidFill>
                </w14:textFill>
              </w:rPr>
              <w:t>）</w:t>
            </w:r>
            <w:r>
              <w:rPr>
                <w:color w:val="000000" w:themeColor="text1"/>
                <w:spacing w:val="-32"/>
                <w:highlight w:val="none"/>
                <w:lang w:eastAsia="zh-CN"/>
                <w14:textFill>
                  <w14:solidFill>
                    <w14:schemeClr w14:val="tx1"/>
                  </w14:solidFill>
                </w14:textFill>
              </w:rPr>
              <w:t>；</w:t>
            </w:r>
          </w:p>
          <w:p w14:paraId="2D40879F">
            <w:pPr>
              <w:pStyle w:val="124"/>
              <w:wordWrap w:val="0"/>
              <w:topLinePunct/>
              <w:spacing w:line="288" w:lineRule="auto"/>
              <w:ind w:left="113" w:right="69" w:firstLine="10"/>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（2）满足工程建设需要，施工总体布置规划、施工进</w:t>
            </w:r>
            <w:r>
              <w:rPr>
                <w:color w:val="000000" w:themeColor="text1"/>
                <w:spacing w:val="7"/>
                <w:highlight w:val="none"/>
                <w:lang w:eastAsia="zh-CN"/>
                <w14:textFill>
                  <w14:solidFill>
                    <w14:schemeClr w14:val="tx1"/>
                  </w14:solidFill>
                </w14:textFill>
              </w:rPr>
              <w:t>度计划基本可行，得</w:t>
            </w:r>
            <w:r>
              <w:rPr>
                <w:color w:val="000000" w:themeColor="text1"/>
                <w:spacing w:val="-37"/>
                <w:highlight w:val="none"/>
                <w:lang w:eastAsia="zh-CN"/>
                <w14:textFill>
                  <w14:solidFill>
                    <w14:schemeClr w14:val="tx1"/>
                  </w14:solidFill>
                </w14:textFill>
              </w:rPr>
              <w:t xml:space="preserve"> </w:t>
            </w:r>
            <w:r>
              <w:rPr>
                <w:color w:val="000000" w:themeColor="text1"/>
                <w:spacing w:val="7"/>
                <w:highlight w:val="none"/>
                <w:u w:val="single"/>
                <w:lang w:eastAsia="zh-CN"/>
                <w14:textFill>
                  <w14:solidFill>
                    <w14:schemeClr w14:val="tx1"/>
                  </w14:solidFill>
                </w14:textFill>
              </w:rPr>
              <w:t>6</w:t>
            </w:r>
            <w:r>
              <w:rPr>
                <w:rFonts w:ascii="Arial" w:hAnsi="Arial" w:eastAsia="Arial" w:cs="Arial"/>
                <w:color w:val="000000" w:themeColor="text1"/>
                <w:spacing w:val="7"/>
                <w:highlight w:val="none"/>
                <w:u w:val="single"/>
                <w:lang w:eastAsia="zh-CN"/>
                <w14:textFill>
                  <w14:solidFill>
                    <w14:schemeClr w14:val="tx1"/>
                  </w14:solidFill>
                </w14:textFill>
              </w:rPr>
              <w:t>~</w:t>
            </w:r>
            <w:r>
              <w:rPr>
                <w:color w:val="000000" w:themeColor="text1"/>
                <w:spacing w:val="7"/>
                <w:highlight w:val="none"/>
                <w:u w:val="single"/>
                <w:lang w:eastAsia="zh-CN"/>
                <w14:textFill>
                  <w14:solidFill>
                    <w14:schemeClr w14:val="tx1"/>
                  </w14:solidFill>
                </w14:textFill>
              </w:rPr>
              <w:t>8</w:t>
            </w:r>
            <w:r>
              <w:rPr>
                <w:color w:val="000000" w:themeColor="text1"/>
                <w:spacing w:val="-37"/>
                <w:highlight w:val="none"/>
                <w:u w:val="singl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分</w:t>
            </w:r>
            <w:r>
              <w:rPr>
                <w:color w:val="000000" w:themeColor="text1"/>
                <w:spacing w:val="7"/>
                <w:highlight w:val="none"/>
                <w:u w:val="single"/>
                <w:lang w:eastAsia="zh-CN"/>
                <w14:textFill>
                  <w14:solidFill>
                    <w14:schemeClr w14:val="tx1"/>
                  </w14:solidFill>
                </w14:textFill>
              </w:rPr>
              <w:t>（满分分值的</w:t>
            </w:r>
            <w:r>
              <w:rPr>
                <w:color w:val="000000" w:themeColor="text1"/>
                <w:spacing w:val="-36"/>
                <w:highlight w:val="none"/>
                <w:u w:val="single"/>
                <w:lang w:eastAsia="zh-CN"/>
                <w14:textFill>
                  <w14:solidFill>
                    <w14:schemeClr w14:val="tx1"/>
                  </w14:solidFill>
                </w14:textFill>
              </w:rPr>
              <w:t xml:space="preserve"> </w:t>
            </w:r>
            <w:r>
              <w:rPr>
                <w:color w:val="000000" w:themeColor="text1"/>
                <w:spacing w:val="7"/>
                <w:highlight w:val="none"/>
                <w:u w:val="single"/>
                <w:lang w:eastAsia="zh-CN"/>
                <w14:textFill>
                  <w14:solidFill>
                    <w14:schemeClr w14:val="tx1"/>
                  </w14:solidFill>
                </w14:textFill>
              </w:rPr>
              <w:t>6</w:t>
            </w:r>
            <w:r>
              <w:rPr>
                <w:color w:val="000000" w:themeColor="text1"/>
                <w:spacing w:val="6"/>
                <w:highlight w:val="none"/>
                <w:u w:val="single"/>
                <w:lang w:eastAsia="zh-CN"/>
                <w14:textFill>
                  <w14:solidFill>
                    <w14:schemeClr w14:val="tx1"/>
                  </w14:solidFill>
                </w14:textFill>
              </w:rPr>
              <w:t>0%～80%</w:t>
            </w:r>
            <w:r>
              <w:rPr>
                <w:color w:val="000000" w:themeColor="text1"/>
                <w:spacing w:val="-19"/>
                <w:highlight w:val="none"/>
                <w:u w:val="single"/>
                <w:lang w:eastAsia="zh-CN"/>
                <w14:textFill>
                  <w14:solidFill>
                    <w14:schemeClr w14:val="tx1"/>
                  </w14:solidFill>
                </w14:textFill>
              </w:rPr>
              <w:t>）</w:t>
            </w:r>
            <w:r>
              <w:rPr>
                <w:color w:val="000000" w:themeColor="text1"/>
                <w:spacing w:val="-19"/>
                <w:highlight w:val="none"/>
                <w:lang w:eastAsia="zh-CN"/>
                <w14:textFill>
                  <w14:solidFill>
                    <w14:schemeClr w14:val="tx1"/>
                  </w14:solidFill>
                </w14:textFill>
              </w:rPr>
              <w:t>；</w:t>
            </w:r>
          </w:p>
          <w:p w14:paraId="15855BDD">
            <w:pPr>
              <w:pStyle w:val="124"/>
              <w:wordWrap w:val="0"/>
              <w:topLinePunct/>
              <w:spacing w:line="288" w:lineRule="auto"/>
              <w:ind w:left="116" w:right="107" w:firstLine="8"/>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（3）一般但不被评定为不响应的,得</w:t>
            </w:r>
            <w:r>
              <w:rPr>
                <w:color w:val="000000" w:themeColor="text1"/>
                <w:spacing w:val="-35"/>
                <w:highlight w:val="none"/>
                <w:lang w:eastAsia="zh-CN"/>
                <w14:textFill>
                  <w14:solidFill>
                    <w14:schemeClr w14:val="tx1"/>
                  </w14:solidFill>
                </w14:textFill>
              </w:rPr>
              <w:t xml:space="preserve"> </w:t>
            </w:r>
            <w:r>
              <w:rPr>
                <w:color w:val="000000" w:themeColor="text1"/>
                <w:spacing w:val="7"/>
                <w:highlight w:val="none"/>
                <w:u w:val="single"/>
                <w:lang w:eastAsia="zh-CN"/>
                <w14:textFill>
                  <w14:solidFill>
                    <w14:schemeClr w14:val="tx1"/>
                  </w14:solidFill>
                </w14:textFill>
              </w:rPr>
              <w:t>6</w:t>
            </w:r>
            <w:r>
              <w:rPr>
                <w:color w:val="000000" w:themeColor="text1"/>
                <w:spacing w:val="-38"/>
                <w:highlight w:val="none"/>
                <w:u w:val="singl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分</w:t>
            </w:r>
            <w:r>
              <w:rPr>
                <w:color w:val="000000" w:themeColor="text1"/>
                <w:spacing w:val="6"/>
                <w:highlight w:val="none"/>
                <w:u w:val="single"/>
                <w:lang w:eastAsia="zh-CN"/>
                <w14:textFill>
                  <w14:solidFill>
                    <w14:schemeClr w14:val="tx1"/>
                  </w14:solidFill>
                </w14:textFill>
              </w:rPr>
              <w:t>（满分分值的</w:t>
            </w:r>
            <w:r>
              <w:rPr>
                <w:color w:val="000000" w:themeColor="text1"/>
                <w:spacing w:val="1"/>
                <w:highlight w:val="none"/>
                <w:u w:val="single"/>
                <w:lang w:eastAsia="zh-CN"/>
                <w14:textFill>
                  <w14:solidFill>
                    <w14:schemeClr w14:val="tx1"/>
                  </w14:solidFill>
                </w14:textFill>
              </w:rPr>
              <w:t>60%）</w:t>
            </w:r>
            <w:r>
              <w:rPr>
                <w:color w:val="000000" w:themeColor="text1"/>
                <w:spacing w:val="1"/>
                <w:highlight w:val="none"/>
                <w:lang w:eastAsia="zh-CN"/>
                <w14:textFill>
                  <w14:solidFill>
                    <w14:schemeClr w14:val="tx1"/>
                  </w14:solidFill>
                </w14:textFill>
              </w:rPr>
              <w:t>。</w:t>
            </w:r>
          </w:p>
        </w:tc>
      </w:tr>
      <w:tr w14:paraId="15D7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39890FEE">
            <w:pPr>
              <w:spacing w:line="400" w:lineRule="exact"/>
              <w:jc w:val="center"/>
              <w:rPr>
                <w:rFonts w:hint="eastAsia" w:ascii="宋体" w:hAnsi="宋体" w:cs="宋体"/>
                <w:color w:val="000000" w:themeColor="text1"/>
                <w:sz w:val="24"/>
                <w:highlight w:val="none"/>
                <w14:textFill>
                  <w14:solidFill>
                    <w14:schemeClr w14:val="tx1"/>
                  </w14:solidFill>
                </w14:textFill>
              </w:rPr>
            </w:pPr>
          </w:p>
        </w:tc>
        <w:tc>
          <w:tcPr>
            <w:tcW w:w="465" w:type="pct"/>
            <w:gridSpan w:val="2"/>
            <w:vMerge w:val="continue"/>
            <w:vAlign w:val="center"/>
          </w:tcPr>
          <w:p w14:paraId="5B4B2EC7">
            <w:pPr>
              <w:jc w:val="center"/>
              <w:rPr>
                <w:rFonts w:hint="eastAsia" w:ascii="宋体" w:hAnsi="宋体" w:cs="宋体"/>
                <w:color w:val="000000" w:themeColor="text1"/>
                <w:sz w:val="24"/>
                <w:highlight w:val="none"/>
                <w14:textFill>
                  <w14:solidFill>
                    <w14:schemeClr w14:val="tx1"/>
                  </w14:solidFill>
                </w14:textFill>
              </w:rPr>
            </w:pPr>
          </w:p>
        </w:tc>
        <w:tc>
          <w:tcPr>
            <w:tcW w:w="370" w:type="pct"/>
            <w:vMerge w:val="continue"/>
            <w:vAlign w:val="center"/>
          </w:tcPr>
          <w:p w14:paraId="383FD7EA">
            <w:pPr>
              <w:widowControl/>
              <w:jc w:val="center"/>
              <w:rPr>
                <w:rFonts w:hint="eastAsia" w:ascii="宋体" w:hAnsi="宋体" w:cs="宋体"/>
                <w:color w:val="000000" w:themeColor="text1"/>
                <w:sz w:val="24"/>
                <w:highlight w:val="none"/>
                <w14:textFill>
                  <w14:solidFill>
                    <w14:schemeClr w14:val="tx1"/>
                  </w14:solidFill>
                </w14:textFill>
              </w:rPr>
            </w:pPr>
          </w:p>
        </w:tc>
        <w:tc>
          <w:tcPr>
            <w:tcW w:w="730" w:type="pct"/>
            <w:vAlign w:val="center"/>
          </w:tcPr>
          <w:p w14:paraId="16CBAEA0">
            <w:pPr>
              <w:pStyle w:val="124"/>
              <w:wordWrap w:val="0"/>
              <w:topLinePunct/>
              <w:jc w:val="center"/>
              <w:rPr>
                <w:rFonts w:hint="eastAsia"/>
                <w:color w:val="000000" w:themeColor="text1"/>
                <w:highlight w:val="none"/>
                <w:lang w:eastAsia="zh-CN"/>
                <w14:textFill>
                  <w14:solidFill>
                    <w14:schemeClr w14:val="tx1"/>
                  </w14:solidFill>
                </w14:textFill>
              </w:rPr>
            </w:pPr>
            <w:r>
              <w:rPr>
                <w:color w:val="000000" w:themeColor="text1"/>
                <w:spacing w:val="7"/>
                <w:highlight w:val="none"/>
                <w:lang w:eastAsia="zh-CN"/>
                <w14:textFill>
                  <w14:solidFill>
                    <w14:schemeClr w14:val="tx1"/>
                  </w14:solidFill>
                </w14:textFill>
              </w:rPr>
              <w:t>重点、难点和关键工程的施工方案与技术措施</w:t>
            </w:r>
          </w:p>
        </w:tc>
        <w:tc>
          <w:tcPr>
            <w:tcW w:w="411" w:type="pct"/>
            <w:vAlign w:val="center"/>
          </w:tcPr>
          <w:p w14:paraId="15174799">
            <w:pPr>
              <w:jc w:val="center"/>
              <w:rPr>
                <w:rFonts w:ascii="Arial"/>
                <w:color w:val="000000" w:themeColor="text1"/>
                <w:highlight w:val="none"/>
                <w14:textFill>
                  <w14:solidFill>
                    <w14:schemeClr w14:val="tx1"/>
                  </w14:solidFill>
                </w14:textFill>
              </w:rPr>
            </w:pPr>
          </w:p>
          <w:p w14:paraId="2A2E96B5">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u w:val="single"/>
                <w14:textFill>
                  <w14:solidFill>
                    <w14:schemeClr w14:val="tx1"/>
                  </w14:solidFill>
                </w14:textFill>
              </w:rPr>
              <w:t>10</w:t>
            </w:r>
            <w:r>
              <w:rPr>
                <w:color w:val="000000" w:themeColor="text1"/>
                <w:spacing w:val="-38"/>
                <w:highlight w:val="none"/>
                <w14:textFill>
                  <w14:solidFill>
                    <w14:schemeClr w14:val="tx1"/>
                  </w14:solidFill>
                </w14:textFill>
              </w:rPr>
              <w:t xml:space="preserve"> </w:t>
            </w:r>
            <w:r>
              <w:rPr>
                <w:color w:val="000000" w:themeColor="text1"/>
                <w:spacing w:val="-5"/>
                <w:highlight w:val="none"/>
                <w14:textFill>
                  <w14:solidFill>
                    <w14:schemeClr w14:val="tx1"/>
                  </w14:solidFill>
                </w14:textFill>
              </w:rPr>
              <w:t>分</w:t>
            </w:r>
          </w:p>
        </w:tc>
        <w:tc>
          <w:tcPr>
            <w:tcW w:w="2485" w:type="pct"/>
          </w:tcPr>
          <w:p w14:paraId="62AB02B8">
            <w:pPr>
              <w:pStyle w:val="124"/>
              <w:wordWrap w:val="0"/>
              <w:topLinePunct/>
              <w:spacing w:line="288" w:lineRule="auto"/>
              <w:ind w:left="115" w:right="107" w:firstLine="9"/>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（1）对项目重点、难点和关键工程认识分析透彻，能</w:t>
            </w:r>
            <w:r>
              <w:rPr>
                <w:color w:val="000000" w:themeColor="text1"/>
                <w:spacing w:val="6"/>
                <w:highlight w:val="none"/>
                <w:lang w:eastAsia="zh-CN"/>
                <w14:textFill>
                  <w14:solidFill>
                    <w14:schemeClr w14:val="tx1"/>
                  </w14:solidFill>
                </w14:textFill>
              </w:rPr>
              <w:t>充分发挥自身优势，积极采用“</w:t>
            </w:r>
            <w:r>
              <w:rPr>
                <w:color w:val="000000" w:themeColor="text1"/>
                <w:spacing w:val="-71"/>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四新</w:t>
            </w:r>
            <w:r>
              <w:rPr>
                <w:color w:val="000000" w:themeColor="text1"/>
                <w:spacing w:val="-70"/>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”技术，制定的施</w:t>
            </w:r>
            <w:r>
              <w:rPr>
                <w:color w:val="000000" w:themeColor="text1"/>
                <w:spacing w:val="8"/>
                <w:highlight w:val="none"/>
                <w:lang w:eastAsia="zh-CN"/>
                <w14:textFill>
                  <w14:solidFill>
                    <w14:schemeClr w14:val="tx1"/>
                  </w14:solidFill>
                </w14:textFill>
              </w:rPr>
              <w:t>工方案与技术措施针对性和可操作性强，重点突出的，按《广东省公路工程施工标准化指南》及《公路工程施工安全防护设施技术指南》执行，得</w:t>
            </w:r>
            <w:r>
              <w:rPr>
                <w:color w:val="000000" w:themeColor="text1"/>
                <w:spacing w:val="-33"/>
                <w:highlight w:val="none"/>
                <w:lang w:eastAsia="zh-CN"/>
                <w14:textFill>
                  <w14:solidFill>
                    <w14:schemeClr w14:val="tx1"/>
                  </w14:solidFill>
                </w14:textFill>
              </w:rPr>
              <w:t xml:space="preserve"> </w:t>
            </w:r>
            <w:r>
              <w:rPr>
                <w:color w:val="000000" w:themeColor="text1"/>
                <w:spacing w:val="8"/>
                <w:highlight w:val="none"/>
                <w:u w:val="single"/>
                <w:lang w:eastAsia="zh-CN"/>
                <w14:textFill>
                  <w14:solidFill>
                    <w14:schemeClr w14:val="tx1"/>
                  </w14:solidFill>
                </w14:textFill>
              </w:rPr>
              <w:t>8</w:t>
            </w:r>
            <w:r>
              <w:rPr>
                <w:rFonts w:ascii="Arial" w:hAnsi="Arial" w:eastAsia="Arial" w:cs="Arial"/>
                <w:color w:val="000000" w:themeColor="text1"/>
                <w:spacing w:val="8"/>
                <w:highlight w:val="none"/>
                <w:u w:val="single"/>
                <w:lang w:eastAsia="zh-CN"/>
                <w14:textFill>
                  <w14:solidFill>
                    <w14:schemeClr w14:val="tx1"/>
                  </w14:solidFill>
                </w14:textFill>
              </w:rPr>
              <w:t>～</w:t>
            </w:r>
            <w:r>
              <w:rPr>
                <w:rFonts w:ascii="Arial" w:hAnsi="Arial" w:eastAsia="Arial" w:cs="Arial"/>
                <w:color w:val="000000" w:themeColor="text1"/>
                <w:spacing w:val="-31"/>
                <w:highlight w:val="none"/>
                <w:u w:val="single"/>
                <w:lang w:eastAsia="zh-CN"/>
                <w14:textFill>
                  <w14:solidFill>
                    <w14:schemeClr w14:val="tx1"/>
                  </w14:solidFill>
                </w14:textFill>
              </w:rPr>
              <w:t xml:space="preserve"> </w:t>
            </w:r>
            <w:r>
              <w:rPr>
                <w:color w:val="000000" w:themeColor="text1"/>
                <w:spacing w:val="8"/>
                <w:highlight w:val="none"/>
                <w:u w:val="single"/>
                <w:lang w:eastAsia="zh-CN"/>
                <w14:textFill>
                  <w14:solidFill>
                    <w14:schemeClr w14:val="tx1"/>
                  </w14:solidFill>
                </w14:textFill>
              </w:rPr>
              <w:t>10</w:t>
            </w:r>
            <w:r>
              <w:rPr>
                <w:color w:val="000000" w:themeColor="text1"/>
                <w:spacing w:val="-36"/>
                <w:highlight w:val="none"/>
                <w:u w:val="single"/>
                <w:lang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分</w:t>
            </w:r>
            <w:r>
              <w:rPr>
                <w:color w:val="000000" w:themeColor="text1"/>
                <w:spacing w:val="8"/>
                <w:highlight w:val="none"/>
                <w:u w:val="single"/>
                <w:lang w:eastAsia="zh-CN"/>
                <w14:textFill>
                  <w14:solidFill>
                    <w14:schemeClr w14:val="tx1"/>
                  </w14:solidFill>
                </w14:textFill>
              </w:rPr>
              <w:t>（满分分值的80%～</w:t>
            </w:r>
            <w:r>
              <w:rPr>
                <w:color w:val="000000" w:themeColor="text1"/>
                <w:spacing w:val="2"/>
                <w:highlight w:val="none"/>
                <w:u w:val="single"/>
                <w:lang w:eastAsia="zh-CN"/>
                <w14:textFill>
                  <w14:solidFill>
                    <w14:schemeClr w14:val="tx1"/>
                  </w14:solidFill>
                </w14:textFill>
              </w:rPr>
              <w:t>100%</w:t>
            </w:r>
            <w:r>
              <w:rPr>
                <w:color w:val="000000" w:themeColor="text1"/>
                <w:highlight w:val="none"/>
                <w:u w:val="single"/>
                <w:lang w:eastAsia="zh-CN"/>
                <w14:textFill>
                  <w14:solidFill>
                    <w14:schemeClr w14:val="tx1"/>
                  </w14:solidFill>
                </w14:textFill>
              </w:rPr>
              <w:t>）</w:t>
            </w:r>
            <w:r>
              <w:rPr>
                <w:color w:val="000000" w:themeColor="text1"/>
                <w:highlight w:val="none"/>
                <w:lang w:eastAsia="zh-CN"/>
                <w14:textFill>
                  <w14:solidFill>
                    <w14:schemeClr w14:val="tx1"/>
                  </w14:solidFill>
                </w14:textFill>
              </w:rPr>
              <w:t>；</w:t>
            </w:r>
          </w:p>
          <w:p w14:paraId="1E44A490">
            <w:pPr>
              <w:pStyle w:val="124"/>
              <w:wordWrap w:val="0"/>
              <w:topLinePunct/>
              <w:spacing w:line="288" w:lineRule="auto"/>
              <w:ind w:left="116" w:right="107" w:firstLine="8"/>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（2）对项目重点、难点和关键工程认识基本到位，施</w:t>
            </w:r>
            <w:r>
              <w:rPr>
                <w:color w:val="000000" w:themeColor="text1"/>
                <w:spacing w:val="23"/>
                <w:highlight w:val="none"/>
                <w:lang w:eastAsia="zh-CN"/>
                <w14:textFill>
                  <w14:solidFill>
                    <w14:schemeClr w14:val="tx1"/>
                  </w14:solidFill>
                </w14:textFill>
              </w:rPr>
              <w:t>工方案与技术措施基本可行</w:t>
            </w:r>
            <w:r>
              <w:rPr>
                <w:color w:val="000000" w:themeColor="text1"/>
                <w:spacing w:val="-48"/>
                <w:highlight w:val="none"/>
                <w:lang w:eastAsia="zh-CN"/>
                <w14:textFill>
                  <w14:solidFill>
                    <w14:schemeClr w14:val="tx1"/>
                  </w14:solidFill>
                </w14:textFill>
              </w:rPr>
              <w:t xml:space="preserve"> </w:t>
            </w:r>
            <w:r>
              <w:rPr>
                <w:color w:val="000000" w:themeColor="text1"/>
                <w:spacing w:val="23"/>
                <w:highlight w:val="none"/>
                <w:lang w:eastAsia="zh-CN"/>
                <w14:textFill>
                  <w14:solidFill>
                    <w14:schemeClr w14:val="tx1"/>
                  </w14:solidFill>
                </w14:textFill>
              </w:rPr>
              <w:t>，重点较为突出的</w:t>
            </w:r>
            <w:r>
              <w:rPr>
                <w:color w:val="000000" w:themeColor="text1"/>
                <w:spacing w:val="-53"/>
                <w:highlight w:val="none"/>
                <w:lang w:eastAsia="zh-CN"/>
                <w14:textFill>
                  <w14:solidFill>
                    <w14:schemeClr w14:val="tx1"/>
                  </w14:solidFill>
                </w14:textFill>
              </w:rPr>
              <w:t xml:space="preserve"> </w:t>
            </w:r>
            <w:r>
              <w:rPr>
                <w:color w:val="000000" w:themeColor="text1"/>
                <w:spacing w:val="23"/>
                <w:highlight w:val="none"/>
                <w:lang w:eastAsia="zh-CN"/>
                <w14:textFill>
                  <w14:solidFill>
                    <w14:schemeClr w14:val="tx1"/>
                  </w14:solidFill>
                </w14:textFill>
              </w:rPr>
              <w:t>，得</w:t>
            </w:r>
            <w:r>
              <w:rPr>
                <w:color w:val="000000" w:themeColor="text1"/>
                <w:spacing w:val="5"/>
                <w:highlight w:val="none"/>
                <w:u w:val="single"/>
                <w:lang w:eastAsia="zh-CN"/>
                <w14:textFill>
                  <w14:solidFill>
                    <w14:schemeClr w14:val="tx1"/>
                  </w14:solidFill>
                </w14:textFill>
              </w:rPr>
              <w:t>6</w:t>
            </w:r>
            <w:r>
              <w:rPr>
                <w:rFonts w:ascii="Arial" w:hAnsi="Arial" w:eastAsia="Arial" w:cs="Arial"/>
                <w:color w:val="000000" w:themeColor="text1"/>
                <w:spacing w:val="5"/>
                <w:highlight w:val="none"/>
                <w:u w:val="single"/>
                <w:lang w:eastAsia="zh-CN"/>
                <w14:textFill>
                  <w14:solidFill>
                    <w14:schemeClr w14:val="tx1"/>
                  </w14:solidFill>
                </w14:textFill>
              </w:rPr>
              <w:t>~</w:t>
            </w:r>
            <w:r>
              <w:rPr>
                <w:color w:val="000000" w:themeColor="text1"/>
                <w:spacing w:val="5"/>
                <w:highlight w:val="none"/>
                <w:u w:val="single"/>
                <w:lang w:eastAsia="zh-CN"/>
                <w14:textFill>
                  <w14:solidFill>
                    <w14:schemeClr w14:val="tx1"/>
                  </w14:solidFill>
                </w14:textFill>
              </w:rPr>
              <w:t>8</w:t>
            </w:r>
            <w:r>
              <w:rPr>
                <w:color w:val="000000" w:themeColor="text1"/>
                <w:spacing w:val="-35"/>
                <w:highlight w:val="none"/>
                <w:u w:val="singl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分</w:t>
            </w:r>
            <w:r>
              <w:rPr>
                <w:color w:val="000000" w:themeColor="text1"/>
                <w:spacing w:val="5"/>
                <w:highlight w:val="none"/>
                <w:u w:val="single"/>
                <w:lang w:eastAsia="zh-CN"/>
                <w14:textFill>
                  <w14:solidFill>
                    <w14:schemeClr w14:val="tx1"/>
                  </w14:solidFill>
                </w14:textFill>
              </w:rPr>
              <w:t>（满分分值的</w:t>
            </w:r>
            <w:r>
              <w:rPr>
                <w:color w:val="000000" w:themeColor="text1"/>
                <w:spacing w:val="-37"/>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60%～80%</w:t>
            </w:r>
            <w:r>
              <w:rPr>
                <w:color w:val="000000" w:themeColor="text1"/>
                <w:spacing w:val="3"/>
                <w:highlight w:val="none"/>
                <w:u w:val="single"/>
                <w:lang w:eastAsia="zh-CN"/>
                <w14:textFill>
                  <w14:solidFill>
                    <w14:schemeClr w14:val="tx1"/>
                  </w14:solidFill>
                </w14:textFill>
              </w:rPr>
              <w:t>）</w:t>
            </w:r>
            <w:r>
              <w:rPr>
                <w:color w:val="000000" w:themeColor="text1"/>
                <w:spacing w:val="3"/>
                <w:highlight w:val="none"/>
                <w:lang w:eastAsia="zh-CN"/>
                <w14:textFill>
                  <w14:solidFill>
                    <w14:schemeClr w14:val="tx1"/>
                  </w14:solidFill>
                </w14:textFill>
              </w:rPr>
              <w:t>；</w:t>
            </w:r>
          </w:p>
          <w:p w14:paraId="3BB70F52">
            <w:pPr>
              <w:pStyle w:val="124"/>
              <w:wordWrap w:val="0"/>
              <w:topLinePunct/>
              <w:spacing w:line="288" w:lineRule="auto"/>
              <w:ind w:left="130" w:right="109" w:hanging="6"/>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（3）一般但不被评定为不响应的，得</w:t>
            </w:r>
            <w:r>
              <w:rPr>
                <w:color w:val="000000" w:themeColor="text1"/>
                <w:spacing w:val="-35"/>
                <w:highlight w:val="none"/>
                <w:lang w:eastAsia="zh-CN"/>
                <w14:textFill>
                  <w14:solidFill>
                    <w14:schemeClr w14:val="tx1"/>
                  </w14:solidFill>
                </w14:textFill>
              </w:rPr>
              <w:t xml:space="preserve"> </w:t>
            </w:r>
            <w:r>
              <w:rPr>
                <w:color w:val="000000" w:themeColor="text1"/>
                <w:spacing w:val="11"/>
                <w:highlight w:val="none"/>
                <w:u w:val="single"/>
                <w:lang w:eastAsia="zh-CN"/>
                <w14:textFill>
                  <w14:solidFill>
                    <w14:schemeClr w14:val="tx1"/>
                  </w14:solidFill>
                </w14:textFill>
              </w:rPr>
              <w:t>6</w:t>
            </w:r>
            <w:r>
              <w:rPr>
                <w:color w:val="000000" w:themeColor="text1"/>
                <w:spacing w:val="-31"/>
                <w:highlight w:val="none"/>
                <w:u w:val="singl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分</w:t>
            </w:r>
            <w:r>
              <w:rPr>
                <w:color w:val="000000" w:themeColor="text1"/>
                <w:spacing w:val="11"/>
                <w:highlight w:val="none"/>
                <w:u w:val="single"/>
                <w:lang w:eastAsia="zh-CN"/>
                <w14:textFill>
                  <w14:solidFill>
                    <w14:schemeClr w14:val="tx1"/>
                  </w14:solidFill>
                </w14:textFill>
              </w:rPr>
              <w:t>（</w:t>
            </w:r>
            <w:r>
              <w:rPr>
                <w:color w:val="000000" w:themeColor="text1"/>
                <w:spacing w:val="10"/>
                <w:highlight w:val="none"/>
                <w:u w:val="single"/>
                <w:lang w:eastAsia="zh-CN"/>
                <w14:textFill>
                  <w14:solidFill>
                    <w14:schemeClr w14:val="tx1"/>
                  </w14:solidFill>
                </w14:textFill>
              </w:rPr>
              <w:t>满分分值</w:t>
            </w:r>
            <w:r>
              <w:rPr>
                <w:color w:val="000000" w:themeColor="text1"/>
                <w:spacing w:val="-2"/>
                <w:highlight w:val="none"/>
                <w:u w:val="single"/>
                <w:lang w:eastAsia="zh-CN"/>
                <w14:textFill>
                  <w14:solidFill>
                    <w14:schemeClr w14:val="tx1"/>
                  </w14:solidFill>
                </w14:textFill>
              </w:rPr>
              <w:t>的</w:t>
            </w:r>
            <w:r>
              <w:rPr>
                <w:color w:val="000000" w:themeColor="text1"/>
                <w:spacing w:val="-38"/>
                <w:highlight w:val="none"/>
                <w:u w:val="singl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60%）</w:t>
            </w:r>
            <w:r>
              <w:rPr>
                <w:color w:val="000000" w:themeColor="text1"/>
                <w:spacing w:val="-2"/>
                <w:highlight w:val="none"/>
                <w:lang w:eastAsia="zh-CN"/>
                <w14:textFill>
                  <w14:solidFill>
                    <w14:schemeClr w14:val="tx1"/>
                  </w14:solidFill>
                </w14:textFill>
              </w:rPr>
              <w:t>。</w:t>
            </w:r>
          </w:p>
        </w:tc>
      </w:tr>
      <w:tr w14:paraId="5E04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252CB132">
            <w:pPr>
              <w:spacing w:line="400" w:lineRule="exact"/>
              <w:jc w:val="center"/>
              <w:rPr>
                <w:rFonts w:hint="eastAsia" w:ascii="宋体" w:hAnsi="宋体" w:cs="宋体"/>
                <w:color w:val="000000" w:themeColor="text1"/>
                <w:sz w:val="24"/>
                <w:highlight w:val="none"/>
                <w14:textFill>
                  <w14:solidFill>
                    <w14:schemeClr w14:val="tx1"/>
                  </w14:solidFill>
                </w14:textFill>
              </w:rPr>
            </w:pPr>
          </w:p>
        </w:tc>
        <w:tc>
          <w:tcPr>
            <w:tcW w:w="465" w:type="pct"/>
            <w:gridSpan w:val="2"/>
            <w:vMerge w:val="continue"/>
            <w:vAlign w:val="center"/>
          </w:tcPr>
          <w:p w14:paraId="76D0884C">
            <w:pPr>
              <w:jc w:val="center"/>
              <w:rPr>
                <w:rFonts w:hint="eastAsia" w:ascii="宋体" w:hAnsi="宋体" w:cs="宋体"/>
                <w:color w:val="000000" w:themeColor="text1"/>
                <w:sz w:val="24"/>
                <w:highlight w:val="none"/>
                <w14:textFill>
                  <w14:solidFill>
                    <w14:schemeClr w14:val="tx1"/>
                  </w14:solidFill>
                </w14:textFill>
              </w:rPr>
            </w:pPr>
          </w:p>
        </w:tc>
        <w:tc>
          <w:tcPr>
            <w:tcW w:w="370" w:type="pct"/>
            <w:vMerge w:val="continue"/>
            <w:vAlign w:val="center"/>
          </w:tcPr>
          <w:p w14:paraId="2C18100F">
            <w:pPr>
              <w:widowControl/>
              <w:jc w:val="center"/>
              <w:rPr>
                <w:rFonts w:hint="eastAsia" w:ascii="宋体" w:hAnsi="宋体" w:cs="宋体"/>
                <w:color w:val="000000" w:themeColor="text1"/>
                <w:sz w:val="24"/>
                <w:highlight w:val="none"/>
                <w14:textFill>
                  <w14:solidFill>
                    <w14:schemeClr w14:val="tx1"/>
                  </w14:solidFill>
                </w14:textFill>
              </w:rPr>
            </w:pPr>
          </w:p>
        </w:tc>
        <w:tc>
          <w:tcPr>
            <w:tcW w:w="730" w:type="pct"/>
            <w:vAlign w:val="center"/>
          </w:tcPr>
          <w:p w14:paraId="0919F826">
            <w:pPr>
              <w:pStyle w:val="124"/>
              <w:wordWrap w:val="0"/>
              <w:topLinePunct/>
              <w:jc w:val="center"/>
              <w:rPr>
                <w:rFonts w:hint="eastAsia"/>
                <w:color w:val="000000" w:themeColor="text1"/>
                <w:highlight w:val="none"/>
                <w:lang w:eastAsia="zh-CN"/>
                <w14:textFill>
                  <w14:solidFill>
                    <w14:schemeClr w14:val="tx1"/>
                  </w14:solidFill>
                </w14:textFill>
              </w:rPr>
            </w:pPr>
            <w:r>
              <w:rPr>
                <w:color w:val="000000" w:themeColor="text1"/>
                <w:spacing w:val="6"/>
                <w:highlight w:val="none"/>
                <w:lang w:eastAsia="zh-CN"/>
                <w14:textFill>
                  <w14:solidFill>
                    <w14:schemeClr w14:val="tx1"/>
                  </w14:solidFill>
                </w14:textFill>
              </w:rPr>
              <w:t>工期、质</w:t>
            </w:r>
            <w:r>
              <w:rPr>
                <w:color w:val="000000" w:themeColor="text1"/>
                <w:spacing w:val="-6"/>
                <w:highlight w:val="none"/>
                <w:lang w:eastAsia="zh-CN"/>
                <w14:textFill>
                  <w14:solidFill>
                    <w14:schemeClr w14:val="tx1"/>
                  </w14:solidFill>
                </w14:textFill>
              </w:rPr>
              <w:t>量、安全、</w:t>
            </w:r>
            <w:r>
              <w:rPr>
                <w:color w:val="000000" w:themeColor="text1"/>
                <w:spacing w:val="6"/>
                <w:highlight w:val="none"/>
                <w:lang w:eastAsia="zh-CN"/>
                <w14:textFill>
                  <w14:solidFill>
                    <w14:schemeClr w14:val="tx1"/>
                  </w14:solidFill>
                </w14:textFill>
              </w:rPr>
              <w:t>环保水</w:t>
            </w:r>
            <w:r>
              <w:rPr>
                <w:color w:val="000000" w:themeColor="text1"/>
                <w:spacing w:val="7"/>
                <w:highlight w:val="none"/>
                <w:lang w:eastAsia="zh-CN"/>
                <w14:textFill>
                  <w14:solidFill>
                    <w14:schemeClr w14:val="tx1"/>
                  </w14:solidFill>
                </w14:textFill>
              </w:rPr>
              <w:t>保、文明施工保证</w:t>
            </w:r>
            <w:r>
              <w:rPr>
                <w:color w:val="000000" w:themeColor="text1"/>
                <w:spacing w:val="4"/>
                <w:highlight w:val="none"/>
                <w:lang w:eastAsia="zh-CN"/>
                <w14:textFill>
                  <w14:solidFill>
                    <w14:schemeClr w14:val="tx1"/>
                  </w14:solidFill>
                </w14:textFill>
              </w:rPr>
              <w:t>措施</w:t>
            </w:r>
          </w:p>
        </w:tc>
        <w:tc>
          <w:tcPr>
            <w:tcW w:w="411" w:type="pct"/>
            <w:vAlign w:val="center"/>
          </w:tcPr>
          <w:p w14:paraId="7CEF00C3">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u w:val="single"/>
                <w14:textFill>
                  <w14:solidFill>
                    <w14:schemeClr w14:val="tx1"/>
                  </w14:solidFill>
                </w14:textFill>
              </w:rPr>
              <w:t>10</w:t>
            </w:r>
            <w:r>
              <w:rPr>
                <w:color w:val="000000" w:themeColor="text1"/>
                <w:spacing w:val="-38"/>
                <w:highlight w:val="none"/>
                <w14:textFill>
                  <w14:solidFill>
                    <w14:schemeClr w14:val="tx1"/>
                  </w14:solidFill>
                </w14:textFill>
              </w:rPr>
              <w:t xml:space="preserve"> </w:t>
            </w:r>
            <w:r>
              <w:rPr>
                <w:color w:val="000000" w:themeColor="text1"/>
                <w:spacing w:val="-5"/>
                <w:highlight w:val="none"/>
                <w14:textFill>
                  <w14:solidFill>
                    <w14:schemeClr w14:val="tx1"/>
                  </w14:solidFill>
                </w14:textFill>
              </w:rPr>
              <w:t>分</w:t>
            </w:r>
          </w:p>
        </w:tc>
        <w:tc>
          <w:tcPr>
            <w:tcW w:w="2485" w:type="pct"/>
          </w:tcPr>
          <w:p w14:paraId="4440CB76">
            <w:pPr>
              <w:pStyle w:val="124"/>
              <w:wordWrap w:val="0"/>
              <w:topLinePunct/>
              <w:spacing w:line="288" w:lineRule="auto"/>
              <w:ind w:left="114" w:right="107" w:firstLine="10"/>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（1）能够准确预判分析工期、质量、安全、环保、水</w:t>
            </w:r>
            <w:r>
              <w:rPr>
                <w:color w:val="000000" w:themeColor="text1"/>
                <w:spacing w:val="8"/>
                <w:highlight w:val="none"/>
                <w:lang w:eastAsia="zh-CN"/>
                <w14:textFill>
                  <w14:solidFill>
                    <w14:schemeClr w14:val="tx1"/>
                  </w14:solidFill>
                </w14:textFill>
              </w:rPr>
              <w:t>保、文明施工目标实现的主要影响因素，拟采取预防保证措施针对性强、科学有效，重点突出的，按《广东省公路工程施工标准化指南》及《公路工程施工安全防护设施技术</w:t>
            </w:r>
            <w:r>
              <w:rPr>
                <w:color w:val="000000" w:themeColor="text1"/>
                <w:spacing w:val="5"/>
                <w:highlight w:val="none"/>
                <w:lang w:eastAsia="zh-CN"/>
                <w14:textFill>
                  <w14:solidFill>
                    <w14:schemeClr w14:val="tx1"/>
                  </w14:solidFill>
                </w14:textFill>
              </w:rPr>
              <w:t>指南》执行，得</w:t>
            </w:r>
            <w:r>
              <w:rPr>
                <w:color w:val="000000" w:themeColor="text1"/>
                <w:spacing w:val="-38"/>
                <w:highlight w:val="non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8</w:t>
            </w:r>
            <w:r>
              <w:rPr>
                <w:rFonts w:ascii="Arial" w:hAnsi="Arial" w:eastAsia="Arial" w:cs="Arial"/>
                <w:color w:val="000000" w:themeColor="text1"/>
                <w:spacing w:val="5"/>
                <w:highlight w:val="none"/>
                <w:u w:val="single"/>
                <w:lang w:eastAsia="zh-CN"/>
                <w14:textFill>
                  <w14:solidFill>
                    <w14:schemeClr w14:val="tx1"/>
                  </w14:solidFill>
                </w14:textFill>
              </w:rPr>
              <w:t>～</w:t>
            </w:r>
            <w:r>
              <w:rPr>
                <w:rFonts w:ascii="Arial" w:hAnsi="Arial" w:eastAsia="Arial" w:cs="Arial"/>
                <w:color w:val="000000" w:themeColor="text1"/>
                <w:spacing w:val="-31"/>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10</w:t>
            </w:r>
            <w:r>
              <w:rPr>
                <w:color w:val="000000" w:themeColor="text1"/>
                <w:spacing w:val="-38"/>
                <w:highlight w:val="none"/>
                <w:u w:val="singl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分</w:t>
            </w:r>
            <w:r>
              <w:rPr>
                <w:color w:val="000000" w:themeColor="text1"/>
                <w:spacing w:val="5"/>
                <w:highlight w:val="none"/>
                <w:u w:val="single"/>
                <w:lang w:eastAsia="zh-CN"/>
                <w14:textFill>
                  <w14:solidFill>
                    <w14:schemeClr w14:val="tx1"/>
                  </w14:solidFill>
                </w14:textFill>
              </w:rPr>
              <w:t>（满分分值的</w:t>
            </w:r>
            <w:r>
              <w:rPr>
                <w:color w:val="000000" w:themeColor="text1"/>
                <w:spacing w:val="-33"/>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80%～100%</w:t>
            </w:r>
            <w:r>
              <w:rPr>
                <w:color w:val="000000" w:themeColor="text1"/>
                <w:spacing w:val="4"/>
                <w:highlight w:val="none"/>
                <w:u w:val="single"/>
                <w:lang w:eastAsia="zh-CN"/>
                <w14:textFill>
                  <w14:solidFill>
                    <w14:schemeClr w14:val="tx1"/>
                  </w14:solidFill>
                </w14:textFill>
              </w:rPr>
              <w:t>）</w:t>
            </w:r>
            <w:r>
              <w:rPr>
                <w:color w:val="000000" w:themeColor="text1"/>
                <w:spacing w:val="4"/>
                <w:highlight w:val="none"/>
                <w:lang w:eastAsia="zh-CN"/>
                <w14:textFill>
                  <w14:solidFill>
                    <w14:schemeClr w14:val="tx1"/>
                  </w14:solidFill>
                </w14:textFill>
              </w:rPr>
              <w:t>；</w:t>
            </w:r>
          </w:p>
          <w:p w14:paraId="560B5C30">
            <w:pPr>
              <w:pStyle w:val="124"/>
              <w:wordWrap w:val="0"/>
              <w:topLinePunct/>
              <w:spacing w:line="288" w:lineRule="auto"/>
              <w:ind w:left="114" w:right="107" w:firstLine="10"/>
              <w:rPr>
                <w:rFonts w:hint="eastAsia"/>
                <w:color w:val="000000" w:themeColor="text1"/>
                <w:spacing w:val="4"/>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（2）对工期、质量、安全、环保、水保等风险有一定</w:t>
            </w:r>
            <w:r>
              <w:rPr>
                <w:color w:val="000000" w:themeColor="text1"/>
                <w:spacing w:val="17"/>
                <w:highlight w:val="none"/>
                <w:lang w:eastAsia="zh-CN"/>
                <w14:textFill>
                  <w14:solidFill>
                    <w14:schemeClr w14:val="tx1"/>
                  </w14:solidFill>
                </w14:textFill>
              </w:rPr>
              <w:t>认识，预防保证措施基本可行，重点较为突出的，得</w:t>
            </w:r>
            <w:r>
              <w:rPr>
                <w:color w:val="000000" w:themeColor="text1"/>
                <w:spacing w:val="5"/>
                <w:highlight w:val="none"/>
                <w:u w:val="single"/>
                <w:lang w:eastAsia="zh-CN"/>
                <w14:textFill>
                  <w14:solidFill>
                    <w14:schemeClr w14:val="tx1"/>
                  </w14:solidFill>
                </w14:textFill>
              </w:rPr>
              <w:t>6</w:t>
            </w:r>
            <w:r>
              <w:rPr>
                <w:rFonts w:ascii="Arial" w:hAnsi="Arial" w:eastAsia="Arial" w:cs="Arial"/>
                <w:color w:val="000000" w:themeColor="text1"/>
                <w:spacing w:val="5"/>
                <w:highlight w:val="none"/>
                <w:u w:val="single"/>
                <w:lang w:eastAsia="zh-CN"/>
                <w14:textFill>
                  <w14:solidFill>
                    <w14:schemeClr w14:val="tx1"/>
                  </w14:solidFill>
                </w14:textFill>
              </w:rPr>
              <w:t>～</w:t>
            </w:r>
            <w:r>
              <w:rPr>
                <w:color w:val="000000" w:themeColor="text1"/>
                <w:spacing w:val="5"/>
                <w:highlight w:val="none"/>
                <w:u w:val="single"/>
                <w:lang w:eastAsia="zh-CN"/>
                <w14:textFill>
                  <w14:solidFill>
                    <w14:schemeClr w14:val="tx1"/>
                  </w14:solidFill>
                </w14:textFill>
              </w:rPr>
              <w:t>8</w:t>
            </w:r>
            <w:r>
              <w:rPr>
                <w:color w:val="000000" w:themeColor="text1"/>
                <w:spacing w:val="-35"/>
                <w:highlight w:val="none"/>
                <w:u w:val="singl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分</w:t>
            </w:r>
            <w:r>
              <w:rPr>
                <w:color w:val="000000" w:themeColor="text1"/>
                <w:spacing w:val="5"/>
                <w:highlight w:val="none"/>
                <w:u w:val="single"/>
                <w:lang w:eastAsia="zh-CN"/>
                <w14:textFill>
                  <w14:solidFill>
                    <w14:schemeClr w14:val="tx1"/>
                  </w14:solidFill>
                </w14:textFill>
              </w:rPr>
              <w:t>（满分分值的</w:t>
            </w:r>
            <w:r>
              <w:rPr>
                <w:color w:val="000000" w:themeColor="text1"/>
                <w:spacing w:val="-38"/>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60%～80%</w:t>
            </w:r>
            <w:r>
              <w:rPr>
                <w:color w:val="000000" w:themeColor="text1"/>
                <w:spacing w:val="4"/>
                <w:highlight w:val="none"/>
                <w:u w:val="single"/>
                <w:lang w:eastAsia="zh-CN"/>
                <w14:textFill>
                  <w14:solidFill>
                    <w14:schemeClr w14:val="tx1"/>
                  </w14:solidFill>
                </w14:textFill>
              </w:rPr>
              <w:t>）</w:t>
            </w:r>
            <w:r>
              <w:rPr>
                <w:color w:val="000000" w:themeColor="text1"/>
                <w:spacing w:val="4"/>
                <w:highlight w:val="none"/>
                <w:lang w:eastAsia="zh-CN"/>
                <w14:textFill>
                  <w14:solidFill>
                    <w14:schemeClr w14:val="tx1"/>
                  </w14:solidFill>
                </w14:textFill>
              </w:rPr>
              <w:t>；</w:t>
            </w:r>
          </w:p>
          <w:p w14:paraId="39CD3CDB">
            <w:pPr>
              <w:pStyle w:val="124"/>
              <w:wordWrap w:val="0"/>
              <w:topLinePunct/>
              <w:spacing w:line="288" w:lineRule="auto"/>
              <w:ind w:left="114" w:right="107" w:firstLine="10"/>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（3）一般但不被评定为不响应的，得</w:t>
            </w:r>
            <w:r>
              <w:rPr>
                <w:color w:val="000000" w:themeColor="text1"/>
                <w:spacing w:val="-35"/>
                <w:highlight w:val="none"/>
                <w:lang w:eastAsia="zh-CN"/>
                <w14:textFill>
                  <w14:solidFill>
                    <w14:schemeClr w14:val="tx1"/>
                  </w14:solidFill>
                </w14:textFill>
              </w:rPr>
              <w:t xml:space="preserve"> </w:t>
            </w:r>
            <w:r>
              <w:rPr>
                <w:color w:val="000000" w:themeColor="text1"/>
                <w:spacing w:val="11"/>
                <w:highlight w:val="none"/>
                <w:u w:val="single"/>
                <w:lang w:eastAsia="zh-CN"/>
                <w14:textFill>
                  <w14:solidFill>
                    <w14:schemeClr w14:val="tx1"/>
                  </w14:solidFill>
                </w14:textFill>
              </w:rPr>
              <w:t>6</w:t>
            </w:r>
            <w:r>
              <w:rPr>
                <w:color w:val="000000" w:themeColor="text1"/>
                <w:spacing w:val="-31"/>
                <w:highlight w:val="none"/>
                <w:u w:val="singl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分</w:t>
            </w:r>
            <w:r>
              <w:rPr>
                <w:color w:val="000000" w:themeColor="text1"/>
                <w:spacing w:val="11"/>
                <w:highlight w:val="none"/>
                <w:u w:val="single"/>
                <w:lang w:eastAsia="zh-CN"/>
                <w14:textFill>
                  <w14:solidFill>
                    <w14:schemeClr w14:val="tx1"/>
                  </w14:solidFill>
                </w14:textFill>
              </w:rPr>
              <w:t>（</w:t>
            </w:r>
            <w:r>
              <w:rPr>
                <w:color w:val="000000" w:themeColor="text1"/>
                <w:spacing w:val="10"/>
                <w:highlight w:val="none"/>
                <w:u w:val="single"/>
                <w:lang w:eastAsia="zh-CN"/>
                <w14:textFill>
                  <w14:solidFill>
                    <w14:schemeClr w14:val="tx1"/>
                  </w14:solidFill>
                </w14:textFill>
              </w:rPr>
              <w:t>满分分值</w:t>
            </w:r>
            <w:r>
              <w:rPr>
                <w:color w:val="000000" w:themeColor="text1"/>
                <w:spacing w:val="-2"/>
                <w:highlight w:val="none"/>
                <w:lang w:eastAsia="zh-CN"/>
                <w14:textFill>
                  <w14:solidFill>
                    <w14:schemeClr w14:val="tx1"/>
                  </w14:solidFill>
                </w14:textFill>
              </w:rPr>
              <w:t>的</w:t>
            </w:r>
            <w:r>
              <w:rPr>
                <w:color w:val="000000" w:themeColor="text1"/>
                <w:spacing w:val="-38"/>
                <w:highlight w:val="none"/>
                <w:lang w:eastAsia="zh-CN"/>
                <w14:textFill>
                  <w14:solidFill>
                    <w14:schemeClr w14:val="tx1"/>
                  </w14:solidFill>
                </w14:textFill>
              </w:rPr>
              <w:t xml:space="preserve"> </w:t>
            </w:r>
            <w:r>
              <w:rPr>
                <w:color w:val="000000" w:themeColor="text1"/>
                <w:spacing w:val="-2"/>
                <w:highlight w:val="none"/>
                <w:lang w:eastAsia="zh-CN"/>
                <w14:textFill>
                  <w14:solidFill>
                    <w14:schemeClr w14:val="tx1"/>
                  </w14:solidFill>
                </w14:textFill>
              </w:rPr>
              <w:t>60%）。</w:t>
            </w:r>
          </w:p>
        </w:tc>
      </w:tr>
      <w:tr w14:paraId="412B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378EF50A">
            <w:pPr>
              <w:spacing w:line="400" w:lineRule="exact"/>
              <w:jc w:val="center"/>
              <w:rPr>
                <w:rFonts w:hint="eastAsia" w:ascii="宋体" w:hAnsi="宋体" w:cs="宋体"/>
                <w:color w:val="000000" w:themeColor="text1"/>
                <w:sz w:val="24"/>
                <w:highlight w:val="none"/>
                <w14:textFill>
                  <w14:solidFill>
                    <w14:schemeClr w14:val="tx1"/>
                  </w14:solidFill>
                </w14:textFill>
              </w:rPr>
            </w:pPr>
          </w:p>
        </w:tc>
        <w:tc>
          <w:tcPr>
            <w:tcW w:w="465" w:type="pct"/>
            <w:gridSpan w:val="2"/>
            <w:vMerge w:val="continue"/>
            <w:vAlign w:val="center"/>
          </w:tcPr>
          <w:p w14:paraId="540546D0">
            <w:pPr>
              <w:jc w:val="center"/>
              <w:rPr>
                <w:rFonts w:hint="eastAsia" w:ascii="宋体" w:hAnsi="宋体" w:cs="宋体"/>
                <w:color w:val="000000" w:themeColor="text1"/>
                <w:sz w:val="24"/>
                <w:highlight w:val="none"/>
                <w14:textFill>
                  <w14:solidFill>
                    <w14:schemeClr w14:val="tx1"/>
                  </w14:solidFill>
                </w14:textFill>
              </w:rPr>
            </w:pPr>
          </w:p>
        </w:tc>
        <w:tc>
          <w:tcPr>
            <w:tcW w:w="370" w:type="pct"/>
            <w:vMerge w:val="continue"/>
            <w:vAlign w:val="center"/>
          </w:tcPr>
          <w:p w14:paraId="3A008581">
            <w:pPr>
              <w:widowControl/>
              <w:jc w:val="center"/>
              <w:rPr>
                <w:rFonts w:hint="eastAsia" w:ascii="宋体" w:hAnsi="宋体" w:cs="宋体"/>
                <w:color w:val="000000" w:themeColor="text1"/>
                <w:sz w:val="24"/>
                <w:highlight w:val="none"/>
                <w14:textFill>
                  <w14:solidFill>
                    <w14:schemeClr w14:val="tx1"/>
                  </w14:solidFill>
                </w14:textFill>
              </w:rPr>
            </w:pPr>
          </w:p>
        </w:tc>
        <w:tc>
          <w:tcPr>
            <w:tcW w:w="730" w:type="pct"/>
            <w:vAlign w:val="center"/>
          </w:tcPr>
          <w:p w14:paraId="77EF58BF">
            <w:pPr>
              <w:pStyle w:val="124"/>
              <w:wordWrap w:val="0"/>
              <w:topLinePunct/>
              <w:ind w:hanging="39"/>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承包人项</w:t>
            </w:r>
            <w:r>
              <w:rPr>
                <w:color w:val="000000" w:themeColor="text1"/>
                <w:spacing w:val="-3"/>
                <w:highlight w:val="none"/>
                <w14:textFill>
                  <w14:solidFill>
                    <w14:schemeClr w14:val="tx1"/>
                  </w14:solidFill>
                </w14:textFill>
              </w:rPr>
              <w:t>目管理方</w:t>
            </w:r>
            <w:r>
              <w:rPr>
                <w:color w:val="000000" w:themeColor="text1"/>
                <w:highlight w:val="none"/>
                <w14:textFill>
                  <w14:solidFill>
                    <w14:schemeClr w14:val="tx1"/>
                  </w14:solidFill>
                </w14:textFill>
              </w:rPr>
              <w:t>案</w:t>
            </w:r>
          </w:p>
        </w:tc>
        <w:tc>
          <w:tcPr>
            <w:tcW w:w="411" w:type="pct"/>
            <w:vAlign w:val="center"/>
          </w:tcPr>
          <w:p w14:paraId="4EEE9BC7">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u w:val="single"/>
                <w14:textFill>
                  <w14:solidFill>
                    <w14:schemeClr w14:val="tx1"/>
                  </w14:solidFill>
                </w14:textFill>
              </w:rPr>
              <w:t>10</w:t>
            </w:r>
            <w:r>
              <w:rPr>
                <w:color w:val="000000" w:themeColor="text1"/>
                <w:spacing w:val="-38"/>
                <w:highlight w:val="none"/>
                <w14:textFill>
                  <w14:solidFill>
                    <w14:schemeClr w14:val="tx1"/>
                  </w14:solidFill>
                </w14:textFill>
              </w:rPr>
              <w:t xml:space="preserve"> </w:t>
            </w:r>
            <w:r>
              <w:rPr>
                <w:color w:val="000000" w:themeColor="text1"/>
                <w:spacing w:val="-5"/>
                <w:highlight w:val="none"/>
                <w14:textFill>
                  <w14:solidFill>
                    <w14:schemeClr w14:val="tx1"/>
                  </w14:solidFill>
                </w14:textFill>
              </w:rPr>
              <w:t>分</w:t>
            </w:r>
          </w:p>
        </w:tc>
        <w:tc>
          <w:tcPr>
            <w:tcW w:w="2485" w:type="pct"/>
          </w:tcPr>
          <w:p w14:paraId="3A008BF5">
            <w:pPr>
              <w:pStyle w:val="124"/>
              <w:wordWrap w:val="0"/>
              <w:topLinePunct/>
              <w:spacing w:line="288" w:lineRule="auto"/>
              <w:ind w:left="113" w:firstLine="10"/>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（1）结合项目特点制定项目管理方案，该方案全面、</w:t>
            </w:r>
            <w:r>
              <w:rPr>
                <w:color w:val="000000" w:themeColor="text1"/>
                <w:spacing w:val="8"/>
                <w:highlight w:val="none"/>
                <w:lang w:eastAsia="zh-CN"/>
                <w14:textFill>
                  <w14:solidFill>
                    <w14:schemeClr w14:val="tx1"/>
                  </w14:solidFill>
                </w14:textFill>
              </w:rPr>
              <w:t>准确落实《广东省交通运输厅关于印发《关于推进公路建设项目管理改革的指导意见（试行）》的通知》《广</w:t>
            </w:r>
            <w:r>
              <w:rPr>
                <w:color w:val="000000" w:themeColor="text1"/>
                <w:spacing w:val="7"/>
                <w:highlight w:val="none"/>
                <w:lang w:eastAsia="zh-CN"/>
                <w14:textFill>
                  <w14:solidFill>
                    <w14:schemeClr w14:val="tx1"/>
                  </w14:solidFill>
                </w14:textFill>
              </w:rPr>
              <w:t>东省公路工程施工项目部管理指南(试行)》等要求，</w:t>
            </w:r>
            <w:r>
              <w:rPr>
                <w:color w:val="000000" w:themeColor="text1"/>
                <w:spacing w:val="16"/>
                <w:highlight w:val="none"/>
                <w:lang w:eastAsia="zh-CN"/>
                <w14:textFill>
                  <w14:solidFill>
                    <w14:schemeClr w14:val="tx1"/>
                  </w14:solidFill>
                </w14:textFill>
              </w:rPr>
              <w:t>得</w:t>
            </w:r>
            <w:r>
              <w:rPr>
                <w:color w:val="000000" w:themeColor="text1"/>
                <w:spacing w:val="16"/>
                <w:highlight w:val="none"/>
                <w:u w:val="single"/>
                <w:lang w:eastAsia="zh-CN"/>
                <w14:textFill>
                  <w14:solidFill>
                    <w14:schemeClr w14:val="tx1"/>
                  </w14:solidFill>
                </w14:textFill>
              </w:rPr>
              <w:t>8</w:t>
            </w:r>
            <w:r>
              <w:rPr>
                <w:rFonts w:ascii="Arial" w:hAnsi="Arial" w:eastAsia="Arial" w:cs="Arial"/>
                <w:color w:val="000000" w:themeColor="text1"/>
                <w:spacing w:val="16"/>
                <w:highlight w:val="none"/>
                <w:u w:val="single"/>
                <w:lang w:eastAsia="zh-CN"/>
                <w14:textFill>
                  <w14:solidFill>
                    <w14:schemeClr w14:val="tx1"/>
                  </w14:solidFill>
                </w14:textFill>
              </w:rPr>
              <w:t>～</w:t>
            </w:r>
            <w:r>
              <w:rPr>
                <w:color w:val="000000" w:themeColor="text1"/>
                <w:spacing w:val="16"/>
                <w:highlight w:val="none"/>
                <w:u w:val="single"/>
                <w:lang w:eastAsia="zh-CN"/>
                <w14:textFill>
                  <w14:solidFill>
                    <w14:schemeClr w14:val="tx1"/>
                  </w14:solidFill>
                </w14:textFill>
              </w:rPr>
              <w:t>10</w:t>
            </w:r>
            <w:r>
              <w:rPr>
                <w:color w:val="000000" w:themeColor="text1"/>
                <w:spacing w:val="16"/>
                <w:highlight w:val="none"/>
                <w:lang w:eastAsia="zh-CN"/>
                <w14:textFill>
                  <w14:solidFill>
                    <w14:schemeClr w14:val="tx1"/>
                  </w14:solidFill>
                </w14:textFill>
              </w:rPr>
              <w:t>分</w:t>
            </w:r>
            <w:r>
              <w:rPr>
                <w:color w:val="000000" w:themeColor="text1"/>
                <w:spacing w:val="16"/>
                <w:highlight w:val="none"/>
                <w:u w:val="single"/>
                <w:lang w:eastAsia="zh-CN"/>
                <w14:textFill>
                  <w14:solidFill>
                    <w14:schemeClr w14:val="tx1"/>
                  </w14:solidFill>
                </w14:textFill>
              </w:rPr>
              <w:t>（满分分值的</w:t>
            </w:r>
            <w:r>
              <w:rPr>
                <w:color w:val="000000" w:themeColor="text1"/>
                <w:spacing w:val="4"/>
                <w:highlight w:val="none"/>
                <w:u w:val="single"/>
                <w:lang w:eastAsia="zh-CN"/>
                <w14:textFill>
                  <w14:solidFill>
                    <w14:schemeClr w14:val="tx1"/>
                  </w14:solidFill>
                </w14:textFill>
              </w:rPr>
              <w:t>80%～100%</w:t>
            </w:r>
            <w:r>
              <w:rPr>
                <w:color w:val="000000" w:themeColor="text1"/>
                <w:highlight w:val="none"/>
                <w:u w:val="single"/>
                <w:lang w:eastAsia="zh-CN"/>
                <w14:textFill>
                  <w14:solidFill>
                    <w14:schemeClr w14:val="tx1"/>
                  </w14:solidFill>
                </w14:textFill>
              </w:rPr>
              <w:t>）</w:t>
            </w:r>
            <w:r>
              <w:rPr>
                <w:color w:val="000000" w:themeColor="text1"/>
                <w:highlight w:val="none"/>
                <w:lang w:eastAsia="zh-CN"/>
                <w14:textFill>
                  <w14:solidFill>
                    <w14:schemeClr w14:val="tx1"/>
                  </w14:solidFill>
                </w14:textFill>
              </w:rPr>
              <w:t>；</w:t>
            </w:r>
          </w:p>
          <w:p w14:paraId="125E69E3">
            <w:pPr>
              <w:pStyle w:val="124"/>
              <w:wordWrap w:val="0"/>
              <w:topLinePunct/>
              <w:spacing w:line="288" w:lineRule="auto"/>
              <w:ind w:left="118" w:right="107" w:firstLine="6"/>
              <w:rPr>
                <w:rFonts w:hint="eastAsia"/>
                <w:color w:val="000000" w:themeColor="text1"/>
                <w:highlight w:val="none"/>
                <w:lang w:eastAsia="zh-CN"/>
                <w14:textFill>
                  <w14:solidFill>
                    <w14:schemeClr w14:val="tx1"/>
                  </w14:solidFill>
                </w14:textFill>
              </w:rPr>
            </w:pPr>
            <w:r>
              <w:rPr>
                <w:color w:val="000000" w:themeColor="text1"/>
                <w:spacing w:val="12"/>
                <w:highlight w:val="none"/>
                <w:lang w:eastAsia="zh-CN"/>
                <w14:textFill>
                  <w14:solidFill>
                    <w14:schemeClr w14:val="tx1"/>
                  </w14:solidFill>
                </w14:textFill>
              </w:rPr>
              <w:t>（2）结合项目特点制定项目管理方案，该方案基本可</w:t>
            </w:r>
            <w:r>
              <w:rPr>
                <w:color w:val="000000" w:themeColor="text1"/>
                <w:spacing w:val="5"/>
                <w:highlight w:val="none"/>
                <w:lang w:eastAsia="zh-CN"/>
                <w14:textFill>
                  <w14:solidFill>
                    <w14:schemeClr w14:val="tx1"/>
                  </w14:solidFill>
                </w14:textFill>
              </w:rPr>
              <w:t>行，得</w:t>
            </w:r>
            <w:r>
              <w:rPr>
                <w:color w:val="000000" w:themeColor="text1"/>
                <w:spacing w:val="-38"/>
                <w:highlight w:val="non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6</w:t>
            </w:r>
            <w:r>
              <w:rPr>
                <w:rFonts w:ascii="Arial" w:hAnsi="Arial" w:eastAsia="Arial" w:cs="Arial"/>
                <w:color w:val="000000" w:themeColor="text1"/>
                <w:spacing w:val="5"/>
                <w:highlight w:val="none"/>
                <w:u w:val="single"/>
                <w:lang w:eastAsia="zh-CN"/>
                <w14:textFill>
                  <w14:solidFill>
                    <w14:schemeClr w14:val="tx1"/>
                  </w14:solidFill>
                </w14:textFill>
              </w:rPr>
              <w:t>～</w:t>
            </w:r>
            <w:r>
              <w:rPr>
                <w:color w:val="000000" w:themeColor="text1"/>
                <w:spacing w:val="5"/>
                <w:highlight w:val="none"/>
                <w:u w:val="single"/>
                <w:lang w:eastAsia="zh-CN"/>
                <w14:textFill>
                  <w14:solidFill>
                    <w14:schemeClr w14:val="tx1"/>
                  </w14:solidFill>
                </w14:textFill>
              </w:rPr>
              <w:t>8</w:t>
            </w:r>
            <w:r>
              <w:rPr>
                <w:color w:val="000000" w:themeColor="text1"/>
                <w:spacing w:val="-38"/>
                <w:highlight w:val="none"/>
                <w:u w:val="singl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分</w:t>
            </w:r>
            <w:r>
              <w:rPr>
                <w:color w:val="000000" w:themeColor="text1"/>
                <w:spacing w:val="5"/>
                <w:highlight w:val="none"/>
                <w:u w:val="single"/>
                <w:lang w:eastAsia="zh-CN"/>
                <w14:textFill>
                  <w14:solidFill>
                    <w14:schemeClr w14:val="tx1"/>
                  </w14:solidFill>
                </w14:textFill>
              </w:rPr>
              <w:t>（满分分值的</w:t>
            </w:r>
            <w:r>
              <w:rPr>
                <w:color w:val="000000" w:themeColor="text1"/>
                <w:spacing w:val="-35"/>
                <w:highlight w:val="none"/>
                <w:u w:val="single"/>
                <w:lang w:eastAsia="zh-CN"/>
                <w14:textFill>
                  <w14:solidFill>
                    <w14:schemeClr w14:val="tx1"/>
                  </w14:solidFill>
                </w14:textFill>
              </w:rPr>
              <w:t xml:space="preserve"> </w:t>
            </w:r>
            <w:r>
              <w:rPr>
                <w:color w:val="000000" w:themeColor="text1"/>
                <w:spacing w:val="5"/>
                <w:highlight w:val="none"/>
                <w:u w:val="single"/>
                <w:lang w:eastAsia="zh-CN"/>
                <w14:textFill>
                  <w14:solidFill>
                    <w14:schemeClr w14:val="tx1"/>
                  </w14:solidFill>
                </w14:textFill>
              </w:rPr>
              <w:t>60%～80%</w:t>
            </w:r>
            <w:r>
              <w:rPr>
                <w:color w:val="000000" w:themeColor="text1"/>
                <w:spacing w:val="6"/>
                <w:highlight w:val="none"/>
                <w:u w:val="single"/>
                <w:lang w:eastAsia="zh-CN"/>
                <w14:textFill>
                  <w14:solidFill>
                    <w14:schemeClr w14:val="tx1"/>
                  </w14:solidFill>
                </w14:textFill>
              </w:rPr>
              <w:t>）</w:t>
            </w:r>
            <w:r>
              <w:rPr>
                <w:color w:val="000000" w:themeColor="text1"/>
                <w:spacing w:val="6"/>
                <w:highlight w:val="none"/>
                <w:lang w:eastAsia="zh-CN"/>
                <w14:textFill>
                  <w14:solidFill>
                    <w14:schemeClr w14:val="tx1"/>
                  </w14:solidFill>
                </w14:textFill>
              </w:rPr>
              <w:t>；</w:t>
            </w:r>
          </w:p>
          <w:p w14:paraId="1C4C5116">
            <w:pPr>
              <w:pStyle w:val="124"/>
              <w:wordWrap w:val="0"/>
              <w:topLinePunct/>
              <w:spacing w:line="288" w:lineRule="auto"/>
              <w:ind w:left="130" w:right="109" w:hanging="6"/>
              <w:rPr>
                <w:rFonts w:hint="eastAsia"/>
                <w:color w:val="000000" w:themeColor="text1"/>
                <w:highlight w:val="none"/>
                <w:lang w:eastAsia="zh-CN"/>
                <w14:textFill>
                  <w14:solidFill>
                    <w14:schemeClr w14:val="tx1"/>
                  </w14:solidFill>
                </w14:textFill>
              </w:rPr>
            </w:pPr>
            <w:r>
              <w:rPr>
                <w:color w:val="000000" w:themeColor="text1"/>
                <w:spacing w:val="11"/>
                <w:highlight w:val="none"/>
                <w:lang w:eastAsia="zh-CN"/>
                <w14:textFill>
                  <w14:solidFill>
                    <w14:schemeClr w14:val="tx1"/>
                  </w14:solidFill>
                </w14:textFill>
              </w:rPr>
              <w:t>（3）一般但不被评定为不响应的，得</w:t>
            </w:r>
            <w:r>
              <w:rPr>
                <w:color w:val="000000" w:themeColor="text1"/>
                <w:spacing w:val="-35"/>
                <w:highlight w:val="none"/>
                <w:lang w:eastAsia="zh-CN"/>
                <w14:textFill>
                  <w14:solidFill>
                    <w14:schemeClr w14:val="tx1"/>
                  </w14:solidFill>
                </w14:textFill>
              </w:rPr>
              <w:t xml:space="preserve"> </w:t>
            </w:r>
            <w:r>
              <w:rPr>
                <w:color w:val="000000" w:themeColor="text1"/>
                <w:spacing w:val="11"/>
                <w:highlight w:val="none"/>
                <w:u w:val="single"/>
                <w:lang w:eastAsia="zh-CN"/>
                <w14:textFill>
                  <w14:solidFill>
                    <w14:schemeClr w14:val="tx1"/>
                  </w14:solidFill>
                </w14:textFill>
              </w:rPr>
              <w:t>6</w:t>
            </w:r>
            <w:r>
              <w:rPr>
                <w:color w:val="000000" w:themeColor="text1"/>
                <w:spacing w:val="-31"/>
                <w:highlight w:val="none"/>
                <w:u w:val="single"/>
                <w:lang w:eastAsia="zh-CN"/>
                <w14:textFill>
                  <w14:solidFill>
                    <w14:schemeClr w14:val="tx1"/>
                  </w14:solidFill>
                </w14:textFill>
              </w:rPr>
              <w:t xml:space="preserve"> </w:t>
            </w:r>
            <w:r>
              <w:rPr>
                <w:color w:val="000000" w:themeColor="text1"/>
                <w:spacing w:val="11"/>
                <w:highlight w:val="none"/>
                <w:lang w:eastAsia="zh-CN"/>
                <w14:textFill>
                  <w14:solidFill>
                    <w14:schemeClr w14:val="tx1"/>
                  </w14:solidFill>
                </w14:textFill>
              </w:rPr>
              <w:t>分</w:t>
            </w:r>
            <w:r>
              <w:rPr>
                <w:color w:val="000000" w:themeColor="text1"/>
                <w:spacing w:val="11"/>
                <w:highlight w:val="none"/>
                <w:u w:val="single"/>
                <w:lang w:eastAsia="zh-CN"/>
                <w14:textFill>
                  <w14:solidFill>
                    <w14:schemeClr w14:val="tx1"/>
                  </w14:solidFill>
                </w14:textFill>
              </w:rPr>
              <w:t>（</w:t>
            </w:r>
            <w:r>
              <w:rPr>
                <w:color w:val="000000" w:themeColor="text1"/>
                <w:spacing w:val="10"/>
                <w:highlight w:val="none"/>
                <w:u w:val="single"/>
                <w:lang w:eastAsia="zh-CN"/>
                <w14:textFill>
                  <w14:solidFill>
                    <w14:schemeClr w14:val="tx1"/>
                  </w14:solidFill>
                </w14:textFill>
              </w:rPr>
              <w:t>满分分值</w:t>
            </w:r>
            <w:r>
              <w:rPr>
                <w:color w:val="000000" w:themeColor="text1"/>
                <w:spacing w:val="-2"/>
                <w:highlight w:val="none"/>
                <w:u w:val="single"/>
                <w:lang w:eastAsia="zh-CN"/>
                <w14:textFill>
                  <w14:solidFill>
                    <w14:schemeClr w14:val="tx1"/>
                  </w14:solidFill>
                </w14:textFill>
              </w:rPr>
              <w:t>的</w:t>
            </w:r>
            <w:r>
              <w:rPr>
                <w:color w:val="000000" w:themeColor="text1"/>
                <w:spacing w:val="-38"/>
                <w:highlight w:val="none"/>
                <w:u w:val="single"/>
                <w:lang w:eastAsia="zh-CN"/>
                <w14:textFill>
                  <w14:solidFill>
                    <w14:schemeClr w14:val="tx1"/>
                  </w14:solidFill>
                </w14:textFill>
              </w:rPr>
              <w:t xml:space="preserve"> </w:t>
            </w:r>
            <w:r>
              <w:rPr>
                <w:color w:val="000000" w:themeColor="text1"/>
                <w:spacing w:val="-2"/>
                <w:highlight w:val="none"/>
                <w:u w:val="single"/>
                <w:lang w:eastAsia="zh-CN"/>
                <w14:textFill>
                  <w14:solidFill>
                    <w14:schemeClr w14:val="tx1"/>
                  </w14:solidFill>
                </w14:textFill>
              </w:rPr>
              <w:t>60%）</w:t>
            </w:r>
            <w:r>
              <w:rPr>
                <w:color w:val="000000" w:themeColor="text1"/>
                <w:spacing w:val="-2"/>
                <w:highlight w:val="none"/>
                <w:lang w:eastAsia="zh-CN"/>
                <w14:textFill>
                  <w14:solidFill>
                    <w14:schemeClr w14:val="tx1"/>
                  </w14:solidFill>
                </w14:textFill>
              </w:rPr>
              <w:t>。</w:t>
            </w:r>
          </w:p>
        </w:tc>
      </w:tr>
      <w:tr w14:paraId="1B36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536" w:type="pct"/>
            <w:vAlign w:val="center"/>
          </w:tcPr>
          <w:p w14:paraId="03E77D42">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2.2.2 </w:t>
            </w:r>
          </w:p>
          <w:p w14:paraId="7416513E">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465" w:type="pct"/>
            <w:gridSpan w:val="2"/>
            <w:vAlign w:val="center"/>
          </w:tcPr>
          <w:p w14:paraId="0BAAE02D">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主要人员</w:t>
            </w:r>
          </w:p>
        </w:tc>
        <w:tc>
          <w:tcPr>
            <w:tcW w:w="370" w:type="pct"/>
            <w:vAlign w:val="center"/>
          </w:tcPr>
          <w:p w14:paraId="79C86670">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25分</w:t>
            </w:r>
          </w:p>
        </w:tc>
        <w:tc>
          <w:tcPr>
            <w:tcW w:w="730" w:type="pct"/>
            <w:vAlign w:val="center"/>
          </w:tcPr>
          <w:p w14:paraId="35701C7E">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项目经理和项目总工等主要管理人员任职资格与业绩</w:t>
            </w:r>
          </w:p>
        </w:tc>
        <w:tc>
          <w:tcPr>
            <w:tcW w:w="411" w:type="pct"/>
            <w:vAlign w:val="center"/>
          </w:tcPr>
          <w:p w14:paraId="7FF2C2C1">
            <w:pPr>
              <w:widowControl/>
              <w:spacing w:line="40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25分</w:t>
            </w:r>
          </w:p>
        </w:tc>
        <w:tc>
          <w:tcPr>
            <w:tcW w:w="2485" w:type="pct"/>
            <w:vAlign w:val="center"/>
          </w:tcPr>
          <w:p w14:paraId="5E5B3895">
            <w:pPr>
              <w:pStyle w:val="7"/>
              <w:spacing w:line="288" w:lineRule="auto"/>
              <w:rPr>
                <w:color w:val="000000" w:themeColor="text1"/>
                <w:highlight w:val="none"/>
                <w14:textFill>
                  <w14:solidFill>
                    <w14:schemeClr w14:val="tx1"/>
                  </w14:solidFill>
                </w14:textFill>
              </w:rPr>
            </w:pPr>
            <w:bookmarkStart w:id="90" w:name="_Toc7903"/>
            <w:bookmarkStart w:id="91" w:name="_Toc8900"/>
            <w:bookmarkStart w:id="92" w:name="_Toc18937"/>
            <w:bookmarkStart w:id="93" w:name="_Toc5634"/>
            <w:r>
              <w:rPr>
                <w:rFonts w:hint="eastAsia" w:ascii="宋体" w:hAnsi="宋体" w:eastAsia="宋体" w:cs="宋体"/>
                <w:b w:val="0"/>
                <w:bCs w:val="0"/>
                <w:color w:val="000000" w:themeColor="text1"/>
                <w:spacing w:val="11"/>
                <w:sz w:val="24"/>
                <w:szCs w:val="24"/>
                <w:highlight w:val="none"/>
                <w14:textFill>
                  <w14:solidFill>
                    <w14:schemeClr w14:val="tx1"/>
                  </w14:solidFill>
                </w14:textFill>
              </w:rPr>
              <w:t>满足资格审查条件（项目经理和项目总工等主要管理人员最低要求）时，得25分。</w:t>
            </w:r>
            <w:bookmarkEnd w:id="90"/>
            <w:bookmarkEnd w:id="91"/>
            <w:bookmarkEnd w:id="92"/>
            <w:bookmarkEnd w:id="93"/>
          </w:p>
        </w:tc>
      </w:tr>
      <w:tr w14:paraId="1EE9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restart"/>
            <w:vAlign w:val="center"/>
          </w:tcPr>
          <w:p w14:paraId="3339E997">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2.2.2</w:t>
            </w:r>
          </w:p>
          <w:p w14:paraId="0C5698B9">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31" w:type="pct"/>
            <w:vMerge w:val="restart"/>
            <w:vAlign w:val="center"/>
          </w:tcPr>
          <w:p w14:paraId="3A8686EB">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其他因素</w:t>
            </w:r>
          </w:p>
        </w:tc>
        <w:tc>
          <w:tcPr>
            <w:tcW w:w="234" w:type="pct"/>
            <w:vAlign w:val="center"/>
          </w:tcPr>
          <w:p w14:paraId="73DBD3EB">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技</w:t>
            </w:r>
          </w:p>
          <w:p w14:paraId="118DACEA">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术</w:t>
            </w:r>
          </w:p>
          <w:p w14:paraId="3B591EE6">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能</w:t>
            </w:r>
          </w:p>
          <w:p w14:paraId="37A156A9">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力</w:t>
            </w:r>
          </w:p>
        </w:tc>
        <w:tc>
          <w:tcPr>
            <w:tcW w:w="370" w:type="pct"/>
            <w:vAlign w:val="center"/>
          </w:tcPr>
          <w:p w14:paraId="68D0B1C9">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10分</w:t>
            </w:r>
          </w:p>
        </w:tc>
        <w:tc>
          <w:tcPr>
            <w:tcW w:w="3627" w:type="pct"/>
            <w:gridSpan w:val="3"/>
            <w:vAlign w:val="center"/>
          </w:tcPr>
          <w:p w14:paraId="2AF31DCF">
            <w:pPr>
              <w:widowControl/>
              <w:spacing w:line="400" w:lineRule="exact"/>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满足资格审查条件（资质、财务、业绩、信誉、项目经理和项目总工等主要管理人员）最低要求的，得满分</w:t>
            </w:r>
            <w:r>
              <w:rPr>
                <w:rFonts w:hint="eastAsia" w:ascii="宋体" w:hAnsi="宋体" w:cs="宋体"/>
                <w:color w:val="000000" w:themeColor="text1"/>
                <w:sz w:val="24"/>
                <w:highlight w:val="none"/>
                <w14:textFill>
                  <w14:solidFill>
                    <w14:schemeClr w14:val="tx1"/>
                  </w14:solidFill>
                </w14:textFill>
              </w:rPr>
              <w:t>10</w:t>
            </w:r>
            <w:r>
              <w:rPr>
                <w:color w:val="000000" w:themeColor="text1"/>
                <w:sz w:val="24"/>
                <w:highlight w:val="none"/>
                <w14:textFill>
                  <w14:solidFill>
                    <w14:schemeClr w14:val="tx1"/>
                  </w14:solidFill>
                </w14:textFill>
              </w:rPr>
              <w:t>分。</w:t>
            </w:r>
          </w:p>
        </w:tc>
      </w:tr>
      <w:tr w14:paraId="2458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452B46F2">
            <w:pPr>
              <w:spacing w:line="400" w:lineRule="exact"/>
              <w:ind w:left="92" w:leftChars="36" w:right="113" w:hanging="16" w:hangingChars="7"/>
              <w:jc w:val="center"/>
              <w:rPr>
                <w:rFonts w:hint="eastAsia" w:ascii="宋体" w:hAnsi="宋体" w:cs="宋体"/>
                <w:color w:val="000000" w:themeColor="text1"/>
                <w:sz w:val="24"/>
                <w:highlight w:val="none"/>
                <w14:textFill>
                  <w14:solidFill>
                    <w14:schemeClr w14:val="tx1"/>
                  </w14:solidFill>
                </w14:textFill>
              </w:rPr>
            </w:pPr>
          </w:p>
        </w:tc>
        <w:tc>
          <w:tcPr>
            <w:tcW w:w="231" w:type="pct"/>
            <w:vMerge w:val="continue"/>
            <w:vAlign w:val="center"/>
          </w:tcPr>
          <w:p w14:paraId="1B38670F">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p>
        </w:tc>
        <w:tc>
          <w:tcPr>
            <w:tcW w:w="234" w:type="pct"/>
            <w:vAlign w:val="center"/>
          </w:tcPr>
          <w:p w14:paraId="28737A99">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履</w:t>
            </w:r>
          </w:p>
          <w:p w14:paraId="250D4B0F">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约</w:t>
            </w:r>
          </w:p>
          <w:p w14:paraId="36A2D6F9">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信</w:t>
            </w:r>
          </w:p>
          <w:p w14:paraId="3DC1461D">
            <w:pPr>
              <w:widowControl/>
              <w:spacing w:line="400" w:lineRule="exact"/>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誉</w:t>
            </w:r>
          </w:p>
        </w:tc>
        <w:tc>
          <w:tcPr>
            <w:tcW w:w="370" w:type="pct"/>
            <w:vAlign w:val="center"/>
          </w:tcPr>
          <w:p w14:paraId="6968FE62">
            <w:pPr>
              <w:widowControl/>
              <w:spacing w:line="400"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25分</w:t>
            </w:r>
          </w:p>
        </w:tc>
        <w:tc>
          <w:tcPr>
            <w:tcW w:w="3627" w:type="pct"/>
            <w:gridSpan w:val="3"/>
            <w:vAlign w:val="center"/>
          </w:tcPr>
          <w:p w14:paraId="421FBC24">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5"/>
                <w:highlight w:val="none"/>
                <w:lang w:eastAsia="zh-CN"/>
                <w14:textFill>
                  <w14:solidFill>
                    <w14:schemeClr w14:val="tx1"/>
                  </w14:solidFill>
                </w14:textFill>
              </w:rPr>
              <w:t>1.信用等级分值（10</w:t>
            </w:r>
            <w:r>
              <w:rPr>
                <w:rFonts w:hint="eastAsia"/>
                <w:color w:val="000000" w:themeColor="text1"/>
                <w:spacing w:val="-38"/>
                <w:highlight w:val="none"/>
                <w:lang w:eastAsia="zh-CN"/>
                <w14:textFill>
                  <w14:solidFill>
                    <w14:schemeClr w14:val="tx1"/>
                  </w14:solidFill>
                </w14:textFill>
              </w:rPr>
              <w:t xml:space="preserve"> </w:t>
            </w:r>
            <w:r>
              <w:rPr>
                <w:rFonts w:hint="eastAsia"/>
                <w:color w:val="000000" w:themeColor="text1"/>
                <w:spacing w:val="5"/>
                <w:highlight w:val="none"/>
                <w:lang w:eastAsia="zh-CN"/>
                <w14:textFill>
                  <w14:solidFill>
                    <w14:schemeClr w14:val="tx1"/>
                  </w14:solidFill>
                </w14:textFill>
              </w:rPr>
              <w:t>分）</w:t>
            </w:r>
          </w:p>
          <w:p w14:paraId="56D1F7B8">
            <w:pPr>
              <w:pStyle w:val="124"/>
              <w:spacing w:line="288" w:lineRule="auto"/>
              <w:ind w:left="42" w:leftChars="20" w:right="113"/>
              <w:rPr>
                <w:rFonts w:hint="eastAsia"/>
                <w:color w:val="000000" w:themeColor="text1"/>
                <w:spacing w:val="5"/>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AA</w:t>
            </w:r>
            <w:r>
              <w:rPr>
                <w:rFonts w:hint="eastAsia"/>
                <w:color w:val="000000" w:themeColor="text1"/>
                <w:spacing w:val="6"/>
                <w:highlight w:val="none"/>
                <w:lang w:eastAsia="zh-CN"/>
                <w14:textFill>
                  <w14:solidFill>
                    <w14:schemeClr w14:val="tx1"/>
                  </w14:solidFill>
                </w14:textFill>
              </w:rPr>
              <w:t>、A、B、C</w:t>
            </w:r>
            <w:r>
              <w:rPr>
                <w:rFonts w:hint="eastAsia"/>
                <w:color w:val="000000" w:themeColor="text1"/>
                <w:spacing w:val="-35"/>
                <w:highlight w:val="none"/>
                <w:lang w:eastAsia="zh-CN"/>
                <w14:textFill>
                  <w14:solidFill>
                    <w14:schemeClr w14:val="tx1"/>
                  </w14:solidFill>
                </w14:textFill>
              </w:rPr>
              <w:t xml:space="preserve"> </w:t>
            </w:r>
            <w:r>
              <w:rPr>
                <w:rFonts w:hint="eastAsia"/>
                <w:color w:val="000000" w:themeColor="text1"/>
                <w:spacing w:val="6"/>
                <w:highlight w:val="none"/>
                <w:lang w:eastAsia="zh-CN"/>
                <w14:textFill>
                  <w14:solidFill>
                    <w14:schemeClr w14:val="tx1"/>
                  </w14:solidFill>
                </w14:textFill>
              </w:rPr>
              <w:t>级单位的信用等级分得分分别为</w:t>
            </w:r>
            <w:r>
              <w:rPr>
                <w:rFonts w:hint="eastAsia"/>
                <w:color w:val="000000" w:themeColor="text1"/>
                <w:spacing w:val="-21"/>
                <w:highlight w:val="none"/>
                <w:lang w:eastAsia="zh-CN"/>
                <w14:textFill>
                  <w14:solidFill>
                    <w14:schemeClr w14:val="tx1"/>
                  </w14:solidFill>
                </w14:textFill>
              </w:rPr>
              <w:t xml:space="preserve"> </w:t>
            </w:r>
            <w:r>
              <w:rPr>
                <w:rFonts w:hint="eastAsia"/>
                <w:color w:val="000000" w:themeColor="text1"/>
                <w:spacing w:val="6"/>
                <w:highlight w:val="none"/>
                <w:lang w:eastAsia="zh-CN"/>
                <w14:textFill>
                  <w14:solidFill>
                    <w14:schemeClr w14:val="tx1"/>
                  </w14:solidFill>
                </w14:textFill>
              </w:rPr>
              <w:t>10、9.5、8.9</w:t>
            </w:r>
            <w:r>
              <w:rPr>
                <w:rFonts w:hint="eastAsia"/>
                <w:color w:val="000000" w:themeColor="text1"/>
                <w:spacing w:val="5"/>
                <w:highlight w:val="none"/>
                <w:lang w:eastAsia="zh-CN"/>
                <w14:textFill>
                  <w14:solidFill>
                    <w14:schemeClr w14:val="tx1"/>
                  </w14:solidFill>
                </w14:textFill>
              </w:rPr>
              <w:t>、7.3</w:t>
            </w:r>
            <w:r>
              <w:rPr>
                <w:rFonts w:hint="eastAsia"/>
                <w:color w:val="000000" w:themeColor="text1"/>
                <w:spacing w:val="-38"/>
                <w:highlight w:val="none"/>
                <w:lang w:eastAsia="zh-CN"/>
                <w14:textFill>
                  <w14:solidFill>
                    <w14:schemeClr w14:val="tx1"/>
                  </w14:solidFill>
                </w14:textFill>
              </w:rPr>
              <w:t xml:space="preserve"> </w:t>
            </w:r>
            <w:r>
              <w:rPr>
                <w:rFonts w:hint="eastAsia"/>
                <w:color w:val="000000" w:themeColor="text1"/>
                <w:spacing w:val="5"/>
                <w:highlight w:val="none"/>
                <w:lang w:eastAsia="zh-CN"/>
                <w14:textFill>
                  <w14:solidFill>
                    <w14:schemeClr w14:val="tx1"/>
                  </w14:solidFill>
                </w14:textFill>
              </w:rPr>
              <w:t>分。</w:t>
            </w:r>
          </w:p>
          <w:p w14:paraId="546E986C">
            <w:pPr>
              <w:pStyle w:val="124"/>
              <w:spacing w:line="288" w:lineRule="auto"/>
              <w:ind w:left="42" w:leftChars="20" w:right="113"/>
              <w:rPr>
                <w:rFonts w:hint="eastAsia"/>
                <w:color w:val="000000" w:themeColor="text1"/>
                <w:spacing w:val="7"/>
                <w:sz w:val="22"/>
                <w:szCs w:val="22"/>
                <w:highlight w:val="none"/>
                <w:lang w:eastAsia="zh-CN"/>
                <w14:textFill>
                  <w14:solidFill>
                    <w14:schemeClr w14:val="tx1"/>
                  </w14:solidFill>
                </w14:textFill>
              </w:rPr>
            </w:pPr>
            <w:r>
              <w:rPr>
                <w:rFonts w:hint="eastAsia"/>
                <w:color w:val="000000" w:themeColor="text1"/>
                <w:spacing w:val="7"/>
                <w:sz w:val="22"/>
                <w:szCs w:val="22"/>
                <w:highlight w:val="none"/>
                <w:lang w:eastAsia="zh-CN"/>
                <w14:textFill>
                  <w14:solidFill>
                    <w14:schemeClr w14:val="tx1"/>
                  </w14:solidFill>
                </w14:textFill>
              </w:rPr>
              <w:t>注：信用等级的确定原则遵循投标人须知前附表</w:t>
            </w:r>
            <w:r>
              <w:rPr>
                <w:rFonts w:hint="eastAsia"/>
                <w:color w:val="000000" w:themeColor="text1"/>
                <w:spacing w:val="-8"/>
                <w:sz w:val="22"/>
                <w:szCs w:val="22"/>
                <w:highlight w:val="none"/>
                <w:lang w:eastAsia="zh-CN"/>
                <w14:textFill>
                  <w14:solidFill>
                    <w14:schemeClr w14:val="tx1"/>
                  </w14:solidFill>
                </w14:textFill>
              </w:rPr>
              <w:t xml:space="preserve"> </w:t>
            </w:r>
            <w:r>
              <w:rPr>
                <w:rFonts w:hint="eastAsia"/>
                <w:color w:val="000000" w:themeColor="text1"/>
                <w:spacing w:val="7"/>
                <w:sz w:val="22"/>
                <w:szCs w:val="22"/>
                <w:highlight w:val="none"/>
                <w:lang w:eastAsia="zh-CN"/>
                <w14:textFill>
                  <w14:solidFill>
                    <w14:schemeClr w14:val="tx1"/>
                  </w14:solidFill>
                </w14:textFill>
              </w:rPr>
              <w:t>10.2</w:t>
            </w:r>
            <w:r>
              <w:rPr>
                <w:rFonts w:hint="eastAsia"/>
                <w:color w:val="000000" w:themeColor="text1"/>
                <w:spacing w:val="-39"/>
                <w:sz w:val="22"/>
                <w:szCs w:val="22"/>
                <w:highlight w:val="none"/>
                <w:lang w:eastAsia="zh-CN"/>
                <w14:textFill>
                  <w14:solidFill>
                    <w14:schemeClr w14:val="tx1"/>
                  </w14:solidFill>
                </w14:textFill>
              </w:rPr>
              <w:t xml:space="preserve"> </w:t>
            </w:r>
            <w:r>
              <w:rPr>
                <w:rFonts w:hint="eastAsia"/>
                <w:color w:val="000000" w:themeColor="text1"/>
                <w:spacing w:val="7"/>
                <w:sz w:val="22"/>
                <w:szCs w:val="22"/>
                <w:highlight w:val="none"/>
                <w:lang w:eastAsia="zh-CN"/>
                <w14:textFill>
                  <w14:solidFill>
                    <w14:schemeClr w14:val="tx1"/>
                  </w14:solidFill>
                </w14:textFill>
              </w:rPr>
              <w:t>款的规定。</w:t>
            </w:r>
          </w:p>
          <w:p w14:paraId="744320CB">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2.履约情况（15分）</w:t>
            </w:r>
          </w:p>
          <w:p w14:paraId="36D5DF14">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8"/>
                <w:highlight w:val="none"/>
                <w:lang w:eastAsia="zh-CN"/>
                <w14:textFill>
                  <w14:solidFill>
                    <w14:schemeClr w14:val="tx1"/>
                  </w14:solidFill>
                </w14:textFill>
              </w:rPr>
              <w:t>若没出现下述情形得满分；</w:t>
            </w:r>
          </w:p>
          <w:p w14:paraId="11247EBE">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9"/>
                <w:highlight w:val="none"/>
                <w:lang w:eastAsia="zh-CN"/>
                <w14:textFill>
                  <w14:solidFill>
                    <w14:schemeClr w14:val="tx1"/>
                  </w14:solidFill>
                </w14:textFill>
              </w:rPr>
              <w:t>投标人因公路工程（含附属设施）质量、安全事故被：</w:t>
            </w:r>
          </w:p>
          <w:p w14:paraId="71B79524">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8"/>
                <w:highlight w:val="none"/>
                <w:lang w:eastAsia="zh-CN"/>
                <w14:textFill>
                  <w14:solidFill>
                    <w14:schemeClr w14:val="tx1"/>
                  </w14:solidFill>
                </w14:textFill>
              </w:rPr>
              <w:t>（1）交通运输部行政处罚、且在处罚信息公示期</w:t>
            </w:r>
            <w:r>
              <w:rPr>
                <w:rFonts w:hint="eastAsia"/>
                <w:color w:val="000000" w:themeColor="text1"/>
                <w:spacing w:val="7"/>
                <w:highlight w:val="none"/>
                <w:lang w:eastAsia="zh-CN"/>
                <w14:textFill>
                  <w14:solidFill>
                    <w14:schemeClr w14:val="tx1"/>
                  </w14:solidFill>
                </w14:textFill>
              </w:rPr>
              <w:t>内的，扣</w:t>
            </w:r>
            <w:r>
              <w:rPr>
                <w:rFonts w:hint="eastAsia"/>
                <w:color w:val="000000" w:themeColor="text1"/>
                <w:spacing w:val="-34"/>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2</w:t>
            </w:r>
            <w:r>
              <w:rPr>
                <w:rFonts w:hint="eastAsia"/>
                <w:color w:val="000000" w:themeColor="text1"/>
                <w:spacing w:val="-36"/>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分/次。</w:t>
            </w:r>
          </w:p>
          <w:p w14:paraId="4BA20358">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8"/>
                <w:highlight w:val="none"/>
                <w:lang w:eastAsia="zh-CN"/>
                <w14:textFill>
                  <w14:solidFill>
                    <w14:schemeClr w14:val="tx1"/>
                  </w14:solidFill>
                </w14:textFill>
              </w:rPr>
              <w:t>（2）广东省交通运输厅行政处罚、且在处</w:t>
            </w:r>
            <w:r>
              <w:rPr>
                <w:rFonts w:hint="eastAsia"/>
                <w:color w:val="000000" w:themeColor="text1"/>
                <w:spacing w:val="7"/>
                <w:highlight w:val="none"/>
                <w:lang w:eastAsia="zh-CN"/>
                <w14:textFill>
                  <w14:solidFill>
                    <w14:schemeClr w14:val="tx1"/>
                  </w14:solidFill>
                </w14:textFill>
              </w:rPr>
              <w:t>罚信息公示期内的，扣</w:t>
            </w:r>
            <w:r>
              <w:rPr>
                <w:rFonts w:hint="eastAsia"/>
                <w:color w:val="000000" w:themeColor="text1"/>
                <w:spacing w:val="-24"/>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1</w:t>
            </w:r>
            <w:r>
              <w:rPr>
                <w:rFonts w:hint="eastAsia"/>
                <w:color w:val="000000" w:themeColor="text1"/>
                <w:spacing w:val="-35"/>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分/次。</w:t>
            </w:r>
          </w:p>
          <w:p w14:paraId="4F33DF56">
            <w:pPr>
              <w:pStyle w:val="124"/>
              <w:tabs>
                <w:tab w:val="left" w:pos="222"/>
              </w:tabs>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10"/>
                <w:highlight w:val="none"/>
                <w:lang w:eastAsia="zh-CN"/>
                <w14:textFill>
                  <w14:solidFill>
                    <w14:schemeClr w14:val="tx1"/>
                  </w14:solidFill>
                </w14:textFill>
              </w:rPr>
              <w:t>（3</w:t>
            </w:r>
            <w:r>
              <w:rPr>
                <w:rFonts w:hint="eastAsia"/>
                <w:color w:val="000000" w:themeColor="text1"/>
                <w:spacing w:val="-12"/>
                <w:highlight w:val="none"/>
                <w:lang w:eastAsia="zh-CN"/>
                <w14:textFill>
                  <w14:solidFill>
                    <w14:schemeClr w14:val="tx1"/>
                  </w14:solidFill>
                </w14:textFill>
              </w:rPr>
              <w:t>）</w:t>
            </w:r>
            <w:r>
              <w:rPr>
                <w:rFonts w:hint="eastAsia"/>
                <w:color w:val="000000" w:themeColor="text1"/>
                <w:spacing w:val="-77"/>
                <w:highlight w:val="none"/>
                <w:lang w:eastAsia="zh-CN"/>
                <w14:textFill>
                  <w14:solidFill>
                    <w14:schemeClr w14:val="tx1"/>
                  </w14:solidFill>
                </w14:textFill>
              </w:rPr>
              <w:t xml:space="preserve"> </w:t>
            </w:r>
            <w:r>
              <w:rPr>
                <w:rFonts w:hint="eastAsia"/>
                <w:color w:val="000000" w:themeColor="text1"/>
                <w:spacing w:val="7"/>
                <w:highlight w:val="none"/>
                <w:u w:val="single"/>
                <w:lang w:eastAsia="zh-CN"/>
                <w14:textFill>
                  <w14:solidFill>
                    <w14:schemeClr w14:val="tx1"/>
                  </w14:solidFill>
                </w14:textFill>
              </w:rPr>
              <w:t>（项目涉及各地级以上市）市交通运输局行政处罚、且在处罚信息公示期内的，扣 0.5 分/次。如该项目涉及多个地级以上市的均应扣分。</w:t>
            </w:r>
          </w:p>
          <w:p w14:paraId="5A4C4C8C">
            <w:pPr>
              <w:pStyle w:val="124"/>
              <w:spacing w:line="288" w:lineRule="auto"/>
              <w:ind w:left="42" w:leftChars="20" w:right="113"/>
              <w:rPr>
                <w:rFonts w:hint="eastAsia"/>
                <w:color w:val="000000" w:themeColor="text1"/>
                <w:sz w:val="22"/>
                <w:szCs w:val="22"/>
                <w:highlight w:val="none"/>
                <w:lang w:eastAsia="zh-CN"/>
                <w14:textFill>
                  <w14:solidFill>
                    <w14:schemeClr w14:val="tx1"/>
                  </w14:solidFill>
                </w14:textFill>
              </w:rPr>
            </w:pPr>
            <w:r>
              <w:rPr>
                <w:rFonts w:hint="eastAsia"/>
                <w:color w:val="000000" w:themeColor="text1"/>
                <w:spacing w:val="9"/>
                <w:sz w:val="22"/>
                <w:szCs w:val="22"/>
                <w:highlight w:val="none"/>
                <w:lang w:eastAsia="zh-CN"/>
                <w14:textFill>
                  <w14:solidFill>
                    <w14:schemeClr w14:val="tx1"/>
                  </w14:solidFill>
                </w14:textFill>
              </w:rPr>
              <w:t>注：1.</w:t>
            </w:r>
            <w:r>
              <w:rPr>
                <w:rFonts w:hint="eastAsia"/>
                <w:color w:val="000000" w:themeColor="text1"/>
                <w:spacing w:val="9"/>
                <w:highlight w:val="none"/>
                <w:lang w:eastAsia="zh-CN"/>
                <w14:textFill>
                  <w14:solidFill>
                    <w14:schemeClr w14:val="tx1"/>
                  </w14:solidFill>
                </w14:textFill>
              </w:rPr>
              <w:t>处罚信息公示期，是指行政机关将行政处罚决定信息通过信用中国向</w:t>
            </w:r>
            <w:r>
              <w:rPr>
                <w:rFonts w:hint="eastAsia"/>
                <w:color w:val="000000" w:themeColor="text1"/>
                <w:spacing w:val="7"/>
                <w:highlight w:val="none"/>
                <w:lang w:eastAsia="zh-CN"/>
                <w14:textFill>
                  <w14:solidFill>
                    <w14:schemeClr w14:val="tx1"/>
                  </w14:solidFill>
                </w14:textFill>
              </w:rPr>
              <w:t>社会公开的期限；</w:t>
            </w:r>
            <w:r>
              <w:rPr>
                <w:rFonts w:hint="eastAsia"/>
                <w:color w:val="000000" w:themeColor="text1"/>
                <w:spacing w:val="-46"/>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以投标文件递交截止日</w:t>
            </w:r>
            <w:r>
              <w:rPr>
                <w:rFonts w:hint="eastAsia"/>
                <w:color w:val="000000" w:themeColor="text1"/>
                <w:spacing w:val="-35"/>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0</w:t>
            </w:r>
            <w:r>
              <w:rPr>
                <w:rFonts w:hint="eastAsia"/>
                <w:color w:val="000000" w:themeColor="text1"/>
                <w:spacing w:val="-31"/>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时是否位于处罚信息公示期，来</w:t>
            </w:r>
            <w:r>
              <w:rPr>
                <w:rFonts w:hint="eastAsia"/>
                <w:color w:val="000000" w:themeColor="text1"/>
                <w:spacing w:val="10"/>
                <w:highlight w:val="none"/>
                <w:lang w:eastAsia="zh-CN"/>
                <w14:textFill>
                  <w14:solidFill>
                    <w14:schemeClr w14:val="tx1"/>
                  </w14:solidFill>
                </w14:textFill>
              </w:rPr>
              <w:t>判定是否影响相关投标人的履约情况得分，投标文件递交截止日0</w:t>
            </w:r>
            <w:r>
              <w:rPr>
                <w:rFonts w:hint="eastAsia"/>
                <w:color w:val="000000" w:themeColor="text1"/>
                <w:spacing w:val="-13"/>
                <w:highlight w:val="none"/>
                <w:lang w:eastAsia="zh-CN"/>
                <w14:textFill>
                  <w14:solidFill>
                    <w14:schemeClr w14:val="tx1"/>
                  </w14:solidFill>
                </w14:textFill>
              </w:rPr>
              <w:t xml:space="preserve"> </w:t>
            </w:r>
            <w:r>
              <w:rPr>
                <w:rFonts w:hint="eastAsia"/>
                <w:color w:val="000000" w:themeColor="text1"/>
                <w:spacing w:val="10"/>
                <w:highlight w:val="none"/>
                <w:lang w:eastAsia="zh-CN"/>
                <w14:textFill>
                  <w14:solidFill>
                    <w14:schemeClr w14:val="tx1"/>
                  </w14:solidFill>
                </w14:textFill>
              </w:rPr>
              <w:t>时在处罚</w:t>
            </w:r>
            <w:r>
              <w:rPr>
                <w:rFonts w:hint="eastAsia"/>
                <w:color w:val="000000" w:themeColor="text1"/>
                <w:spacing w:val="8"/>
                <w:highlight w:val="none"/>
                <w:lang w:eastAsia="zh-CN"/>
                <w14:textFill>
                  <w14:solidFill>
                    <w14:schemeClr w14:val="tx1"/>
                  </w14:solidFill>
                </w14:textFill>
              </w:rPr>
              <w:t>信息公示期内应予以扣分、否则不予扣分。</w:t>
            </w:r>
          </w:p>
          <w:p w14:paraId="02AC4101">
            <w:pPr>
              <w:pStyle w:val="124"/>
              <w:spacing w:line="288" w:lineRule="auto"/>
              <w:ind w:left="42" w:leftChars="20" w:right="113"/>
              <w:rPr>
                <w:rFonts w:hint="eastAsia"/>
                <w:color w:val="000000" w:themeColor="text1"/>
                <w:highlight w:val="none"/>
                <w:lang w:eastAsia="zh-CN"/>
                <w14:textFill>
                  <w14:solidFill>
                    <w14:schemeClr w14:val="tx1"/>
                  </w14:solidFill>
                </w14:textFill>
              </w:rPr>
            </w:pPr>
            <w:r>
              <w:rPr>
                <w:rFonts w:hint="eastAsia"/>
                <w:color w:val="000000" w:themeColor="text1"/>
                <w:spacing w:val="7"/>
                <w:highlight w:val="none"/>
                <w:lang w:eastAsia="zh-CN"/>
                <w14:textFill>
                  <w14:solidFill>
                    <w14:schemeClr w14:val="tx1"/>
                  </w14:solidFill>
                </w14:textFill>
              </w:rPr>
              <w:t>2.同一事项同时被多个部门行政处罚只按最高的扣分计算</w:t>
            </w:r>
            <w:r>
              <w:rPr>
                <w:rFonts w:hint="eastAsia"/>
                <w:color w:val="000000" w:themeColor="text1"/>
                <w:spacing w:val="-14"/>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1</w:t>
            </w:r>
            <w:r>
              <w:rPr>
                <w:rFonts w:hint="eastAsia"/>
                <w:color w:val="000000" w:themeColor="text1"/>
                <w:spacing w:val="-32"/>
                <w:highlight w:val="none"/>
                <w:lang w:eastAsia="zh-CN"/>
                <w14:textFill>
                  <w14:solidFill>
                    <w14:schemeClr w14:val="tx1"/>
                  </w14:solidFill>
                </w14:textFill>
              </w:rPr>
              <w:t xml:space="preserve"> </w:t>
            </w:r>
            <w:r>
              <w:rPr>
                <w:rFonts w:hint="eastAsia"/>
                <w:color w:val="000000" w:themeColor="text1"/>
                <w:spacing w:val="7"/>
                <w:highlight w:val="none"/>
                <w:lang w:eastAsia="zh-CN"/>
                <w14:textFill>
                  <w14:solidFill>
                    <w14:schemeClr w14:val="tx1"/>
                  </w14:solidFill>
                </w14:textFill>
              </w:rPr>
              <w:t>次。</w:t>
            </w:r>
          </w:p>
          <w:p w14:paraId="6ECD7621">
            <w:pPr>
              <w:widowControl/>
              <w:spacing w:line="288" w:lineRule="auto"/>
              <w:ind w:left="42" w:leftChars="20" w:right="113"/>
              <w:jc w:val="left"/>
              <w:rPr>
                <w:rFonts w:hint="eastAsia" w:ascii="宋体" w:hAnsi="宋体" w:cs="宋体"/>
                <w:color w:val="000000" w:themeColor="text1"/>
                <w:spacing w:val="9"/>
                <w:sz w:val="24"/>
                <w:highlight w:val="none"/>
                <w14:textFill>
                  <w14:solidFill>
                    <w14:schemeClr w14:val="tx1"/>
                  </w14:solidFill>
                </w14:textFill>
              </w:rPr>
            </w:pPr>
            <w:r>
              <w:rPr>
                <w:rFonts w:hint="eastAsia" w:ascii="宋体" w:hAnsi="宋体" w:cs="宋体"/>
                <w:color w:val="000000" w:themeColor="text1"/>
                <w:spacing w:val="9"/>
                <w:sz w:val="24"/>
                <w:highlight w:val="none"/>
                <w14:textFill>
                  <w14:solidFill>
                    <w14:schemeClr w14:val="tx1"/>
                  </w14:solidFill>
                </w14:textFill>
              </w:rPr>
              <w:t>3.</w:t>
            </w:r>
            <w:r>
              <w:rPr>
                <w:rFonts w:hint="eastAsia" w:ascii="宋体" w:hAnsi="宋体" w:cs="宋体"/>
                <w:color w:val="000000" w:themeColor="text1"/>
                <w:spacing w:val="9"/>
                <w:highlight w:val="none"/>
                <w:u w:val="single"/>
                <w14:textFill>
                  <w14:solidFill>
                    <w14:schemeClr w14:val="tx1"/>
                  </w14:solidFill>
                </w14:textFill>
              </w:rPr>
              <w:t>第</w:t>
            </w:r>
            <w:r>
              <w:rPr>
                <w:rFonts w:hint="eastAsia" w:ascii="宋体" w:hAnsi="宋体" w:cs="宋体"/>
                <w:color w:val="000000" w:themeColor="text1"/>
                <w:spacing w:val="-29"/>
                <w:highlight w:val="none"/>
                <w:u w:val="single"/>
                <w14:textFill>
                  <w14:solidFill>
                    <w14:schemeClr w14:val="tx1"/>
                  </w14:solidFill>
                </w14:textFill>
              </w:rPr>
              <w:t xml:space="preserve"> </w:t>
            </w:r>
            <w:r>
              <w:rPr>
                <w:rFonts w:hint="eastAsia" w:ascii="宋体" w:hAnsi="宋体" w:cs="宋体"/>
                <w:color w:val="000000" w:themeColor="text1"/>
                <w:spacing w:val="9"/>
                <w:highlight w:val="none"/>
                <w:u w:val="single"/>
                <w14:textFill>
                  <w14:solidFill>
                    <w14:schemeClr w14:val="tx1"/>
                  </w14:solidFill>
                </w14:textFill>
              </w:rPr>
              <w:t>2（3）条款“项目涉及各地级以上市</w:t>
            </w:r>
            <w:r>
              <w:rPr>
                <w:rFonts w:hint="eastAsia" w:ascii="宋体" w:hAnsi="宋体" w:cs="宋体"/>
                <w:color w:val="000000" w:themeColor="text1"/>
                <w:spacing w:val="-68"/>
                <w:highlight w:val="none"/>
                <w:u w:val="single"/>
                <w14:textFill>
                  <w14:solidFill>
                    <w14:schemeClr w14:val="tx1"/>
                  </w14:solidFill>
                </w14:textFill>
              </w:rPr>
              <w:t xml:space="preserve"> </w:t>
            </w:r>
            <w:r>
              <w:rPr>
                <w:rFonts w:hint="eastAsia" w:ascii="宋体" w:hAnsi="宋体" w:cs="宋体"/>
                <w:color w:val="000000" w:themeColor="text1"/>
                <w:spacing w:val="9"/>
                <w:highlight w:val="none"/>
                <w:u w:val="single"/>
                <w14:textFill>
                  <w14:solidFill>
                    <w14:schemeClr w14:val="tx1"/>
                  </w14:solidFill>
                </w14:textFill>
              </w:rPr>
              <w:t>”指：本项目（以立项为单位）</w:t>
            </w:r>
            <w:r>
              <w:rPr>
                <w:rFonts w:hint="eastAsia" w:ascii="宋体" w:hAnsi="宋体" w:cs="宋体"/>
                <w:color w:val="000000" w:themeColor="text1"/>
                <w:spacing w:val="12"/>
                <w:highlight w:val="none"/>
                <w:u w:val="single"/>
                <w14:textFill>
                  <w14:solidFill>
                    <w14:schemeClr w14:val="tx1"/>
                  </w14:solidFill>
                </w14:textFill>
              </w:rPr>
              <w:t>涉及多个地市，如投标人所投某个标段（仅涉及部分地市</w:t>
            </w:r>
            <w:r>
              <w:rPr>
                <w:rFonts w:hint="eastAsia" w:ascii="宋体" w:hAnsi="宋体" w:cs="宋体"/>
                <w:color w:val="000000" w:themeColor="text1"/>
                <w:spacing w:val="7"/>
                <w:highlight w:val="none"/>
                <w:u w:val="single"/>
                <w14:textFill>
                  <w14:solidFill>
                    <w14:schemeClr w14:val="tx1"/>
                  </w14:solidFill>
                </w14:textFill>
              </w:rPr>
              <w:t>）</w:t>
            </w:r>
            <w:r>
              <w:rPr>
                <w:rFonts w:hint="eastAsia" w:ascii="宋体" w:hAnsi="宋体" w:cs="宋体"/>
                <w:color w:val="000000" w:themeColor="text1"/>
                <w:spacing w:val="-59"/>
                <w:highlight w:val="none"/>
                <w:u w:val="single"/>
                <w14:textFill>
                  <w14:solidFill>
                    <w14:schemeClr w14:val="tx1"/>
                  </w14:solidFill>
                </w14:textFill>
              </w:rPr>
              <w:t xml:space="preserve"> </w:t>
            </w:r>
            <w:r>
              <w:rPr>
                <w:rFonts w:hint="eastAsia" w:ascii="宋体" w:hAnsi="宋体" w:cs="宋体"/>
                <w:color w:val="000000" w:themeColor="text1"/>
                <w:spacing w:val="7"/>
                <w:highlight w:val="none"/>
                <w:u w:val="single"/>
                <w14:textFill>
                  <w14:solidFill>
                    <w14:schemeClr w14:val="tx1"/>
                  </w14:solidFill>
                </w14:textFill>
              </w:rPr>
              <w:t>，</w:t>
            </w:r>
            <w:r>
              <w:rPr>
                <w:rFonts w:hint="eastAsia" w:ascii="宋体" w:hAnsi="宋体" w:cs="宋体"/>
                <w:color w:val="000000" w:themeColor="text1"/>
                <w:spacing w:val="12"/>
                <w:highlight w:val="none"/>
                <w:u w:val="single"/>
                <w14:textFill>
                  <w14:solidFill>
                    <w14:schemeClr w14:val="tx1"/>
                  </w14:solidFill>
                </w14:textFill>
              </w:rPr>
              <w:t>该标段履约</w:t>
            </w:r>
            <w:r>
              <w:rPr>
                <w:rFonts w:hint="eastAsia" w:ascii="宋体" w:hAnsi="宋体" w:cs="宋体"/>
                <w:color w:val="000000" w:themeColor="text1"/>
                <w:spacing w:val="13"/>
                <w:highlight w:val="none"/>
                <w:u w:val="single"/>
                <w14:textFill>
                  <w14:solidFill>
                    <w14:schemeClr w14:val="tx1"/>
                  </w14:solidFill>
                </w14:textFill>
              </w:rPr>
              <w:t>情况按项目（以立项为单位）涉及各地市交通运输局相关行政处罚均应包</w:t>
            </w:r>
            <w:r>
              <w:rPr>
                <w:rFonts w:hint="eastAsia" w:ascii="宋体" w:hAnsi="宋体" w:cs="宋体"/>
                <w:color w:val="000000" w:themeColor="text1"/>
                <w:spacing w:val="10"/>
                <w:highlight w:val="none"/>
                <w:u w:val="single"/>
                <w14:textFill>
                  <w14:solidFill>
                    <w14:schemeClr w14:val="tx1"/>
                  </w14:solidFill>
                </w14:textFill>
              </w:rPr>
              <w:t>含。如某项目涉及</w:t>
            </w:r>
            <w:r>
              <w:rPr>
                <w:rFonts w:hint="eastAsia" w:ascii="宋体" w:hAnsi="宋体" w:cs="宋体"/>
                <w:color w:val="000000" w:themeColor="text1"/>
                <w:spacing w:val="-38"/>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A、B、C</w:t>
            </w:r>
            <w:r>
              <w:rPr>
                <w:rFonts w:hint="eastAsia" w:ascii="宋体" w:hAnsi="宋体" w:cs="宋体"/>
                <w:color w:val="000000" w:themeColor="text1"/>
                <w:spacing w:val="-36"/>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三个地级以上市，但标段</w:t>
            </w:r>
            <w:r>
              <w:rPr>
                <w:rFonts w:hint="eastAsia" w:ascii="宋体" w:hAnsi="宋体" w:cs="宋体"/>
                <w:color w:val="000000" w:themeColor="text1"/>
                <w:spacing w:val="-30"/>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3</w:t>
            </w:r>
            <w:r>
              <w:rPr>
                <w:rFonts w:hint="eastAsia" w:ascii="宋体" w:hAnsi="宋体" w:cs="宋体"/>
                <w:color w:val="000000" w:themeColor="text1"/>
                <w:spacing w:val="-37"/>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仅涉及</w:t>
            </w:r>
            <w:r>
              <w:rPr>
                <w:rFonts w:hint="eastAsia" w:ascii="宋体" w:hAnsi="宋体" w:cs="宋体"/>
                <w:color w:val="000000" w:themeColor="text1"/>
                <w:spacing w:val="-44"/>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A</w:t>
            </w:r>
            <w:r>
              <w:rPr>
                <w:rFonts w:hint="eastAsia" w:ascii="宋体" w:hAnsi="宋体" w:cs="宋体"/>
                <w:color w:val="000000" w:themeColor="text1"/>
                <w:spacing w:val="-30"/>
                <w:highlight w:val="none"/>
                <w:u w:val="single"/>
                <w14:textFill>
                  <w14:solidFill>
                    <w14:schemeClr w14:val="tx1"/>
                  </w14:solidFill>
                </w14:textFill>
              </w:rPr>
              <w:t xml:space="preserve"> </w:t>
            </w:r>
            <w:r>
              <w:rPr>
                <w:rFonts w:hint="eastAsia" w:ascii="宋体" w:hAnsi="宋体" w:cs="宋体"/>
                <w:color w:val="000000" w:themeColor="text1"/>
                <w:spacing w:val="10"/>
                <w:highlight w:val="none"/>
                <w:u w:val="single"/>
                <w14:textFill>
                  <w14:solidFill>
                    <w14:schemeClr w14:val="tx1"/>
                  </w14:solidFill>
                </w14:textFill>
              </w:rPr>
              <w:t>市，该条</w:t>
            </w:r>
            <w:r>
              <w:rPr>
                <w:rFonts w:hint="eastAsia" w:ascii="宋体" w:hAnsi="宋体" w:cs="宋体"/>
                <w:color w:val="000000" w:themeColor="text1"/>
                <w:spacing w:val="12"/>
                <w:highlight w:val="none"/>
                <w:u w:val="single"/>
                <w14:textFill>
                  <w14:solidFill>
                    <w14:schemeClr w14:val="tx1"/>
                  </w14:solidFill>
                </w14:textFill>
              </w:rPr>
              <w:t>款履约情况应为</w:t>
            </w:r>
            <w:r>
              <w:rPr>
                <w:rFonts w:hint="eastAsia" w:ascii="宋体" w:hAnsi="宋体" w:cs="宋体"/>
                <w:color w:val="000000" w:themeColor="text1"/>
                <w:spacing w:val="-41"/>
                <w:highlight w:val="none"/>
                <w:u w:val="single"/>
                <w14:textFill>
                  <w14:solidFill>
                    <w14:schemeClr w14:val="tx1"/>
                  </w14:solidFill>
                </w14:textFill>
              </w:rPr>
              <w:t xml:space="preserve"> </w:t>
            </w:r>
            <w:r>
              <w:rPr>
                <w:rFonts w:hint="eastAsia" w:ascii="宋体" w:hAnsi="宋体" w:cs="宋体"/>
                <w:color w:val="000000" w:themeColor="text1"/>
                <w:spacing w:val="12"/>
                <w:highlight w:val="none"/>
                <w:u w:val="single"/>
                <w14:textFill>
                  <w14:solidFill>
                    <w14:schemeClr w14:val="tx1"/>
                  </w14:solidFill>
                </w14:textFill>
              </w:rPr>
              <w:t>A、B、C</w:t>
            </w:r>
            <w:r>
              <w:rPr>
                <w:rFonts w:hint="eastAsia" w:ascii="宋体" w:hAnsi="宋体" w:cs="宋体"/>
                <w:color w:val="000000" w:themeColor="text1"/>
                <w:spacing w:val="-36"/>
                <w:highlight w:val="none"/>
                <w:u w:val="single"/>
                <w14:textFill>
                  <w14:solidFill>
                    <w14:schemeClr w14:val="tx1"/>
                  </w14:solidFill>
                </w14:textFill>
              </w:rPr>
              <w:t xml:space="preserve"> </w:t>
            </w:r>
            <w:r>
              <w:rPr>
                <w:rFonts w:hint="eastAsia" w:ascii="宋体" w:hAnsi="宋体" w:cs="宋体"/>
                <w:color w:val="000000" w:themeColor="text1"/>
                <w:spacing w:val="12"/>
                <w:highlight w:val="none"/>
                <w:u w:val="single"/>
                <w14:textFill>
                  <w14:solidFill>
                    <w14:schemeClr w14:val="tx1"/>
                  </w14:solidFill>
                </w14:textFill>
              </w:rPr>
              <w:t>三个地级以上市交通运输局相关行政处</w:t>
            </w:r>
            <w:r>
              <w:rPr>
                <w:rFonts w:hint="eastAsia" w:ascii="宋体" w:hAnsi="宋体" w:cs="宋体"/>
                <w:color w:val="000000" w:themeColor="text1"/>
                <w:spacing w:val="11"/>
                <w:highlight w:val="none"/>
                <w:u w:val="single"/>
                <w14:textFill>
                  <w14:solidFill>
                    <w14:schemeClr w14:val="tx1"/>
                  </w14:solidFill>
                </w14:textFill>
              </w:rPr>
              <w:t>罚（而非</w:t>
            </w:r>
            <w:r>
              <w:rPr>
                <w:rFonts w:hint="eastAsia" w:ascii="宋体" w:hAnsi="宋体" w:cs="宋体"/>
                <w:color w:val="000000" w:themeColor="text1"/>
                <w:spacing w:val="8"/>
                <w:highlight w:val="none"/>
                <w:u w:val="single"/>
                <w14:textFill>
                  <w14:solidFill>
                    <w14:schemeClr w14:val="tx1"/>
                  </w14:solidFill>
                </w14:textFill>
              </w:rPr>
              <w:t>仅</w:t>
            </w:r>
            <w:r>
              <w:rPr>
                <w:rFonts w:hint="eastAsia" w:ascii="宋体" w:hAnsi="宋体" w:cs="宋体"/>
                <w:color w:val="000000" w:themeColor="text1"/>
                <w:spacing w:val="-46"/>
                <w:highlight w:val="none"/>
                <w:u w:val="single"/>
                <w14:textFill>
                  <w14:solidFill>
                    <w14:schemeClr w14:val="tx1"/>
                  </w14:solidFill>
                </w14:textFill>
              </w:rPr>
              <w:t xml:space="preserve"> </w:t>
            </w:r>
            <w:r>
              <w:rPr>
                <w:rFonts w:hint="eastAsia" w:ascii="宋体" w:hAnsi="宋体" w:cs="宋体"/>
                <w:color w:val="000000" w:themeColor="text1"/>
                <w:spacing w:val="8"/>
                <w:highlight w:val="none"/>
                <w:u w:val="single"/>
                <w14:textFill>
                  <w14:solidFill>
                    <w14:schemeClr w14:val="tx1"/>
                  </w14:solidFill>
                </w14:textFill>
              </w:rPr>
              <w:t>A</w:t>
            </w:r>
            <w:r>
              <w:rPr>
                <w:rFonts w:hint="eastAsia" w:ascii="宋体" w:hAnsi="宋体" w:cs="宋体"/>
                <w:color w:val="000000" w:themeColor="text1"/>
                <w:spacing w:val="-32"/>
                <w:highlight w:val="none"/>
                <w:u w:val="single"/>
                <w14:textFill>
                  <w14:solidFill>
                    <w14:schemeClr w14:val="tx1"/>
                  </w14:solidFill>
                </w14:textFill>
              </w:rPr>
              <w:t xml:space="preserve"> </w:t>
            </w:r>
            <w:r>
              <w:rPr>
                <w:rFonts w:hint="eastAsia" w:ascii="宋体" w:hAnsi="宋体" w:cs="宋体"/>
                <w:color w:val="000000" w:themeColor="text1"/>
                <w:spacing w:val="8"/>
                <w:highlight w:val="none"/>
                <w:u w:val="single"/>
                <w14:textFill>
                  <w14:solidFill>
                    <w14:schemeClr w14:val="tx1"/>
                  </w14:solidFill>
                </w14:textFill>
              </w:rPr>
              <w:t>市交通运输局相关行政处罚</w:t>
            </w:r>
            <w:r>
              <w:rPr>
                <w:rFonts w:hint="eastAsia" w:ascii="宋体" w:hAnsi="宋体" w:cs="宋体"/>
                <w:color w:val="000000" w:themeColor="text1"/>
                <w:spacing w:val="18"/>
                <w:highlight w:val="none"/>
                <w:u w:val="single"/>
                <w14:textFill>
                  <w14:solidFill>
                    <w14:schemeClr w14:val="tx1"/>
                  </w14:solidFill>
                </w14:textFill>
              </w:rPr>
              <w:t>），</w:t>
            </w:r>
            <w:r>
              <w:rPr>
                <w:rFonts w:hint="eastAsia" w:ascii="宋体" w:hAnsi="宋体" w:cs="宋体"/>
                <w:color w:val="000000" w:themeColor="text1"/>
                <w:spacing w:val="8"/>
                <w:highlight w:val="none"/>
                <w:u w:val="single"/>
                <w14:textFill>
                  <w14:solidFill>
                    <w14:schemeClr w14:val="tx1"/>
                  </w14:solidFill>
                </w14:textFill>
              </w:rPr>
              <w:t>且在招标文件编制时明确为“A、B、C</w:t>
            </w:r>
            <w:r>
              <w:rPr>
                <w:rFonts w:hint="eastAsia" w:ascii="宋体" w:hAnsi="宋体" w:cs="宋体"/>
                <w:color w:val="000000" w:themeColor="text1"/>
                <w:spacing w:val="9"/>
                <w:highlight w:val="none"/>
                <w:u w:val="single"/>
                <w14:textFill>
                  <w14:solidFill>
                    <w14:schemeClr w14:val="tx1"/>
                  </w14:solidFill>
                </w14:textFill>
              </w:rPr>
              <w:t>市交通运输局行政处罚、且在处罚信息公示期内的</w:t>
            </w:r>
            <w:r>
              <w:rPr>
                <w:rFonts w:hint="eastAsia" w:ascii="宋体" w:hAnsi="宋体" w:cs="宋体"/>
                <w:color w:val="000000" w:themeColor="text1"/>
                <w:spacing w:val="-67"/>
                <w:highlight w:val="none"/>
                <w:u w:val="single"/>
                <w14:textFill>
                  <w14:solidFill>
                    <w14:schemeClr w14:val="tx1"/>
                  </w14:solidFill>
                </w14:textFill>
              </w:rPr>
              <w:t xml:space="preserve"> </w:t>
            </w:r>
            <w:r>
              <w:rPr>
                <w:rFonts w:hint="eastAsia" w:ascii="宋体" w:hAnsi="宋体" w:cs="宋体"/>
                <w:color w:val="000000" w:themeColor="text1"/>
                <w:spacing w:val="9"/>
                <w:highlight w:val="none"/>
                <w:u w:val="single"/>
                <w14:textFill>
                  <w14:solidFill>
                    <w14:schemeClr w14:val="tx1"/>
                  </w14:solidFill>
                </w14:textFill>
              </w:rPr>
              <w:t>”。</w:t>
            </w:r>
          </w:p>
          <w:p w14:paraId="0A1A842B">
            <w:pPr>
              <w:widowControl/>
              <w:spacing w:line="288" w:lineRule="auto"/>
              <w:ind w:left="42" w:leftChars="20" w:right="113"/>
              <w:jc w:val="left"/>
              <w:rPr>
                <w:color w:val="000000" w:themeColor="text1"/>
                <w:highlight w:val="none"/>
                <w14:textFill>
                  <w14:solidFill>
                    <w14:schemeClr w14:val="tx1"/>
                  </w14:solidFill>
                </w14:textFill>
              </w:rPr>
            </w:pPr>
            <w:r>
              <w:rPr>
                <w:rFonts w:hint="eastAsia" w:ascii="宋体" w:hAnsi="宋体" w:cs="宋体"/>
                <w:color w:val="000000" w:themeColor="text1"/>
                <w:spacing w:val="9"/>
                <w:sz w:val="24"/>
                <w:highlight w:val="none"/>
                <w14:textFill>
                  <w14:solidFill>
                    <w14:schemeClr w14:val="tx1"/>
                  </w14:solidFill>
                </w14:textFill>
              </w:rPr>
              <w:t>4.如果扣完本项分值，可以从总分中扣。以联合体形式投标的，若各联合体成员任何一方或均存在上述情形的，对联合体各成员进行累计扣分。</w:t>
            </w:r>
          </w:p>
        </w:tc>
      </w:tr>
      <w:tr w14:paraId="3DE9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0786A99C">
            <w:pPr>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lang w:bidi="ar"/>
                <w14:textFill>
                  <w14:solidFill>
                    <w14:schemeClr w14:val="tx1"/>
                  </w14:solidFill>
                </w14:textFill>
              </w:rPr>
              <w:t>需要补充的其他内容：</w:t>
            </w:r>
          </w:p>
        </w:tc>
      </w:tr>
      <w:tr w14:paraId="55F8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tcPr>
          <w:p w14:paraId="69FA3291">
            <w:pPr>
              <w:widowControl/>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lang w:bidi="ar"/>
                <w14:textFill>
                  <w14:solidFill>
                    <w14:schemeClr w14:val="tx1"/>
                  </w14:solidFill>
                </w14:textFill>
              </w:rPr>
              <w:t>条款号</w:t>
            </w:r>
          </w:p>
        </w:tc>
        <w:tc>
          <w:tcPr>
            <w:tcW w:w="3998" w:type="pct"/>
            <w:gridSpan w:val="4"/>
          </w:tcPr>
          <w:p w14:paraId="00E32C05">
            <w:pPr>
              <w:widowControl/>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lang w:bidi="ar"/>
                <w14:textFill>
                  <w14:solidFill>
                    <w14:schemeClr w14:val="tx1"/>
                  </w14:solidFill>
                </w14:textFill>
              </w:rPr>
              <w:t>补充或修改的内容</w:t>
            </w:r>
          </w:p>
        </w:tc>
      </w:tr>
      <w:tr w14:paraId="6817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vAlign w:val="center"/>
          </w:tcPr>
          <w:p w14:paraId="05A45EF0">
            <w:pPr>
              <w:widowControl/>
              <w:spacing w:line="4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3.2.3</w:t>
            </w:r>
          </w:p>
        </w:tc>
        <w:tc>
          <w:tcPr>
            <w:tcW w:w="3998" w:type="pct"/>
            <w:gridSpan w:val="4"/>
            <w:vAlign w:val="center"/>
          </w:tcPr>
          <w:p w14:paraId="21B2A3F5">
            <w:pPr>
              <w:spacing w:line="360" w:lineRule="auto"/>
              <w:ind w:firstLine="252" w:firstLineChars="100"/>
              <w:rPr>
                <w:color w:val="000000" w:themeColor="text1"/>
                <w:highlight w:val="none"/>
                <w14:textFill>
                  <w14:solidFill>
                    <w14:schemeClr w14:val="tx1"/>
                  </w14:solidFill>
                </w14:textFill>
              </w:rPr>
            </w:pPr>
            <w:r>
              <w:rPr>
                <w:rFonts w:hint="eastAsia" w:ascii="宋体" w:hAnsi="宋体" w:cs="宋体"/>
                <w:color w:val="000000" w:themeColor="text1"/>
                <w:spacing w:val="6"/>
                <w:sz w:val="24"/>
                <w:szCs w:val="32"/>
                <w:highlight w:val="none"/>
                <w14:textFill>
                  <w14:solidFill>
                    <w14:schemeClr w14:val="tx1"/>
                  </w14:solidFill>
                </w14:textFill>
              </w:rPr>
              <w:t>3.2.3</w:t>
            </w:r>
            <w:r>
              <w:rPr>
                <w:rFonts w:hint="eastAsia" w:ascii="宋体" w:hAnsi="宋体" w:cs="宋体"/>
                <w:color w:val="000000" w:themeColor="text1"/>
                <w:spacing w:val="-23"/>
                <w:sz w:val="24"/>
                <w:szCs w:val="32"/>
                <w:highlight w:val="none"/>
                <w14:textFill>
                  <w14:solidFill>
                    <w14:schemeClr w14:val="tx1"/>
                  </w14:solidFill>
                </w14:textFill>
              </w:rPr>
              <w:t xml:space="preserve"> </w:t>
            </w:r>
            <w:r>
              <w:rPr>
                <w:rFonts w:hint="eastAsia" w:ascii="宋体" w:hAnsi="宋体" w:cs="宋体"/>
                <w:color w:val="000000" w:themeColor="text1"/>
                <w:spacing w:val="6"/>
                <w:sz w:val="24"/>
                <w:szCs w:val="32"/>
                <w:highlight w:val="none"/>
                <w14:textFill>
                  <w14:solidFill>
                    <w14:schemeClr w14:val="tx1"/>
                  </w14:solidFill>
                </w14:textFill>
              </w:rPr>
              <w:t>项取消其中</w:t>
            </w:r>
            <w:r>
              <w:rPr>
                <w:rFonts w:hint="eastAsia" w:ascii="宋体" w:hAnsi="宋体" w:cs="宋体"/>
                <w:color w:val="000000" w:themeColor="text1"/>
                <w:spacing w:val="-21"/>
                <w:sz w:val="24"/>
                <w:szCs w:val="32"/>
                <w:highlight w:val="none"/>
                <w14:textFill>
                  <w14:solidFill>
                    <w14:schemeClr w14:val="tx1"/>
                  </w14:solidFill>
                </w14:textFill>
              </w:rPr>
              <w:t xml:space="preserve"> </w:t>
            </w:r>
            <w:r>
              <w:rPr>
                <w:rFonts w:hint="eastAsia" w:ascii="宋体" w:hAnsi="宋体" w:cs="宋体"/>
                <w:color w:val="000000" w:themeColor="text1"/>
                <w:spacing w:val="6"/>
                <w:sz w:val="24"/>
                <w:szCs w:val="32"/>
                <w:highlight w:val="none"/>
                <w14:textFill>
                  <w14:solidFill>
                    <w14:schemeClr w14:val="tx1"/>
                  </w14:solidFill>
                </w14:textFill>
              </w:rPr>
              <w:t>1</w:t>
            </w:r>
            <w:r>
              <w:rPr>
                <w:rFonts w:hint="eastAsia" w:ascii="宋体" w:hAnsi="宋体" w:cs="宋体"/>
                <w:color w:val="000000" w:themeColor="text1"/>
                <w:spacing w:val="-38"/>
                <w:sz w:val="24"/>
                <w:szCs w:val="32"/>
                <w:highlight w:val="none"/>
                <w14:textFill>
                  <w14:solidFill>
                    <w14:schemeClr w14:val="tx1"/>
                  </w14:solidFill>
                </w14:textFill>
              </w:rPr>
              <w:t xml:space="preserve"> </w:t>
            </w:r>
            <w:r>
              <w:rPr>
                <w:rFonts w:hint="eastAsia" w:ascii="宋体" w:hAnsi="宋体" w:cs="宋体"/>
                <w:color w:val="000000" w:themeColor="text1"/>
                <w:spacing w:val="6"/>
                <w:sz w:val="24"/>
                <w:szCs w:val="32"/>
                <w:highlight w:val="none"/>
                <w14:textFill>
                  <w14:solidFill>
                    <w14:schemeClr w14:val="tx1"/>
                  </w14:solidFill>
                </w14:textFill>
              </w:rPr>
              <w:t>名评委所有评分的办法明确为：</w:t>
            </w:r>
            <w:r>
              <w:rPr>
                <w:rFonts w:hint="eastAsia" w:ascii="宋体" w:hAnsi="宋体" w:cs="宋体"/>
                <w:color w:val="000000" w:themeColor="text1"/>
                <w:spacing w:val="6"/>
                <w:sz w:val="24"/>
                <w:szCs w:val="32"/>
                <w:highlight w:val="none"/>
                <w:u w:val="single"/>
                <w14:textFill>
                  <w14:solidFill>
                    <w14:schemeClr w14:val="tx1"/>
                  </w14:solidFill>
                </w14:textFill>
              </w:rPr>
              <w:t>办法</w:t>
            </w:r>
            <w:r>
              <w:rPr>
                <w:rFonts w:hint="eastAsia" w:ascii="宋体" w:hAnsi="宋体" w:cs="宋体"/>
                <w:color w:val="000000" w:themeColor="text1"/>
                <w:sz w:val="24"/>
                <w:szCs w:val="32"/>
                <w:highlight w:val="none"/>
                <w:u w:val="single"/>
                <w14:textFill>
                  <w14:solidFill>
                    <w14:schemeClr w14:val="tx1"/>
                  </w14:solidFill>
                </w14:textFill>
              </w:rPr>
              <w:t xml:space="preserve"> 二</w:t>
            </w:r>
            <w:r>
              <w:rPr>
                <w:color w:val="000000" w:themeColor="text1"/>
                <w:highlight w:val="none"/>
                <w:u w:val="single"/>
                <w14:textFill>
                  <w14:solidFill>
                    <w14:schemeClr w14:val="tx1"/>
                  </w14:solidFill>
                </w14:textFill>
              </w:rPr>
              <w:t xml:space="preserve"> </w:t>
            </w:r>
          </w:p>
        </w:tc>
      </w:tr>
      <w:tr w14:paraId="20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0A711A3A">
            <w:pPr>
              <w:pStyle w:val="124"/>
              <w:spacing w:before="65" w:line="285" w:lineRule="exact"/>
              <w:jc w:val="center"/>
              <w:rPr>
                <w:rFonts w:hint="eastAsia" w:ascii="宋体" w:hAnsi="宋体" w:cs="宋体"/>
                <w:color w:val="000000" w:themeColor="text1"/>
                <w:kern w:val="0"/>
                <w:sz w:val="24"/>
                <w:highlight w:val="none"/>
                <w14:textFill>
                  <w14:solidFill>
                    <w14:schemeClr w14:val="tx1"/>
                  </w14:solidFill>
                </w14:textFill>
              </w:rPr>
            </w:pPr>
            <w:r>
              <w:rPr>
                <w:rFonts w:hint="eastAsia" w:eastAsia="宋体"/>
                <w:snapToGrid w:val="0"/>
                <w:color w:val="000000" w:themeColor="text1"/>
                <w:spacing w:val="-3"/>
                <w:kern w:val="0"/>
                <w:sz w:val="24"/>
                <w:highlight w:val="none"/>
                <w:lang w:val="en-US" w:eastAsia="zh-CN"/>
                <w14:textFill>
                  <w14:solidFill>
                    <w14:schemeClr w14:val="tx1"/>
                  </w14:solidFill>
                </w14:textFill>
              </w:rPr>
              <w:t>1.1</w:t>
            </w:r>
          </w:p>
        </w:tc>
        <w:tc>
          <w:tcPr>
            <w:tcW w:w="7892" w:type="dxa"/>
            <w:gridSpan w:val="4"/>
            <w:vAlign w:val="top"/>
          </w:tcPr>
          <w:p w14:paraId="72AA68F7">
            <w:pPr>
              <w:pStyle w:val="124"/>
              <w:wordWrap w:val="0"/>
              <w:spacing w:line="288" w:lineRule="auto"/>
              <w:ind w:right="108"/>
              <w:rPr>
                <w:rFonts w:hint="eastAsia"/>
                <w:b w:val="0"/>
                <w:bCs w:val="0"/>
                <w:color w:val="000000" w:themeColor="text1"/>
                <w:spacing w:val="9"/>
                <w:sz w:val="24"/>
                <w:szCs w:val="24"/>
                <w:highlight w:val="none"/>
                <w:lang w:eastAsia="zh-CN"/>
                <w14:textFill>
                  <w14:solidFill>
                    <w14:schemeClr w14:val="tx1"/>
                  </w14:solidFill>
                </w14:textFill>
              </w:rPr>
            </w:pPr>
            <w:r>
              <w:rPr>
                <w:rFonts w:hint="eastAsia"/>
                <w:b w:val="0"/>
                <w:bCs w:val="0"/>
                <w:color w:val="000000" w:themeColor="text1"/>
                <w:spacing w:val="9"/>
                <w:sz w:val="24"/>
                <w:szCs w:val="24"/>
                <w:highlight w:val="none"/>
                <w:lang w:eastAsia="zh-CN"/>
                <w14:textFill>
                  <w14:solidFill>
                    <w14:schemeClr w14:val="tx1"/>
                  </w14:solidFill>
                </w14:textFill>
              </w:rPr>
              <w:t>评标办法前附表正文</w:t>
            </w:r>
            <w:r>
              <w:rPr>
                <w:rFonts w:hint="eastAsia"/>
                <w:b w:val="0"/>
                <w:bCs w:val="0"/>
                <w:color w:val="000000" w:themeColor="text1"/>
                <w:spacing w:val="9"/>
                <w:sz w:val="24"/>
                <w:szCs w:val="24"/>
                <w:highlight w:val="none"/>
                <w:lang w:val="en-US" w:eastAsia="zh-CN"/>
                <w14:textFill>
                  <w14:solidFill>
                    <w14:schemeClr w14:val="tx1"/>
                  </w14:solidFill>
                </w14:textFill>
              </w:rPr>
              <w:t>1.1</w:t>
            </w:r>
            <w:r>
              <w:rPr>
                <w:rFonts w:hint="eastAsia"/>
                <w:b w:val="0"/>
                <w:bCs w:val="0"/>
                <w:color w:val="000000" w:themeColor="text1"/>
                <w:spacing w:val="9"/>
                <w:sz w:val="24"/>
                <w:szCs w:val="24"/>
                <w:highlight w:val="none"/>
                <w:lang w:eastAsia="zh-CN"/>
                <w14:textFill>
                  <w14:solidFill>
                    <w14:schemeClr w14:val="tx1"/>
                  </w14:solidFill>
                </w14:textFill>
              </w:rPr>
              <w:t>项内容修改如下：</w:t>
            </w:r>
          </w:p>
          <w:p w14:paraId="5B0C1EBD">
            <w:pPr>
              <w:pStyle w:val="124"/>
              <w:wordWrap w:val="0"/>
              <w:spacing w:line="288" w:lineRule="auto"/>
              <w:ind w:right="108" w:firstLine="516" w:firstLineChars="200"/>
              <w:rPr>
                <w:rFonts w:hint="eastAsia" w:ascii="宋体" w:hAnsi="宋体" w:eastAsia="宋体" w:cs="宋体"/>
                <w:b w:val="0"/>
                <w:bCs w:val="0"/>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9"/>
                <w:sz w:val="24"/>
                <w:szCs w:val="24"/>
                <w:highlight w:val="none"/>
                <w:lang w:val="en-US" w:eastAsia="zh-CN"/>
                <w14:textFill>
                  <w14:solidFill>
                    <w14:schemeClr w14:val="tx1"/>
                  </w14:solidFill>
                </w14:textFill>
              </w:rPr>
              <w:t>1.1 评标方法</w:t>
            </w:r>
          </w:p>
          <w:p w14:paraId="20894CCF">
            <w:pPr>
              <w:pStyle w:val="124"/>
              <w:wordWrap w:val="0"/>
              <w:spacing w:line="288" w:lineRule="auto"/>
              <w:ind w:right="108" w:rightChars="0" w:firstLine="516" w:firstLineChars="200"/>
              <w:rPr>
                <w:rFonts w:hint="eastAsia" w:ascii="宋体" w:hAnsi="宋体" w:cs="宋体"/>
                <w:color w:val="000000" w:themeColor="text1"/>
                <w:spacing w:val="6"/>
                <w:sz w:val="24"/>
                <w:szCs w:val="32"/>
                <w:highlight w:val="none"/>
                <w14:textFill>
                  <w14:solidFill>
                    <w14:schemeClr w14:val="tx1"/>
                  </w14:solidFill>
                </w14:textFill>
              </w:rPr>
            </w:pPr>
            <w:r>
              <w:rPr>
                <w:rFonts w:hint="eastAsia" w:ascii="宋体" w:hAnsi="宋体" w:eastAsia="宋体" w:cs="宋体"/>
                <w:b w:val="0"/>
                <w:bCs w:val="0"/>
                <w:color w:val="000000" w:themeColor="text1"/>
                <w:spacing w:val="9"/>
                <w:sz w:val="24"/>
                <w:szCs w:val="24"/>
                <w:highlight w:val="none"/>
                <w:lang w:val="en-US" w:eastAsia="zh-CN"/>
                <w14:textFill>
                  <w14:solidFill>
                    <w14:schemeClr w14:val="tx1"/>
                  </w14:solidFill>
                </w14:textFill>
              </w:rPr>
              <w:t>本次评标采用双信封的技术评分最低标价法。评标委员会对满足招标文件实质性要求的投标文件，按照本章第 2.2 款规定对通过初步评审的投标人的施工组织设计及承包人项目管理方案、主要人员、其他因素等进行评分，按照招标文件规定数量将得分前5名（不少于3名但不足 5 名时，按全部实际数量）的投标人的第二信封（报价文件）进行评审，通过第二信封（报价文件）评审的投标人推荐为定标候选人。</w:t>
            </w:r>
          </w:p>
        </w:tc>
      </w:tr>
      <w:tr w14:paraId="5BBE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52242F37">
            <w:pPr>
              <w:pStyle w:val="124"/>
              <w:spacing w:before="65" w:line="285" w:lineRule="exact"/>
              <w:jc w:val="center"/>
              <w:rPr>
                <w:rFonts w:hint="eastAsia" w:eastAsia="宋体"/>
                <w:snapToGrid w:val="0"/>
                <w:color w:val="000000" w:themeColor="text1"/>
                <w:spacing w:val="-3"/>
                <w:kern w:val="0"/>
                <w:sz w:val="24"/>
                <w:highlight w:val="none"/>
                <w:lang w:val="en-US" w:eastAsia="zh-CN"/>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1.3.</w:t>
            </w:r>
            <w:r>
              <w:rPr>
                <w:rFonts w:hint="eastAsia" w:eastAsia="宋体"/>
                <w:snapToGrid w:val="0"/>
                <w:color w:val="000000" w:themeColor="text1"/>
                <w:spacing w:val="-3"/>
                <w:kern w:val="0"/>
                <w:sz w:val="24"/>
                <w:highlight w:val="none"/>
                <w:lang w:val="en-US" w:eastAsia="zh-CN"/>
                <w14:textFill>
                  <w14:solidFill>
                    <w14:schemeClr w14:val="tx1"/>
                  </w14:solidFill>
                </w14:textFill>
              </w:rPr>
              <w:t>5</w:t>
            </w:r>
          </w:p>
        </w:tc>
        <w:tc>
          <w:tcPr>
            <w:tcW w:w="7892" w:type="dxa"/>
            <w:gridSpan w:val="4"/>
            <w:vAlign w:val="top"/>
          </w:tcPr>
          <w:p w14:paraId="063CDFD1">
            <w:pPr>
              <w:pStyle w:val="124"/>
              <w:wordWrap w:val="0"/>
              <w:spacing w:line="288" w:lineRule="auto"/>
              <w:ind w:right="108"/>
              <w:rPr>
                <w:rFonts w:hint="eastAsia"/>
                <w:b w:val="0"/>
                <w:bCs w:val="0"/>
                <w:color w:val="000000" w:themeColor="text1"/>
                <w:spacing w:val="9"/>
                <w:sz w:val="24"/>
                <w:szCs w:val="24"/>
                <w:highlight w:val="none"/>
                <w:lang w:eastAsia="zh-CN"/>
                <w14:textFill>
                  <w14:solidFill>
                    <w14:schemeClr w14:val="tx1"/>
                  </w14:solidFill>
                </w14:textFill>
              </w:rPr>
            </w:pPr>
            <w:r>
              <w:rPr>
                <w:rFonts w:hint="eastAsia"/>
                <w:b w:val="0"/>
                <w:bCs w:val="0"/>
                <w:color w:val="000000" w:themeColor="text1"/>
                <w:spacing w:val="9"/>
                <w:sz w:val="24"/>
                <w:szCs w:val="24"/>
                <w:highlight w:val="none"/>
                <w:lang w:eastAsia="zh-CN"/>
                <w14:textFill>
                  <w14:solidFill>
                    <w14:schemeClr w14:val="tx1"/>
                  </w14:solidFill>
                </w14:textFill>
              </w:rPr>
              <w:t>评标办法前附表正文</w:t>
            </w:r>
            <w:r>
              <w:rPr>
                <w:rFonts w:hint="eastAsia"/>
                <w:b w:val="0"/>
                <w:bCs w:val="0"/>
                <w:color w:val="000000" w:themeColor="text1"/>
                <w:spacing w:val="9"/>
                <w:sz w:val="24"/>
                <w:szCs w:val="24"/>
                <w:highlight w:val="none"/>
                <w:lang w:val="en-US" w:eastAsia="zh-CN"/>
                <w14:textFill>
                  <w14:solidFill>
                    <w14:schemeClr w14:val="tx1"/>
                  </w14:solidFill>
                </w14:textFill>
              </w:rPr>
              <w:t>1.3.5</w:t>
            </w:r>
            <w:r>
              <w:rPr>
                <w:rFonts w:hint="eastAsia"/>
                <w:b w:val="0"/>
                <w:bCs w:val="0"/>
                <w:color w:val="000000" w:themeColor="text1"/>
                <w:spacing w:val="9"/>
                <w:sz w:val="24"/>
                <w:szCs w:val="24"/>
                <w:highlight w:val="none"/>
                <w:lang w:eastAsia="zh-CN"/>
                <w14:textFill>
                  <w14:solidFill>
                    <w14:schemeClr w14:val="tx1"/>
                  </w14:solidFill>
                </w14:textFill>
              </w:rPr>
              <w:t>项内容修改如下：</w:t>
            </w:r>
          </w:p>
          <w:p w14:paraId="31F14F73">
            <w:pPr>
              <w:pStyle w:val="124"/>
              <w:wordWrap w:val="0"/>
              <w:spacing w:line="288" w:lineRule="auto"/>
              <w:ind w:right="108" w:rightChars="0" w:firstLine="516" w:firstLineChars="200"/>
              <w:rPr>
                <w:rFonts w:hint="eastAsia" w:ascii="宋体" w:hAnsi="宋体" w:eastAsia="宋体" w:cs="宋体"/>
                <w:b w:val="0"/>
                <w:bCs w:val="0"/>
                <w:color w:val="000000" w:themeColor="text1"/>
                <w:spacing w:val="9"/>
                <w:sz w:val="24"/>
                <w:szCs w:val="24"/>
                <w:highlight w:val="none"/>
                <w:lang w:val="en-US" w:eastAsia="zh-CN"/>
                <w14:textFill>
                  <w14:solidFill>
                    <w14:schemeClr w14:val="tx1"/>
                  </w14:solidFill>
                </w14:textFill>
              </w:rPr>
            </w:pPr>
            <w:r>
              <w:rPr>
                <w:rFonts w:hint="eastAsia"/>
                <w:b w:val="0"/>
                <w:bCs w:val="0"/>
                <w:color w:val="000000" w:themeColor="text1"/>
                <w:spacing w:val="9"/>
                <w:sz w:val="24"/>
                <w:szCs w:val="24"/>
                <w:highlight w:val="none"/>
                <w:lang w:val="en-US" w:eastAsia="zh-CN"/>
                <w14:textFill>
                  <w14:solidFill>
                    <w14:schemeClr w14:val="tx1"/>
                  </w14:solidFill>
                </w14:textFill>
              </w:rPr>
              <w:t>1.3.5</w:t>
            </w:r>
            <w:r>
              <w:rPr>
                <w:rFonts w:hint="eastAsia"/>
                <w:b w:val="0"/>
                <w:bCs w:val="0"/>
                <w:color w:val="000000" w:themeColor="text1"/>
                <w:spacing w:val="9"/>
                <w:sz w:val="24"/>
                <w:szCs w:val="24"/>
                <w:highlight w:val="none"/>
                <w:lang w:eastAsia="zh-CN"/>
                <w14:textFill>
                  <w14:solidFill>
                    <w14:schemeClr w14:val="tx1"/>
                  </w14:solidFill>
                </w14:textFill>
              </w:rPr>
              <w:t xml:space="preserve"> 按评标办法规定通过第二信封（报价文件）评审的投标人推荐为定标候选</w:t>
            </w:r>
            <w:r>
              <w:rPr>
                <w:rFonts w:hint="eastAsia"/>
                <w:b w:val="0"/>
                <w:bCs w:val="0"/>
                <w:color w:val="000000" w:themeColor="text1"/>
                <w:spacing w:val="9"/>
                <w:sz w:val="24"/>
                <w:szCs w:val="24"/>
                <w:highlight w:val="none"/>
                <w:lang w:val="en-US" w:eastAsia="zh-CN"/>
                <w14:textFill>
                  <w14:solidFill>
                    <w14:schemeClr w14:val="tx1"/>
                  </w14:solidFill>
                </w14:textFill>
              </w:rPr>
              <w:t>人</w:t>
            </w:r>
            <w:r>
              <w:rPr>
                <w:rFonts w:hint="eastAsia"/>
                <w:b w:val="0"/>
                <w:bCs w:val="0"/>
                <w:color w:val="000000" w:themeColor="text1"/>
                <w:spacing w:val="9"/>
                <w:sz w:val="24"/>
                <w:szCs w:val="24"/>
                <w:highlight w:val="none"/>
                <w:lang w:eastAsia="zh-CN"/>
                <w14:textFill>
                  <w14:solidFill>
                    <w14:schemeClr w14:val="tx1"/>
                  </w14:solidFill>
                </w14:textFill>
              </w:rPr>
              <w:t>，编写评标报告。</w:t>
            </w:r>
          </w:p>
        </w:tc>
      </w:tr>
      <w:tr w14:paraId="6355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2AA90DE7">
            <w:pPr>
              <w:spacing w:line="400" w:lineRule="exact"/>
              <w:jc w:val="center"/>
              <w:rPr>
                <w:rFonts w:hint="eastAsia" w:eastAsia="宋体"/>
                <w:snapToGrid w:val="0"/>
                <w:color w:val="000000" w:themeColor="text1"/>
                <w:spacing w:val="-3"/>
                <w:kern w:val="0"/>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3.2.2</w:t>
            </w:r>
          </w:p>
        </w:tc>
        <w:tc>
          <w:tcPr>
            <w:tcW w:w="7892" w:type="dxa"/>
            <w:gridSpan w:val="4"/>
            <w:vAlign w:val="center"/>
          </w:tcPr>
          <w:p w14:paraId="4960255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将评标办法原文第3.2.2项修改如下：</w:t>
            </w:r>
          </w:p>
          <w:p w14:paraId="0CCA843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000000" w:themeColor="text1"/>
                <w:spacing w:val="9"/>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投标人的商务和技术得分分值计算保留小数点后三位，小数点后第四位“四舍五入”。</w:t>
            </w:r>
          </w:p>
        </w:tc>
      </w:tr>
      <w:tr w14:paraId="0969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59906515">
            <w:pPr>
              <w:widowControl/>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3.2.3</w:t>
            </w:r>
          </w:p>
        </w:tc>
        <w:tc>
          <w:tcPr>
            <w:tcW w:w="7892" w:type="dxa"/>
            <w:gridSpan w:val="4"/>
            <w:vAlign w:val="center"/>
          </w:tcPr>
          <w:p w14:paraId="26EF59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将评标办法范本原文第3.2.3项细化如下：</w:t>
            </w:r>
          </w:p>
          <w:p w14:paraId="633DF894">
            <w:pPr>
              <w:keepNext w:val="0"/>
              <w:keepLines w:val="0"/>
              <w:pageBreakBefore w:val="0"/>
              <w:widowControl/>
              <w:kinsoku/>
              <w:wordWrap/>
              <w:overflowPunct/>
              <w:topLinePunct w:val="0"/>
              <w:autoSpaceDE/>
              <w:autoSpaceDN/>
              <w:bidi w:val="0"/>
              <w:adjustRightInd/>
              <w:snapToGrid/>
              <w:spacing w:line="400" w:lineRule="exact"/>
              <w:ind w:firstLine="456" w:firstLineChars="190"/>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投标人的商务和技术得分=A+B+C。</w:t>
            </w:r>
          </w:p>
          <w:p w14:paraId="2D0F7E8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除履约信誉得分外，投标文件各评分因素细分项得分均不应低于其权重分的60%，评分低于权重分值60%的，评标委员会成员应当在评标报告中作出说明。计算投标人技术得分时：首先在评委技术评分中，采用取消同一评委对同一标段各投标人评分总分的差值最大的1名评委评分分值（若有2名或以上评委技术评分总分差值最大值相等时，则取消其中1名评委的所有评分，具体办法如下），再对各评分因素细分项中取消一个最高、一个最低分后计算其算术平均值的和为投标人的最终技术得分，平均值计算保留小数点后三位，小数点后第四位“四舍五入”。</w:t>
            </w:r>
          </w:p>
          <w:p w14:paraId="35F1DA41">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3.2.3 项取消其中1名评委所有评分的办法明确为：办法</w:t>
            </w:r>
            <w:r>
              <w:rPr>
                <w:rFonts w:hint="eastAsia" w:ascii="宋体" w:hAnsi="宋体" w:eastAsia="宋体" w:cs="宋体"/>
                <w:color w:val="000000" w:themeColor="text1"/>
                <w:sz w:val="24"/>
                <w:highlight w:val="none"/>
                <w:lang w:val="en-US" w:eastAsia="zh-CN"/>
                <w14:textFill>
                  <w14:solidFill>
                    <w14:schemeClr w14:val="tx1"/>
                  </w14:solidFill>
                </w14:textFill>
              </w:rPr>
              <w:t>一</w:t>
            </w:r>
          </w:p>
        </w:tc>
      </w:tr>
      <w:tr w14:paraId="26CB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2D400A41">
            <w:pPr>
              <w:pStyle w:val="124"/>
              <w:wordWrap w:val="0"/>
              <w:spacing w:line="288" w:lineRule="auto"/>
              <w:ind w:right="108" w:rightChars="0" w:firstLine="476" w:firstLineChars="200"/>
              <w:rPr>
                <w:rFonts w:hint="eastAsia" w:ascii="宋体" w:hAnsi="宋体" w:cs="宋体"/>
                <w:color w:val="000000" w:themeColor="text1"/>
                <w:kern w:val="0"/>
                <w:sz w:val="24"/>
                <w:highlight w:val="none"/>
                <w:lang w:bidi="ar"/>
                <w14:textFill>
                  <w14:solidFill>
                    <w14:schemeClr w14:val="tx1"/>
                  </w14:solidFill>
                </w14:textFill>
              </w:rPr>
            </w:pPr>
            <w:r>
              <w:rPr>
                <w:rFonts w:hint="eastAsia" w:ascii="宋体" w:hAnsi="宋体" w:eastAsia="宋体" w:cs="宋体"/>
                <w:b w:val="0"/>
                <w:bCs w:val="0"/>
                <w:color w:val="000000" w:themeColor="text1"/>
                <w:spacing w:val="9"/>
                <w:sz w:val="22"/>
                <w:szCs w:val="22"/>
                <w:highlight w:val="none"/>
                <w:lang w:val="en-US" w:eastAsia="zh-CN"/>
                <w14:textFill>
                  <w14:solidFill>
                    <w14:schemeClr w14:val="tx1"/>
                  </w14:solidFill>
                </w14:textFill>
              </w:rPr>
              <w:t>3.6.3</w:t>
            </w:r>
          </w:p>
        </w:tc>
        <w:tc>
          <w:tcPr>
            <w:tcW w:w="7892" w:type="dxa"/>
            <w:gridSpan w:val="4"/>
            <w:vAlign w:val="top"/>
          </w:tcPr>
          <w:p w14:paraId="11687685">
            <w:pPr>
              <w:pStyle w:val="124"/>
              <w:wordWrap w:val="0"/>
              <w:spacing w:line="288" w:lineRule="auto"/>
              <w:ind w:right="108" w:firstLine="516" w:firstLineChars="200"/>
              <w:rPr>
                <w:rFonts w:hint="eastAsia" w:ascii="宋体" w:hAnsi="宋体" w:eastAsia="宋体" w:cs="宋体"/>
                <w:b w:val="0"/>
                <w:bCs w:val="0"/>
                <w:color w:val="000000" w:themeColor="text1"/>
                <w:spacing w:val="9"/>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pacing w:val="9"/>
                <w:sz w:val="24"/>
                <w:szCs w:val="24"/>
                <w:highlight w:val="none"/>
                <w:lang w:val="en-US" w:eastAsia="zh-CN"/>
                <w14:textFill>
                  <w14:solidFill>
                    <w14:schemeClr w14:val="tx1"/>
                  </w14:solidFill>
                </w14:textFill>
              </w:rPr>
              <w:t>评标办法前附表正文3.6.3项内容修改如下：</w:t>
            </w:r>
          </w:p>
          <w:p w14:paraId="52FB13D8">
            <w:pPr>
              <w:pStyle w:val="124"/>
              <w:wordWrap w:val="0"/>
              <w:spacing w:line="288" w:lineRule="auto"/>
              <w:ind w:right="108" w:rightChars="0" w:firstLine="51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pacing w:val="9"/>
                <w:sz w:val="24"/>
                <w:szCs w:val="24"/>
                <w:highlight w:val="none"/>
                <w:lang w:val="en-US" w:eastAsia="zh-CN"/>
                <w14:textFill>
                  <w14:solidFill>
                    <w14:schemeClr w14:val="tx1"/>
                  </w14:solidFill>
                </w14:textFill>
              </w:rPr>
              <w:t>3.6.3 依法必须进行招标的项目，除定标候选人，其他投标人存在串通投标、弄虚作假、行贿情形且在评标过程中未被发现的，视为对定标或中标结果没有造成实质性影响，招标人可以依法继续开展招标活动。投标人的违法行为由行政监督部门依法处理。</w:t>
            </w:r>
          </w:p>
        </w:tc>
      </w:tr>
      <w:tr w14:paraId="2D65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6C7B8F3B">
            <w:pPr>
              <w:widowControl/>
              <w:jc w:val="center"/>
              <w:rPr>
                <w:rFonts w:hint="eastAsia"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val="en-US" w:eastAsia="zh-CN" w:bidi="ar"/>
                <w14:textFill>
                  <w14:solidFill>
                    <w14:schemeClr w14:val="tx1"/>
                  </w14:solidFill>
                </w14:textFill>
              </w:rPr>
              <w:t>3.9.1</w:t>
            </w:r>
          </w:p>
        </w:tc>
        <w:tc>
          <w:tcPr>
            <w:tcW w:w="7892" w:type="dxa"/>
            <w:gridSpan w:val="4"/>
            <w:vAlign w:val="center"/>
          </w:tcPr>
          <w:p w14:paraId="65AFE1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将评标办法范本原文第3.</w:t>
            </w:r>
            <w:r>
              <w:rPr>
                <w:rFonts w:hint="eastAsia" w:ascii="宋体" w:hAnsi="宋体" w:cs="宋体"/>
                <w:color w:val="000000" w:themeColor="text1"/>
                <w:kern w:val="0"/>
                <w:sz w:val="24"/>
                <w:highlight w:val="none"/>
                <w:lang w:val="en-US" w:eastAsia="zh-CN" w:bidi="ar"/>
                <w14:textFill>
                  <w14:solidFill>
                    <w14:schemeClr w14:val="tx1"/>
                  </w14:solidFill>
                </w14:textFill>
              </w:rPr>
              <w:t>9</w:t>
            </w:r>
            <w:r>
              <w:rPr>
                <w:rFonts w:hint="eastAsia" w:ascii="宋体" w:hAnsi="宋体" w:cs="宋体"/>
                <w:color w:val="000000" w:themeColor="text1"/>
                <w:kern w:val="0"/>
                <w:sz w:val="24"/>
                <w:highlight w:val="none"/>
                <w:lang w:bidi="ar"/>
                <w14:textFill>
                  <w14:solidFill>
                    <w14:schemeClr w14:val="tx1"/>
                  </w14:solidFill>
                </w14:textFill>
              </w:rPr>
              <w:t>.1项修改为：</w:t>
            </w:r>
          </w:p>
          <w:p w14:paraId="43E60CD7">
            <w:pPr>
              <w:keepNext w:val="0"/>
              <w:keepLines w:val="0"/>
              <w:pageBreakBefore w:val="0"/>
              <w:widowControl/>
              <w:kinsoku/>
              <w:wordWrap/>
              <w:overflowPunct/>
              <w:topLinePunct w:val="0"/>
              <w:autoSpaceDE/>
              <w:autoSpaceDN/>
              <w:bidi w:val="0"/>
              <w:adjustRightInd/>
              <w:snapToGrid/>
              <w:spacing w:line="400" w:lineRule="exact"/>
              <w:ind w:firstLine="456" w:firstLineChars="19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3.9.1</w:t>
            </w:r>
            <w:r>
              <w:rPr>
                <w:rFonts w:hint="eastAsia" w:ascii="宋体" w:hAnsi="宋体" w:cs="宋体"/>
                <w:color w:val="000000" w:themeColor="text1"/>
                <w:sz w:val="24"/>
                <w:highlight w:val="none"/>
                <w:lang w:val="en-US" w:eastAsia="zh-CN"/>
                <w14:textFill>
                  <w14:solidFill>
                    <w14:schemeClr w14:val="tx1"/>
                  </w14:solidFill>
                </w14:textFill>
              </w:rPr>
              <w:t xml:space="preserve"> 评标委员会按照第一信封（商务及技术文件）得分由高到低排序的顺序推荐前5名不排序（按企业统一社会信用代码后4位由大到小排位）的投标人作为定标候选人推荐给招标人，并对每个定标候选人的优势、风险等评审情况进行说明。定标候选人得分只作为评标委员会的推荐依据，不作为定标委员会对中标候选人排序的依据。当有效投标人数量不足5名但满足法定要求时，所有通过评审的有效投标人均应作为定标候选人。</w:t>
            </w:r>
          </w:p>
        </w:tc>
      </w:tr>
      <w:tr w14:paraId="234B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099D407D">
            <w:pPr>
              <w:widowControl/>
              <w:jc w:val="center"/>
              <w:rPr>
                <w:rFonts w:hint="eastAsia" w:ascii="宋体" w:hAnsi="宋体" w:cs="宋体"/>
                <w:color w:val="000000" w:themeColor="text1"/>
                <w:kern w:val="0"/>
                <w:sz w:val="24"/>
                <w:highlight w:val="none"/>
                <w:lang w:val="en-US" w:eastAsia="zh-CN" w:bidi="ar"/>
                <w14:textFill>
                  <w14:solidFill>
                    <w14:schemeClr w14:val="tx1"/>
                  </w14:solidFill>
                </w14:textFill>
              </w:rPr>
            </w:pPr>
            <w:r>
              <w:rPr>
                <w:rFonts w:hint="eastAsia" w:ascii="宋体" w:hAnsi="宋体" w:cs="宋体"/>
                <w:color w:val="000000" w:themeColor="text1"/>
                <w:kern w:val="0"/>
                <w:sz w:val="24"/>
                <w:highlight w:val="none"/>
                <w:lang w:val="en-US" w:eastAsia="zh-CN" w:bidi="ar"/>
                <w14:textFill>
                  <w14:solidFill>
                    <w14:schemeClr w14:val="tx1"/>
                  </w14:solidFill>
                </w14:textFill>
              </w:rPr>
              <w:t>3.9.3</w:t>
            </w:r>
          </w:p>
        </w:tc>
        <w:tc>
          <w:tcPr>
            <w:tcW w:w="7892" w:type="dxa"/>
            <w:gridSpan w:val="4"/>
            <w:vAlign w:val="center"/>
          </w:tcPr>
          <w:p w14:paraId="3DE6FB7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将评标办法范本原文第3.</w:t>
            </w:r>
            <w:r>
              <w:rPr>
                <w:rFonts w:hint="eastAsia" w:ascii="宋体" w:hAnsi="宋体" w:cs="宋体"/>
                <w:color w:val="000000" w:themeColor="text1"/>
                <w:kern w:val="0"/>
                <w:sz w:val="24"/>
                <w:highlight w:val="none"/>
                <w:lang w:val="en-US" w:eastAsia="zh-CN" w:bidi="ar"/>
                <w14:textFill>
                  <w14:solidFill>
                    <w14:schemeClr w14:val="tx1"/>
                  </w14:solidFill>
                </w14:textFill>
              </w:rPr>
              <w:t>9</w:t>
            </w:r>
            <w:r>
              <w:rPr>
                <w:rFonts w:hint="eastAsia" w:ascii="宋体" w:hAnsi="宋体" w:cs="宋体"/>
                <w:color w:val="000000" w:themeColor="text1"/>
                <w:kern w:val="0"/>
                <w:sz w:val="24"/>
                <w:highlight w:val="none"/>
                <w:lang w:bidi="ar"/>
                <w14:textFill>
                  <w14:solidFill>
                    <w14:schemeClr w14:val="tx1"/>
                  </w14:solidFill>
                </w14:textFill>
              </w:rPr>
              <w:t>.</w:t>
            </w:r>
            <w:r>
              <w:rPr>
                <w:rFonts w:hint="eastAsia" w:ascii="宋体" w:hAnsi="宋体" w:cs="宋体"/>
                <w:color w:val="000000" w:themeColor="text1"/>
                <w:kern w:val="0"/>
                <w:sz w:val="24"/>
                <w:highlight w:val="none"/>
                <w:lang w:val="en-US" w:eastAsia="zh-CN" w:bidi="ar"/>
                <w14:textFill>
                  <w14:solidFill>
                    <w14:schemeClr w14:val="tx1"/>
                  </w14:solidFill>
                </w14:textFill>
              </w:rPr>
              <w:t>3</w:t>
            </w:r>
            <w:r>
              <w:rPr>
                <w:rFonts w:hint="eastAsia" w:ascii="宋体" w:hAnsi="宋体" w:cs="宋体"/>
                <w:color w:val="000000" w:themeColor="text1"/>
                <w:kern w:val="0"/>
                <w:sz w:val="24"/>
                <w:highlight w:val="none"/>
                <w:lang w:bidi="ar"/>
                <w14:textFill>
                  <w14:solidFill>
                    <w14:schemeClr w14:val="tx1"/>
                  </w14:solidFill>
                </w14:textFill>
              </w:rPr>
              <w:t>项修改为：</w:t>
            </w:r>
          </w:p>
          <w:p w14:paraId="2AC91665">
            <w:pPr>
              <w:keepNext w:val="0"/>
              <w:keepLines w:val="0"/>
              <w:pageBreakBefore w:val="0"/>
              <w:widowControl/>
              <w:kinsoku/>
              <w:wordWrap/>
              <w:overflowPunct/>
              <w:topLinePunct w:val="0"/>
              <w:autoSpaceDE/>
              <w:autoSpaceDN/>
              <w:bidi w:val="0"/>
              <w:adjustRightInd/>
              <w:snapToGrid/>
              <w:spacing w:line="400" w:lineRule="exact"/>
              <w:ind w:firstLine="456" w:firstLineChars="190"/>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3.9.3 通过第一个信封商务及技术文件评审的投标人少于3个的，评标委员会应当对投标是否明显缺乏竞争和是否需要否决全部投标进行充分论证，并在评标报告中记载论证过程和结果；未否决全部投标的，评标委员会应当在评标报告中阐明理由，招标人应当按照招标文件规定的程序进行第二个信封报价文件开标，但评标委员会在进行报价文件评审时仍有权否决全部投标；评标委员会未在报价文件评审时否决全部投标的，应当在评标报告中阐明理由并推荐定标候选人。</w:t>
            </w:r>
          </w:p>
        </w:tc>
      </w:tr>
      <w:tr w14:paraId="6D16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0F8033A6">
            <w:pPr>
              <w:widowControl/>
              <w:jc w:val="center"/>
              <w:rPr>
                <w:rFonts w:hint="eastAsia" w:ascii="宋体" w:hAnsi="宋体" w:cs="宋体"/>
                <w:color w:val="000000" w:themeColor="text1"/>
                <w:kern w:val="0"/>
                <w:sz w:val="24"/>
                <w:highlight w:val="none"/>
                <w:lang w:val="en-US" w:eastAsia="zh-CN" w:bidi="ar"/>
                <w14:textFill>
                  <w14:solidFill>
                    <w14:schemeClr w14:val="tx1"/>
                  </w14:solidFill>
                </w14:textFill>
              </w:rPr>
            </w:pPr>
            <w:r>
              <w:rPr>
                <w:rFonts w:hint="eastAsia" w:ascii="宋体" w:hAnsi="宋体" w:cs="宋体"/>
                <w:color w:val="000000" w:themeColor="text1"/>
                <w:kern w:val="0"/>
                <w:sz w:val="24"/>
                <w:highlight w:val="none"/>
                <w:lang w:val="en-US" w:eastAsia="zh-CN" w:bidi="ar"/>
                <w14:textFill>
                  <w14:solidFill>
                    <w14:schemeClr w14:val="tx1"/>
                  </w14:solidFill>
                </w14:textFill>
              </w:rPr>
              <w:t>3.9.4</w:t>
            </w:r>
          </w:p>
        </w:tc>
        <w:tc>
          <w:tcPr>
            <w:tcW w:w="7892" w:type="dxa"/>
            <w:gridSpan w:val="4"/>
            <w:vAlign w:val="center"/>
          </w:tcPr>
          <w:p w14:paraId="6EE3C05D">
            <w:pPr>
              <w:keepNext w:val="0"/>
              <w:keepLines w:val="0"/>
              <w:pageBreakBefore w:val="0"/>
              <w:widowControl/>
              <w:kinsoku/>
              <w:wordWrap/>
              <w:overflowPunct/>
              <w:topLinePunct w:val="0"/>
              <w:autoSpaceDE/>
              <w:autoSpaceDN/>
              <w:bidi w:val="0"/>
              <w:adjustRightInd/>
              <w:snapToGrid/>
              <w:spacing w:line="400" w:lineRule="exact"/>
              <w:ind w:firstLine="456" w:firstLineChars="190"/>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将评标办法范本原文第3.9.4项修改为：</w:t>
            </w:r>
          </w:p>
          <w:p w14:paraId="77D966DD">
            <w:pPr>
              <w:keepNext w:val="0"/>
              <w:keepLines w:val="0"/>
              <w:pageBreakBefore w:val="0"/>
              <w:widowControl/>
              <w:kinsoku/>
              <w:wordWrap/>
              <w:overflowPunct/>
              <w:topLinePunct w:val="0"/>
              <w:autoSpaceDE/>
              <w:autoSpaceDN/>
              <w:bidi w:val="0"/>
              <w:adjustRightInd/>
              <w:snapToGrid/>
              <w:spacing w:line="400" w:lineRule="exact"/>
              <w:ind w:firstLine="456" w:firstLineChars="190"/>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3.9.4 通过第一个信封商务及技术文件评审的投标人在3个及以上的，招标人应当按照招标文件规定的程序进行第二个信封报价文件开标；在对报价文件进行评审后，有效投标不足3个的，评标委员会应当对投标是否明显缺乏竞争和是否需要否决全部投标进行充分论证，并在评标报告中记载论证过程和结果。未否决全部投标的，评标委员会应当在评标报告中阐明理由并推荐定标候选人。</w:t>
            </w:r>
          </w:p>
        </w:tc>
      </w:tr>
      <w:tr w14:paraId="5E2C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6C4463C7">
            <w:pPr>
              <w:widowControl/>
              <w:jc w:val="center"/>
              <w:rPr>
                <w:rFonts w:hint="eastAsia"/>
                <w:color w:val="000000" w:themeColor="text1"/>
                <w:kern w:val="0"/>
                <w:highlight w:val="none"/>
                <w:lang w:bidi="ar"/>
                <w14:textFill>
                  <w14:solidFill>
                    <w14:schemeClr w14:val="tx1"/>
                  </w14:solidFill>
                </w14:textFill>
              </w:rPr>
            </w:pPr>
            <w:r>
              <w:rPr>
                <w:rFonts w:hint="eastAsia" w:ascii="宋体" w:hAnsi="宋体" w:cs="宋体"/>
                <w:color w:val="000000" w:themeColor="text1"/>
                <w:kern w:val="0"/>
                <w:sz w:val="24"/>
                <w:highlight w:val="none"/>
                <w:lang w:val="en-US" w:eastAsia="zh-CN" w:bidi="ar"/>
                <w14:textFill>
                  <w14:solidFill>
                    <w14:schemeClr w14:val="tx1"/>
                  </w14:solidFill>
                </w14:textFill>
              </w:rPr>
              <w:t>3.9.5</w:t>
            </w:r>
          </w:p>
        </w:tc>
        <w:tc>
          <w:tcPr>
            <w:tcW w:w="7892" w:type="dxa"/>
            <w:gridSpan w:val="4"/>
            <w:vAlign w:val="center"/>
          </w:tcPr>
          <w:p w14:paraId="5831B3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将评标办法范本原文第3.</w:t>
            </w:r>
            <w:r>
              <w:rPr>
                <w:rFonts w:hint="eastAsia" w:ascii="宋体" w:hAnsi="宋体" w:cs="宋体"/>
                <w:color w:val="000000" w:themeColor="text1"/>
                <w:kern w:val="0"/>
                <w:sz w:val="24"/>
                <w:highlight w:val="none"/>
                <w:lang w:val="en-US" w:eastAsia="zh-CN" w:bidi="ar"/>
                <w14:textFill>
                  <w14:solidFill>
                    <w14:schemeClr w14:val="tx1"/>
                  </w14:solidFill>
                </w14:textFill>
              </w:rPr>
              <w:t>9</w:t>
            </w:r>
            <w:r>
              <w:rPr>
                <w:rFonts w:hint="eastAsia" w:ascii="宋体" w:hAnsi="宋体" w:cs="宋体"/>
                <w:color w:val="000000" w:themeColor="text1"/>
                <w:kern w:val="0"/>
                <w:sz w:val="24"/>
                <w:highlight w:val="none"/>
                <w:lang w:bidi="ar"/>
                <w14:textFill>
                  <w14:solidFill>
                    <w14:schemeClr w14:val="tx1"/>
                  </w14:solidFill>
                </w14:textFill>
              </w:rPr>
              <w:t>.</w:t>
            </w:r>
            <w:r>
              <w:rPr>
                <w:rFonts w:hint="eastAsia" w:ascii="宋体" w:hAnsi="宋体" w:cs="宋体"/>
                <w:color w:val="000000" w:themeColor="text1"/>
                <w:kern w:val="0"/>
                <w:sz w:val="24"/>
                <w:highlight w:val="none"/>
                <w:lang w:val="en-US" w:eastAsia="zh-CN" w:bidi="ar"/>
                <w14:textFill>
                  <w14:solidFill>
                    <w14:schemeClr w14:val="tx1"/>
                  </w14:solidFill>
                </w14:textFill>
              </w:rPr>
              <w:t>5</w:t>
            </w:r>
            <w:r>
              <w:rPr>
                <w:rFonts w:hint="eastAsia" w:ascii="宋体" w:hAnsi="宋体" w:cs="宋体"/>
                <w:color w:val="000000" w:themeColor="text1"/>
                <w:kern w:val="0"/>
                <w:sz w:val="24"/>
                <w:highlight w:val="none"/>
                <w:lang w:bidi="ar"/>
                <w14:textFill>
                  <w14:solidFill>
                    <w14:schemeClr w14:val="tx1"/>
                  </w14:solidFill>
                </w14:textFill>
              </w:rPr>
              <w:t>项修改为：</w:t>
            </w:r>
          </w:p>
          <w:p w14:paraId="59B33D05">
            <w:pPr>
              <w:keepNext w:val="0"/>
              <w:keepLines w:val="0"/>
              <w:pageBreakBefore w:val="0"/>
              <w:widowControl/>
              <w:kinsoku/>
              <w:wordWrap/>
              <w:overflowPunct/>
              <w:topLinePunct w:val="0"/>
              <w:autoSpaceDE/>
              <w:autoSpaceDN/>
              <w:bidi w:val="0"/>
              <w:adjustRightInd/>
              <w:snapToGrid/>
              <w:spacing w:line="400" w:lineRule="exact"/>
              <w:ind w:firstLine="456" w:firstLineChars="190"/>
              <w:jc w:val="left"/>
              <w:textAlignment w:val="auto"/>
              <w:rPr>
                <w:rFonts w:hint="eastAsia"/>
                <w:color w:val="000000" w:themeColor="text1"/>
                <w:spacing w:val="9"/>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3.9.5 如果发生无法确定推荐</w:t>
            </w:r>
            <w:r>
              <w:rPr>
                <w:rFonts w:hint="eastAsia" w:ascii="宋体" w:hAnsi="宋体" w:cs="宋体"/>
                <w:color w:val="000000" w:themeColor="text1"/>
                <w:sz w:val="24"/>
                <w:highlight w:val="none"/>
                <w:lang w:val="en-US" w:eastAsia="zh-CN"/>
                <w14:textFill>
                  <w14:solidFill>
                    <w14:schemeClr w14:val="tx1"/>
                  </w14:solidFill>
                </w14:textFill>
              </w:rPr>
              <w:t>定</w:t>
            </w:r>
            <w:r>
              <w:rPr>
                <w:rFonts w:hint="eastAsia" w:ascii="宋体" w:hAnsi="宋体" w:cs="宋体"/>
                <w:color w:val="000000" w:themeColor="text1"/>
                <w:sz w:val="24"/>
                <w:highlight w:val="none"/>
                <w14:textFill>
                  <w14:solidFill>
                    <w14:schemeClr w14:val="tx1"/>
                  </w14:solidFill>
                </w14:textFill>
              </w:rPr>
              <w:t>标候选人的其他意外情况，评标委员会可建议招标人重新招标。</w:t>
            </w:r>
          </w:p>
        </w:tc>
      </w:tr>
      <w:tr w14:paraId="095B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64C688C7">
            <w:pPr>
              <w:widowControl/>
              <w:jc w:val="center"/>
              <w:rPr>
                <w:rFonts w:hint="eastAsia" w:ascii="宋体" w:hAnsi="宋体" w:cs="宋体"/>
                <w:color w:val="000000" w:themeColor="text1"/>
                <w:kern w:val="0"/>
                <w:sz w:val="24"/>
                <w:highlight w:val="none"/>
                <w:lang w:val="en-US" w:eastAsia="zh-CN" w:bidi="ar"/>
                <w14:textFill>
                  <w14:solidFill>
                    <w14:schemeClr w14:val="tx1"/>
                  </w14:solidFill>
                </w14:textFill>
              </w:rPr>
            </w:pPr>
          </w:p>
        </w:tc>
        <w:tc>
          <w:tcPr>
            <w:tcW w:w="7892" w:type="dxa"/>
            <w:gridSpan w:val="4"/>
            <w:vAlign w:val="center"/>
          </w:tcPr>
          <w:p w14:paraId="6F3CC26F">
            <w:pPr>
              <w:keepNext w:val="0"/>
              <w:keepLines w:val="0"/>
              <w:pageBreakBefore w:val="0"/>
              <w:widowControl/>
              <w:kinsoku/>
              <w:wordWrap/>
              <w:overflowPunct/>
              <w:topLinePunct w:val="0"/>
              <w:autoSpaceDE/>
              <w:autoSpaceDN/>
              <w:bidi w:val="0"/>
              <w:adjustRightInd/>
              <w:snapToGrid/>
              <w:spacing w:line="400" w:lineRule="exact"/>
              <w:ind w:firstLine="458" w:firstLineChars="190"/>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bCs w:val="0"/>
                <w:color w:val="000000" w:themeColor="text1"/>
                <w:sz w:val="24"/>
                <w:szCs w:val="24"/>
                <w:highlight w:val="none"/>
                <w:lang w:val="en-US" w:eastAsia="zh-CN"/>
                <w14:textFill>
                  <w14:solidFill>
                    <w14:schemeClr w14:val="tx1"/>
                  </w14:solidFill>
                </w14:textFill>
              </w:rPr>
              <w:t>评标办法前附表正文中涉及“第二个信封（报价文件）”统一修改为“第二个信封（报价文件、定标文件）”</w:t>
            </w:r>
          </w:p>
        </w:tc>
      </w:tr>
    </w:tbl>
    <w:p w14:paraId="01C3309F">
      <w:pPr>
        <w:spacing w:line="360" w:lineRule="auto"/>
        <w:ind w:firstLine="420" w:firstLineChars="200"/>
        <w:rPr>
          <w:rFonts w:hint="eastAsia" w:ascii="宋体" w:hAnsi="宋体" w:cs="宋体"/>
          <w:color w:val="000000" w:themeColor="text1"/>
          <w:highlight w:val="none"/>
          <w14:textFill>
            <w14:solidFill>
              <w14:schemeClr w14:val="tx1"/>
            </w14:solidFill>
          </w14:textFill>
        </w:rPr>
      </w:pPr>
    </w:p>
    <w:p w14:paraId="64CA890B">
      <w:pPr>
        <w:pStyle w:val="5"/>
        <w:rPr>
          <w:rFonts w:hint="eastAsia" w:ascii="黑体" w:hAnsi="黑体" w:eastAsia="黑体" w:cs="黑体"/>
          <w:snapToGrid w:val="0"/>
          <w:color w:val="000000" w:themeColor="text1"/>
          <w:kern w:val="0"/>
          <w:szCs w:val="28"/>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94" w:name="_Toc24311"/>
      <w:r>
        <w:rPr>
          <w:color w:val="000000" w:themeColor="text1"/>
          <w:highlight w:val="none"/>
          <w14:textFill>
            <w14:solidFill>
              <w14:schemeClr w14:val="tx1"/>
            </w14:solidFill>
          </w14:textFill>
        </w:rPr>
        <w:t>1. 评标方法、组织及工作程序</w:t>
      </w:r>
      <w:bookmarkEnd w:id="94"/>
    </w:p>
    <w:p w14:paraId="2FF1AC6D">
      <w:pPr>
        <w:pStyle w:val="6"/>
        <w:spacing w:before="168" w:after="120"/>
        <w:rPr>
          <w:color w:val="000000" w:themeColor="text1"/>
          <w:highlight w:val="none"/>
          <w14:textFill>
            <w14:solidFill>
              <w14:schemeClr w14:val="tx1"/>
            </w14:solidFill>
          </w14:textFill>
        </w:rPr>
      </w:pPr>
      <w:bookmarkStart w:id="95" w:name="_Toc542"/>
      <w:r>
        <w:rPr>
          <w:color w:val="000000" w:themeColor="text1"/>
          <w:highlight w:val="none"/>
          <w14:textFill>
            <w14:solidFill>
              <w14:schemeClr w14:val="tx1"/>
            </w14:solidFill>
          </w14:textFill>
        </w:rPr>
        <w:t>1.1 评标方法</w:t>
      </w:r>
      <w:bookmarkEnd w:id="95"/>
    </w:p>
    <w:p w14:paraId="241165A6">
      <w:pPr>
        <w:widowControl/>
        <w:autoSpaceDE w:val="0"/>
        <w:autoSpaceDN w:val="0"/>
        <w:adjustRightInd w:val="0"/>
        <w:snapToGrid w:val="0"/>
        <w:spacing w:line="360" w:lineRule="auto"/>
        <w:ind w:firstLine="472" w:firstLineChars="20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本次评标采用双信封的技术评分最低标价法。评标委员会对满足招标文件实质性要求的投标文件，按照本章第</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2.2</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款规定对通过初步评审的投标人的施工组织设计</w:t>
      </w:r>
      <w:r>
        <w:rPr>
          <w:rFonts w:ascii="宋体" w:hAnsi="宋体" w:cs="宋体"/>
          <w:snapToGrid w:val="0"/>
          <w:color w:val="000000" w:themeColor="text1"/>
          <w:spacing w:val="-2"/>
          <w:kern w:val="0"/>
          <w:sz w:val="24"/>
          <w:highlight w:val="none"/>
          <w:u w:val="single"/>
          <w14:textFill>
            <w14:solidFill>
              <w14:schemeClr w14:val="tx1"/>
            </w14:solidFill>
          </w14:textFill>
        </w:rPr>
        <w:t>及</w:t>
      </w:r>
      <w:r>
        <w:rPr>
          <w:rFonts w:ascii="宋体" w:hAnsi="宋体" w:cs="宋体"/>
          <w:snapToGrid w:val="0"/>
          <w:color w:val="000000" w:themeColor="text1"/>
          <w:spacing w:val="-3"/>
          <w:kern w:val="0"/>
          <w:sz w:val="24"/>
          <w:highlight w:val="none"/>
          <w:u w:val="single"/>
          <w14:textFill>
            <w14:solidFill>
              <w14:schemeClr w14:val="tx1"/>
            </w14:solidFill>
          </w14:textFill>
        </w:rPr>
        <w:t>承包</w:t>
      </w:r>
      <w:r>
        <w:rPr>
          <w:rFonts w:ascii="宋体" w:hAnsi="宋体" w:cs="宋体"/>
          <w:snapToGrid w:val="0"/>
          <w:color w:val="000000" w:themeColor="text1"/>
          <w:spacing w:val="-1"/>
          <w:kern w:val="0"/>
          <w:sz w:val="24"/>
          <w:highlight w:val="none"/>
          <w:u w:val="single"/>
          <w14:textFill>
            <w14:solidFill>
              <w14:schemeClr w14:val="tx1"/>
            </w14:solidFill>
          </w14:textFill>
        </w:rPr>
        <w:t>人项目管理方案</w:t>
      </w:r>
      <w:r>
        <w:rPr>
          <w:rFonts w:ascii="宋体" w:hAnsi="宋体" w:cs="宋体"/>
          <w:snapToGrid w:val="0"/>
          <w:color w:val="000000" w:themeColor="text1"/>
          <w:spacing w:val="-1"/>
          <w:kern w:val="0"/>
          <w:sz w:val="24"/>
          <w:highlight w:val="none"/>
          <w14:textFill>
            <w14:solidFill>
              <w14:schemeClr w14:val="tx1"/>
            </w14:solidFill>
          </w14:textFill>
        </w:rPr>
        <w:t>、主要人员、其他因素等进</w:t>
      </w:r>
      <w:r>
        <w:rPr>
          <w:rFonts w:ascii="宋体" w:hAnsi="宋体" w:cs="宋体"/>
          <w:snapToGrid w:val="0"/>
          <w:color w:val="000000" w:themeColor="text1"/>
          <w:spacing w:val="-2"/>
          <w:kern w:val="0"/>
          <w:sz w:val="24"/>
          <w:highlight w:val="none"/>
          <w14:textFill>
            <w14:solidFill>
              <w14:schemeClr w14:val="tx1"/>
            </w14:solidFill>
          </w14:textFill>
        </w:rPr>
        <w:t>行评分，按照得分由高到低排序，对排名在招标文件规定数量</w:t>
      </w:r>
      <w:r>
        <w:rPr>
          <w:rFonts w:ascii="宋体" w:hAnsi="宋体" w:cs="宋体"/>
          <w:snapToGrid w:val="0"/>
          <w:color w:val="000000" w:themeColor="text1"/>
          <w:spacing w:val="-2"/>
          <w:kern w:val="0"/>
          <w:sz w:val="24"/>
          <w:highlight w:val="none"/>
          <w:u w:val="single"/>
          <w14:textFill>
            <w14:solidFill>
              <w14:schemeClr w14:val="tx1"/>
            </w14:solidFill>
          </w14:textFill>
        </w:rPr>
        <w:t>前 5 名（不少于</w:t>
      </w:r>
      <w:r>
        <w:rPr>
          <w:rFonts w:ascii="宋体" w:hAnsi="宋体" w:cs="宋体"/>
          <w:snapToGrid w:val="0"/>
          <w:color w:val="000000" w:themeColor="text1"/>
          <w:spacing w:val="-3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3</w:t>
      </w:r>
      <w:r>
        <w:rPr>
          <w:rFonts w:ascii="宋体" w:hAnsi="宋体" w:cs="宋体"/>
          <w:snapToGrid w:val="0"/>
          <w:color w:val="000000" w:themeColor="text1"/>
          <w:spacing w:val="-47"/>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名但不足</w:t>
      </w:r>
      <w:r>
        <w:rPr>
          <w:rFonts w:ascii="宋体" w:hAnsi="宋体" w:cs="宋体"/>
          <w:snapToGrid w:val="0"/>
          <w:color w:val="000000" w:themeColor="text1"/>
          <w:spacing w:val="-4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5</w:t>
      </w:r>
      <w:r>
        <w:rPr>
          <w:rFonts w:ascii="宋体" w:hAnsi="宋体" w:cs="宋体"/>
          <w:snapToGrid w:val="0"/>
          <w:color w:val="000000" w:themeColor="text1"/>
          <w:spacing w:val="-4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名时，按全部实际数量）</w:t>
      </w:r>
      <w:r>
        <w:rPr>
          <w:rFonts w:ascii="宋体" w:hAnsi="宋体" w:cs="宋体"/>
          <w:snapToGrid w:val="0"/>
          <w:color w:val="000000" w:themeColor="text1"/>
          <w:spacing w:val="-2"/>
          <w:kern w:val="0"/>
          <w:sz w:val="24"/>
          <w:highlight w:val="none"/>
          <w14:textFill>
            <w14:solidFill>
              <w14:schemeClr w14:val="tx1"/>
            </w14:solidFill>
          </w14:textFill>
        </w:rPr>
        <w:t>的投标人的</w:t>
      </w:r>
      <w:r>
        <w:rPr>
          <w:rFonts w:ascii="宋体" w:hAnsi="宋体" w:cs="宋体"/>
          <w:snapToGrid w:val="0"/>
          <w:color w:val="000000" w:themeColor="text1"/>
          <w:spacing w:val="-1"/>
          <w:kern w:val="0"/>
          <w:sz w:val="24"/>
          <w:highlight w:val="none"/>
          <w14:textFill>
            <w14:solidFill>
              <w14:schemeClr w14:val="tx1"/>
            </w14:solidFill>
          </w14:textFill>
        </w:rPr>
        <w:t>报价文件进行评审，按照评标价由低到高的</w:t>
      </w:r>
      <w:r>
        <w:rPr>
          <w:rFonts w:ascii="宋体" w:hAnsi="宋体" w:cs="宋体"/>
          <w:snapToGrid w:val="0"/>
          <w:color w:val="000000" w:themeColor="text1"/>
          <w:spacing w:val="-2"/>
          <w:kern w:val="0"/>
          <w:sz w:val="24"/>
          <w:highlight w:val="none"/>
          <w14:textFill>
            <w14:solidFill>
              <w14:schemeClr w14:val="tx1"/>
            </w14:solidFill>
          </w14:textFill>
        </w:rPr>
        <w:t>顺序推荐中标候选人的评标方法，但投标报</w:t>
      </w:r>
      <w:r>
        <w:rPr>
          <w:rFonts w:ascii="宋体" w:hAnsi="宋体" w:cs="宋体"/>
          <w:snapToGrid w:val="0"/>
          <w:color w:val="000000" w:themeColor="text1"/>
          <w:spacing w:val="-1"/>
          <w:kern w:val="0"/>
          <w:sz w:val="24"/>
          <w:highlight w:val="none"/>
          <w14:textFill>
            <w14:solidFill>
              <w14:schemeClr w14:val="tx1"/>
            </w14:solidFill>
          </w14:textFill>
        </w:rPr>
        <w:t>价低于其成本的除外。评标价相等时，评标</w:t>
      </w:r>
      <w:r>
        <w:rPr>
          <w:rFonts w:ascii="宋体" w:hAnsi="宋体" w:cs="宋体"/>
          <w:snapToGrid w:val="0"/>
          <w:color w:val="000000" w:themeColor="text1"/>
          <w:spacing w:val="-2"/>
          <w:kern w:val="0"/>
          <w:sz w:val="24"/>
          <w:highlight w:val="none"/>
          <w14:textFill>
            <w14:solidFill>
              <w14:schemeClr w14:val="tx1"/>
            </w14:solidFill>
          </w14:textFill>
        </w:rPr>
        <w:t>委员会应按照评标办法前附表规定的优先次</w:t>
      </w:r>
      <w:r>
        <w:rPr>
          <w:rFonts w:ascii="宋体" w:hAnsi="宋体" w:cs="宋体"/>
          <w:snapToGrid w:val="0"/>
          <w:color w:val="000000" w:themeColor="text1"/>
          <w:spacing w:val="-1"/>
          <w:kern w:val="0"/>
          <w:sz w:val="24"/>
          <w:highlight w:val="none"/>
          <w14:textFill>
            <w14:solidFill>
              <w14:schemeClr w14:val="tx1"/>
            </w14:solidFill>
          </w14:textFill>
        </w:rPr>
        <w:t>序推荐中标候选人或确定中标人。</w:t>
      </w:r>
    </w:p>
    <w:p w14:paraId="5E3C5B11">
      <w:pPr>
        <w:pStyle w:val="6"/>
        <w:spacing w:before="168" w:after="120"/>
        <w:rPr>
          <w:color w:val="000000" w:themeColor="text1"/>
          <w:highlight w:val="none"/>
          <w14:textFill>
            <w14:solidFill>
              <w14:schemeClr w14:val="tx1"/>
            </w14:solidFill>
          </w14:textFill>
        </w:rPr>
      </w:pPr>
      <w:bookmarkStart w:id="96" w:name="_Toc505"/>
      <w:r>
        <w:rPr>
          <w:color w:val="000000" w:themeColor="text1"/>
          <w:highlight w:val="none"/>
          <w14:textFill>
            <w14:solidFill>
              <w14:schemeClr w14:val="tx1"/>
            </w14:solidFill>
          </w14:textFill>
        </w:rPr>
        <w:t>1.2 评标组织</w:t>
      </w:r>
      <w:bookmarkEnd w:id="96"/>
    </w:p>
    <w:p w14:paraId="495F42FA">
      <w:pPr>
        <w:widowControl/>
        <w:kinsoku w:val="0"/>
        <w:autoSpaceDE w:val="0"/>
        <w:autoSpaceDN w:val="0"/>
        <w:adjustRightInd w:val="0"/>
        <w:snapToGrid w:val="0"/>
        <w:spacing w:before="182" w:line="220" w:lineRule="auto"/>
        <w:ind w:left="4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1.2.1</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协助工作组</w:t>
      </w:r>
    </w:p>
    <w:p w14:paraId="412FB204">
      <w:pPr>
        <w:widowControl/>
        <w:kinsoku w:val="0"/>
        <w:autoSpaceDE w:val="0"/>
        <w:autoSpaceDN w:val="0"/>
        <w:adjustRightInd w:val="0"/>
        <w:snapToGrid w:val="0"/>
        <w:spacing w:before="182" w:line="360" w:lineRule="auto"/>
        <w:ind w:right="325" w:firstLine="472" w:firstLineChars="20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招标人可在评标工作开始前成立协助工作组，选派熟悉招标工作、政治素质高的人</w:t>
      </w:r>
      <w:r>
        <w:rPr>
          <w:rFonts w:ascii="宋体" w:hAnsi="宋体" w:cs="宋体"/>
          <w:snapToGrid w:val="0"/>
          <w:color w:val="000000" w:themeColor="text1"/>
          <w:spacing w:val="-6"/>
          <w:kern w:val="0"/>
          <w:sz w:val="24"/>
          <w:highlight w:val="none"/>
          <w14:textFill>
            <w14:solidFill>
              <w14:schemeClr w14:val="tx1"/>
            </w14:solidFill>
          </w14:textFill>
        </w:rPr>
        <w:t>员组成，协助评标委员会工作。协助工作组人员的具体数量由招标人视评标工作量确定。</w:t>
      </w:r>
      <w:r>
        <w:rPr>
          <w:rFonts w:ascii="宋体" w:hAnsi="宋体" w:cs="宋体"/>
          <w:snapToGrid w:val="0"/>
          <w:color w:val="000000" w:themeColor="text1"/>
          <w:spacing w:val="-1"/>
          <w:kern w:val="0"/>
          <w:sz w:val="24"/>
          <w:highlight w:val="none"/>
          <w14:textFill>
            <w14:solidFill>
              <w14:schemeClr w14:val="tx1"/>
            </w14:solidFill>
          </w14:textFill>
        </w:rPr>
        <w:t>招标人可以协助评标委员会开展下列工作并提供相关信息：</w:t>
      </w:r>
    </w:p>
    <w:p w14:paraId="412E7385">
      <w:pPr>
        <w:widowControl/>
        <w:kinsoku w:val="0"/>
        <w:autoSpaceDE w:val="0"/>
        <w:autoSpaceDN w:val="0"/>
        <w:adjustRightInd w:val="0"/>
        <w:snapToGrid w:val="0"/>
        <w:spacing w:line="360" w:lineRule="auto"/>
        <w:ind w:left="42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（1）根据招标文件，编制评标使用的相应表格；</w:t>
      </w:r>
    </w:p>
    <w:p w14:paraId="4CA00A7B">
      <w:pPr>
        <w:widowControl/>
        <w:kinsoku w:val="0"/>
        <w:autoSpaceDE w:val="0"/>
        <w:autoSpaceDN w:val="0"/>
        <w:adjustRightInd w:val="0"/>
        <w:snapToGrid w:val="0"/>
        <w:spacing w:line="360" w:lineRule="auto"/>
        <w:ind w:left="42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（2）对投标报价进行算术性校核（如采用固化工程量清单，本步骤省略</w:t>
      </w:r>
      <w:r>
        <w:rPr>
          <w:rFonts w:ascii="宋体" w:hAnsi="宋体" w:cs="宋体"/>
          <w:snapToGrid w:val="0"/>
          <w:color w:val="000000" w:themeColor="text1"/>
          <w:spacing w:val="5"/>
          <w:kern w:val="0"/>
          <w:sz w:val="24"/>
          <w:highlight w:val="none"/>
          <w14:textFill>
            <w14:solidFill>
              <w14:schemeClr w14:val="tx1"/>
            </w14:solidFill>
          </w14:textFill>
        </w:rPr>
        <w:t>）；</w:t>
      </w:r>
    </w:p>
    <w:p w14:paraId="1C2F1B31">
      <w:pPr>
        <w:widowControl/>
        <w:kinsoku w:val="0"/>
        <w:autoSpaceDE w:val="0"/>
        <w:autoSpaceDN w:val="0"/>
        <w:adjustRightInd w:val="0"/>
        <w:snapToGrid w:val="0"/>
        <w:spacing w:line="360" w:lineRule="auto"/>
        <w:ind w:right="477" w:firstLine="476" w:firstLineChars="200"/>
        <w:jc w:val="left"/>
        <w:textAlignment w:val="baseline"/>
        <w:rPr>
          <w:rFonts w:hint="eastAsia" w:ascii="宋体" w:hAnsi="宋体" w:cs="宋体"/>
          <w:snapToGrid w:val="0"/>
          <w:color w:val="000000" w:themeColor="text1"/>
          <w:spacing w:val="-3"/>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（3）以评标标准和方法为依据，列出投标文件相对于招标文件的所有偏差，并进行归</w:t>
      </w:r>
      <w:r>
        <w:rPr>
          <w:rFonts w:ascii="宋体" w:hAnsi="宋体" w:cs="宋体"/>
          <w:snapToGrid w:val="0"/>
          <w:color w:val="000000" w:themeColor="text1"/>
          <w:spacing w:val="-3"/>
          <w:kern w:val="0"/>
          <w:sz w:val="24"/>
          <w:highlight w:val="none"/>
          <w14:textFill>
            <w14:solidFill>
              <w14:schemeClr w14:val="tx1"/>
            </w14:solidFill>
          </w14:textFill>
        </w:rPr>
        <w:t>类汇总；</w:t>
      </w:r>
    </w:p>
    <w:p w14:paraId="22B503AD">
      <w:pPr>
        <w:widowControl/>
        <w:kinsoku w:val="0"/>
        <w:autoSpaceDE w:val="0"/>
        <w:autoSpaceDN w:val="0"/>
        <w:adjustRightInd w:val="0"/>
        <w:snapToGrid w:val="0"/>
        <w:spacing w:line="360" w:lineRule="auto"/>
        <w:ind w:right="477"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（4）查询全国公路建设市场监督管理系统，对投标人的资质、业绩、主要人员资历和目前在岗情况、信用等级进行核实。投标截止当</w:t>
      </w:r>
      <w:r>
        <w:rPr>
          <w:rFonts w:ascii="宋体" w:hAnsi="宋体" w:cs="宋体"/>
          <w:snapToGrid w:val="0"/>
          <w:color w:val="000000" w:themeColor="text1"/>
          <w:spacing w:val="-2"/>
          <w:kern w:val="0"/>
          <w:sz w:val="24"/>
          <w:highlight w:val="none"/>
          <w14:textFill>
            <w14:solidFill>
              <w14:schemeClr w14:val="tx1"/>
            </w14:solidFill>
          </w14:textFill>
        </w:rPr>
        <w:t>天查询投标人在信用中国中的行政处罚公示信息，并提交评标委员会。</w:t>
      </w:r>
    </w:p>
    <w:p w14:paraId="33848197">
      <w:pPr>
        <w:widowControl/>
        <w:kinsoku w:val="0"/>
        <w:autoSpaceDE w:val="0"/>
        <w:autoSpaceDN w:val="0"/>
        <w:adjustRightInd w:val="0"/>
        <w:snapToGrid w:val="0"/>
        <w:spacing w:before="78" w:line="360" w:lineRule="auto"/>
        <w:ind w:left="17" w:right="1" w:firstLine="47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招标人不得对投标文件作出任何评价，不得故意遗漏或者片面摘录，不得在评标委</w:t>
      </w:r>
      <w:r>
        <w:rPr>
          <w:rFonts w:ascii="宋体" w:hAnsi="宋体" w:cs="宋体"/>
          <w:snapToGrid w:val="0"/>
          <w:color w:val="000000" w:themeColor="text1"/>
          <w:spacing w:val="-1"/>
          <w:kern w:val="0"/>
          <w:sz w:val="24"/>
          <w:highlight w:val="none"/>
          <w14:textFill>
            <w14:solidFill>
              <w14:schemeClr w14:val="tx1"/>
            </w14:solidFill>
          </w14:textFill>
        </w:rPr>
        <w:t>员会对所有偏差定性之前透露存有偏差的投标人名称。</w:t>
      </w:r>
    </w:p>
    <w:p w14:paraId="48392AF0">
      <w:pPr>
        <w:widowControl/>
        <w:kinsoku w:val="0"/>
        <w:autoSpaceDE w:val="0"/>
        <w:autoSpaceDN w:val="0"/>
        <w:adjustRightInd w:val="0"/>
        <w:snapToGrid w:val="0"/>
        <w:spacing w:line="218" w:lineRule="auto"/>
        <w:ind w:left="26" w:firstLine="464"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1.2.2</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评标委员会</w:t>
      </w:r>
    </w:p>
    <w:p w14:paraId="0C90E4FB">
      <w:pPr>
        <w:widowControl/>
        <w:kinsoku w:val="0"/>
        <w:autoSpaceDE w:val="0"/>
        <w:autoSpaceDN w:val="0"/>
        <w:adjustRightInd w:val="0"/>
        <w:snapToGrid w:val="0"/>
        <w:spacing w:before="183" w:line="360" w:lineRule="auto"/>
        <w:ind w:left="9" w:right="1"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评标委员会由招标人按国家、广东省等的有关规定依法组建。评标委员会的主要工作内容包括：</w:t>
      </w:r>
    </w:p>
    <w:p w14:paraId="5D6454C3">
      <w:pPr>
        <w:widowControl/>
        <w:kinsoku w:val="0"/>
        <w:autoSpaceDE w:val="0"/>
        <w:autoSpaceDN w:val="0"/>
        <w:adjustRightInd w:val="0"/>
        <w:snapToGrid w:val="0"/>
        <w:spacing w:line="360" w:lineRule="auto"/>
        <w:ind w:right="477" w:firstLine="476" w:firstLineChars="200"/>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（1）评标委员会开始评标工作之前，首先听取招标人、协助工作组关于工程情况和辅助工作的说明，并认真研读招标文件，获取评标所需的重要信息和数据；</w:t>
      </w:r>
    </w:p>
    <w:p w14:paraId="2163DD80">
      <w:pPr>
        <w:widowControl/>
        <w:kinsoku w:val="0"/>
        <w:autoSpaceDE w:val="0"/>
        <w:autoSpaceDN w:val="0"/>
        <w:adjustRightInd w:val="0"/>
        <w:snapToGrid w:val="0"/>
        <w:spacing w:before="183"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（2）对协助工作组提供的评标工作用表和评标内容进行核查；</w:t>
      </w:r>
    </w:p>
    <w:p w14:paraId="599501D6">
      <w:pPr>
        <w:widowControl/>
        <w:kinsoku w:val="0"/>
        <w:autoSpaceDE w:val="0"/>
        <w:autoSpaceDN w:val="0"/>
        <w:adjustRightInd w:val="0"/>
        <w:snapToGrid w:val="0"/>
        <w:spacing w:before="184" w:line="219" w:lineRule="auto"/>
        <w:ind w:left="19" w:firstLine="468"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（3）按照以下</w:t>
      </w:r>
      <w:r>
        <w:rPr>
          <w:rFonts w:ascii="宋体" w:hAnsi="宋体" w:cs="宋体"/>
          <w:snapToGrid w:val="0"/>
          <w:color w:val="000000" w:themeColor="text1"/>
          <w:spacing w:val="-2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1.3</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款程序进行各项评审工作。</w:t>
      </w:r>
    </w:p>
    <w:p w14:paraId="6FA5C9DF">
      <w:pPr>
        <w:pStyle w:val="6"/>
        <w:spacing w:before="168" w:after="120"/>
        <w:rPr>
          <w:color w:val="000000" w:themeColor="text1"/>
          <w:highlight w:val="none"/>
          <w14:textFill>
            <w14:solidFill>
              <w14:schemeClr w14:val="tx1"/>
            </w14:solidFill>
          </w14:textFill>
        </w:rPr>
      </w:pPr>
      <w:bookmarkStart w:id="97" w:name="_Toc22376"/>
      <w:r>
        <w:rPr>
          <w:color w:val="000000" w:themeColor="text1"/>
          <w:highlight w:val="none"/>
          <w14:textFill>
            <w14:solidFill>
              <w14:schemeClr w14:val="tx1"/>
            </w14:solidFill>
          </w14:textFill>
        </w:rPr>
        <w:t>1.3 评审工作程序</w:t>
      </w:r>
      <w:bookmarkEnd w:id="97"/>
    </w:p>
    <w:p w14:paraId="2A9EC174">
      <w:pPr>
        <w:widowControl/>
        <w:kinsoku w:val="0"/>
        <w:autoSpaceDE w:val="0"/>
        <w:autoSpaceDN w:val="0"/>
        <w:adjustRightInd w:val="0"/>
        <w:snapToGrid w:val="0"/>
        <w:spacing w:before="181" w:line="219"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评标委员会将按以下程序开展评标工作：</w:t>
      </w:r>
    </w:p>
    <w:p w14:paraId="33B71263">
      <w:pPr>
        <w:widowControl/>
        <w:kinsoku w:val="0"/>
        <w:autoSpaceDE w:val="0"/>
        <w:autoSpaceDN w:val="0"/>
        <w:adjustRightInd w:val="0"/>
        <w:snapToGrid w:val="0"/>
        <w:spacing w:before="185" w:line="219" w:lineRule="auto"/>
        <w:ind w:left="27"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2"/>
          <w:kern w:val="0"/>
          <w:sz w:val="24"/>
          <w:highlight w:val="none"/>
          <w14:textFill>
            <w14:solidFill>
              <w14:schemeClr w14:val="tx1"/>
            </w14:solidFill>
          </w14:textFill>
        </w:rPr>
        <w:t xml:space="preserve">1.3.1 </w:t>
      </w:r>
      <w:r>
        <w:rPr>
          <w:rFonts w:ascii="宋体" w:hAnsi="宋体" w:cs="宋体"/>
          <w:snapToGrid w:val="0"/>
          <w:color w:val="000000" w:themeColor="text1"/>
          <w:spacing w:val="-2"/>
          <w:kern w:val="0"/>
          <w:sz w:val="24"/>
          <w:highlight w:val="none"/>
          <w14:textFill>
            <w14:solidFill>
              <w14:schemeClr w14:val="tx1"/>
            </w14:solidFill>
          </w14:textFill>
        </w:rPr>
        <w:t>第一个信封（商务及技术文件</w:t>
      </w:r>
      <w:r>
        <w:rPr>
          <w:rFonts w:ascii="宋体" w:hAnsi="宋体" w:cs="宋体"/>
          <w:snapToGrid w:val="0"/>
          <w:color w:val="000000" w:themeColor="text1"/>
          <w:spacing w:val="4"/>
          <w:kern w:val="0"/>
          <w:sz w:val="24"/>
          <w:highlight w:val="none"/>
          <w14:textFill>
            <w14:solidFill>
              <w14:schemeClr w14:val="tx1"/>
            </w14:solidFill>
          </w14:textFill>
        </w:rPr>
        <w:t>）：</w:t>
      </w:r>
    </w:p>
    <w:p w14:paraId="6F49D95F">
      <w:pPr>
        <w:widowControl/>
        <w:kinsoku w:val="0"/>
        <w:autoSpaceDE w:val="0"/>
        <w:autoSpaceDN w:val="0"/>
        <w:adjustRightInd w:val="0"/>
        <w:snapToGrid w:val="0"/>
        <w:spacing w:before="183" w:line="219"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（1）初步评审：包括形式评审与响应性评审、资格评审（适用于未进行资格预审</w:t>
      </w:r>
      <w:r>
        <w:rPr>
          <w:rFonts w:ascii="宋体" w:hAnsi="宋体" w:cs="宋体"/>
          <w:snapToGrid w:val="0"/>
          <w:color w:val="000000" w:themeColor="text1"/>
          <w:spacing w:val="7"/>
          <w:kern w:val="0"/>
          <w:sz w:val="24"/>
          <w:highlight w:val="none"/>
          <w14:textFill>
            <w14:solidFill>
              <w14:schemeClr w14:val="tx1"/>
            </w14:solidFill>
          </w14:textFill>
        </w:rPr>
        <w:t>）；</w:t>
      </w:r>
    </w:p>
    <w:p w14:paraId="067D0548">
      <w:pPr>
        <w:widowControl/>
        <w:kinsoku w:val="0"/>
        <w:autoSpaceDE w:val="0"/>
        <w:autoSpaceDN w:val="0"/>
        <w:adjustRightInd w:val="0"/>
        <w:snapToGrid w:val="0"/>
        <w:spacing w:before="182" w:line="332" w:lineRule="auto"/>
        <w:ind w:left="6" w:firstLine="487" w:firstLineChars="20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（2）详细评审（评审打分</w:t>
      </w:r>
      <w:r>
        <w:rPr>
          <w:rFonts w:ascii="宋体" w:hAnsi="宋体" w:cs="宋体"/>
          <w:snapToGrid w:val="0"/>
          <w:color w:val="000000" w:themeColor="text1"/>
          <w:spacing w:val="7"/>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评标委员会首先对通过第一个信封初步评审的投标文件进行详细评审，对投标人的施工组织设计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w:t>
      </w:r>
      <w:r>
        <w:rPr>
          <w:rFonts w:ascii="宋体" w:hAnsi="宋体" w:cs="宋体"/>
          <w:snapToGrid w:val="0"/>
          <w:color w:val="000000" w:themeColor="text1"/>
          <w:spacing w:val="-2"/>
          <w:kern w:val="0"/>
          <w:sz w:val="24"/>
          <w:highlight w:val="none"/>
          <w:u w:val="single"/>
          <w14:textFill>
            <w14:solidFill>
              <w14:schemeClr w14:val="tx1"/>
            </w14:solidFill>
          </w14:textFill>
        </w:rPr>
        <w:t>承包人项目管理方案</w:t>
      </w:r>
      <w:r>
        <w:rPr>
          <w:rFonts w:ascii="宋体" w:hAnsi="宋体" w:cs="宋体"/>
          <w:snapToGrid w:val="0"/>
          <w:color w:val="000000" w:themeColor="text1"/>
          <w:spacing w:val="-2"/>
          <w:kern w:val="0"/>
          <w:sz w:val="24"/>
          <w:highlight w:val="none"/>
          <w14:textFill>
            <w14:solidFill>
              <w14:schemeClr w14:val="tx1"/>
            </w14:solidFill>
          </w14:textFill>
        </w:rPr>
        <w:t>、主要人员、其他因素等分别评审打分，并按照综合得分由高到低排序，排名在招标文件规定</w:t>
      </w:r>
      <w:r>
        <w:rPr>
          <w:rFonts w:ascii="宋体" w:hAnsi="宋体" w:cs="宋体"/>
          <w:snapToGrid w:val="0"/>
          <w:color w:val="000000" w:themeColor="text1"/>
          <w:spacing w:val="-3"/>
          <w:kern w:val="0"/>
          <w:sz w:val="24"/>
          <w:highlight w:val="none"/>
          <w14:textFill>
            <w14:solidFill>
              <w14:schemeClr w14:val="tx1"/>
            </w14:solidFill>
          </w14:textFill>
        </w:rPr>
        <w:t>数量</w:t>
      </w:r>
      <w:r>
        <w:rPr>
          <w:rFonts w:ascii="宋体" w:hAnsi="宋体" w:cs="宋体"/>
          <w:snapToGrid w:val="0"/>
          <w:color w:val="000000" w:themeColor="text1"/>
          <w:spacing w:val="-3"/>
          <w:kern w:val="0"/>
          <w:sz w:val="24"/>
          <w:highlight w:val="none"/>
          <w:u w:val="single"/>
          <w14:textFill>
            <w14:solidFill>
              <w14:schemeClr w14:val="tx1"/>
            </w14:solidFill>
          </w14:textFill>
        </w:rPr>
        <w:t>前</w:t>
      </w:r>
      <w:r>
        <w:rPr>
          <w:rFonts w:ascii="宋体" w:hAnsi="宋体" w:cs="宋体"/>
          <w:snapToGrid w:val="0"/>
          <w:color w:val="000000" w:themeColor="text1"/>
          <w:spacing w:val="-4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5</w:t>
      </w:r>
      <w:r>
        <w:rPr>
          <w:rFonts w:ascii="宋体" w:hAnsi="宋体" w:cs="宋体"/>
          <w:snapToGrid w:val="0"/>
          <w:color w:val="000000" w:themeColor="text1"/>
          <w:spacing w:val="-4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名（不少于</w:t>
      </w:r>
      <w:r>
        <w:rPr>
          <w:rFonts w:ascii="宋体" w:hAnsi="宋体" w:cs="宋体"/>
          <w:snapToGrid w:val="0"/>
          <w:color w:val="000000" w:themeColor="text1"/>
          <w:spacing w:val="-4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3</w:t>
      </w:r>
      <w:r>
        <w:rPr>
          <w:rFonts w:ascii="宋体" w:hAnsi="宋体" w:cs="宋体"/>
          <w:snapToGrid w:val="0"/>
          <w:color w:val="000000" w:themeColor="text1"/>
          <w:spacing w:val="-47"/>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名但不足</w:t>
      </w:r>
      <w:r>
        <w:rPr>
          <w:rFonts w:ascii="宋体" w:hAnsi="宋体" w:cs="宋体"/>
          <w:snapToGrid w:val="0"/>
          <w:color w:val="000000" w:themeColor="text1"/>
          <w:spacing w:val="-4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5</w:t>
      </w:r>
      <w:r>
        <w:rPr>
          <w:rFonts w:ascii="宋体" w:hAnsi="宋体" w:cs="宋体"/>
          <w:snapToGrid w:val="0"/>
          <w:color w:val="000000" w:themeColor="text1"/>
          <w:spacing w:val="-48"/>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名的，按全部实际数量）</w:t>
      </w:r>
      <w:r>
        <w:rPr>
          <w:rFonts w:ascii="宋体" w:hAnsi="宋体" w:cs="宋体"/>
          <w:snapToGrid w:val="0"/>
          <w:color w:val="000000" w:themeColor="text1"/>
          <w:spacing w:val="-3"/>
          <w:kern w:val="0"/>
          <w:sz w:val="24"/>
          <w:highlight w:val="none"/>
          <w14:textFill>
            <w14:solidFill>
              <w14:schemeClr w14:val="tx1"/>
            </w14:solidFill>
          </w14:textFill>
        </w:rPr>
        <w:t>的投标人，其投标文件第一个信封（商务及</w:t>
      </w:r>
      <w:r>
        <w:rPr>
          <w:rFonts w:ascii="宋体" w:hAnsi="宋体" w:cs="宋体"/>
          <w:snapToGrid w:val="0"/>
          <w:color w:val="000000" w:themeColor="text1"/>
          <w:spacing w:val="-1"/>
          <w:kern w:val="0"/>
          <w:sz w:val="24"/>
          <w:highlight w:val="none"/>
          <w14:textFill>
            <w14:solidFill>
              <w14:schemeClr w14:val="tx1"/>
            </w14:solidFill>
          </w14:textFill>
        </w:rPr>
        <w:t>技术文件）通过详细评审。</w:t>
      </w:r>
    </w:p>
    <w:p w14:paraId="41C76FAB">
      <w:pPr>
        <w:widowControl/>
        <w:kinsoku w:val="0"/>
        <w:autoSpaceDE w:val="0"/>
        <w:autoSpaceDN w:val="0"/>
        <w:adjustRightInd w:val="0"/>
        <w:snapToGrid w:val="0"/>
        <w:spacing w:before="183" w:line="218" w:lineRule="auto"/>
        <w:ind w:left="27"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2"/>
          <w:kern w:val="0"/>
          <w:sz w:val="24"/>
          <w:highlight w:val="none"/>
          <w14:textFill>
            <w14:solidFill>
              <w14:schemeClr w14:val="tx1"/>
            </w14:solidFill>
          </w14:textFill>
        </w:rPr>
        <w:t xml:space="preserve">1.3.2 </w:t>
      </w:r>
      <w:r>
        <w:rPr>
          <w:rFonts w:ascii="宋体" w:hAnsi="宋体" w:cs="宋体"/>
          <w:snapToGrid w:val="0"/>
          <w:color w:val="000000" w:themeColor="text1"/>
          <w:spacing w:val="-2"/>
          <w:kern w:val="0"/>
          <w:sz w:val="24"/>
          <w:highlight w:val="none"/>
          <w14:textFill>
            <w14:solidFill>
              <w14:schemeClr w14:val="tx1"/>
            </w14:solidFill>
          </w14:textFill>
        </w:rPr>
        <w:t>第二个信封（报价文件</w:t>
      </w:r>
      <w:r>
        <w:rPr>
          <w:rFonts w:ascii="宋体" w:hAnsi="宋体" w:cs="宋体"/>
          <w:snapToGrid w:val="0"/>
          <w:color w:val="000000" w:themeColor="text1"/>
          <w:spacing w:val="1"/>
          <w:kern w:val="0"/>
          <w:sz w:val="24"/>
          <w:highlight w:val="none"/>
          <w14:textFill>
            <w14:solidFill>
              <w14:schemeClr w14:val="tx1"/>
            </w14:solidFill>
          </w14:textFill>
        </w:rPr>
        <w:t>）：</w:t>
      </w:r>
    </w:p>
    <w:p w14:paraId="1A3793A0">
      <w:pPr>
        <w:widowControl/>
        <w:kinsoku w:val="0"/>
        <w:autoSpaceDE w:val="0"/>
        <w:autoSpaceDN w:val="0"/>
        <w:adjustRightInd w:val="0"/>
        <w:snapToGrid w:val="0"/>
        <w:spacing w:before="185" w:line="219" w:lineRule="auto"/>
        <w:ind w:left="19" w:firstLine="468"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（1）初步评审：</w:t>
      </w:r>
    </w:p>
    <w:p w14:paraId="4CD57BE8">
      <w:pPr>
        <w:widowControl/>
        <w:kinsoku w:val="0"/>
        <w:autoSpaceDE w:val="0"/>
        <w:autoSpaceDN w:val="0"/>
        <w:adjustRightInd w:val="0"/>
        <w:snapToGrid w:val="0"/>
        <w:spacing w:before="183" w:line="289" w:lineRule="auto"/>
        <w:ind w:left="7" w:right="193"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①只有对投标文件第一个信封通过详细评审的投标人的报价文</w:t>
      </w:r>
      <w:r>
        <w:rPr>
          <w:rFonts w:ascii="宋体" w:hAnsi="宋体" w:cs="宋体"/>
          <w:snapToGrid w:val="0"/>
          <w:color w:val="000000" w:themeColor="text1"/>
          <w:spacing w:val="-1"/>
          <w:kern w:val="0"/>
          <w:sz w:val="24"/>
          <w:highlight w:val="none"/>
          <w14:textFill>
            <w14:solidFill>
              <w14:schemeClr w14:val="tx1"/>
            </w14:solidFill>
          </w14:textFill>
        </w:rPr>
        <w:t>件才能继续参加第二个信封报价文件的形式评审与响应性评审；</w:t>
      </w:r>
    </w:p>
    <w:p w14:paraId="0214A0C6">
      <w:pPr>
        <w:widowControl/>
        <w:kinsoku w:val="0"/>
        <w:autoSpaceDE w:val="0"/>
        <w:autoSpaceDN w:val="0"/>
        <w:adjustRightInd w:val="0"/>
        <w:snapToGrid w:val="0"/>
        <w:spacing w:before="185" w:line="217" w:lineRule="auto"/>
        <w:ind w:left="6"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②报价算术性修正（如采用固化工程量清单，本步骤省略）。</w:t>
      </w:r>
    </w:p>
    <w:p w14:paraId="056BDDD1">
      <w:pPr>
        <w:widowControl/>
        <w:kinsoku w:val="0"/>
        <w:autoSpaceDE w:val="0"/>
        <w:autoSpaceDN w:val="0"/>
        <w:adjustRightInd w:val="0"/>
        <w:snapToGrid w:val="0"/>
        <w:spacing w:before="185" w:line="218" w:lineRule="auto"/>
        <w:ind w:left="19"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（2）详细评审：计算评标价。</w:t>
      </w:r>
    </w:p>
    <w:p w14:paraId="285D6F94">
      <w:pPr>
        <w:widowControl/>
        <w:kinsoku w:val="0"/>
        <w:autoSpaceDE w:val="0"/>
        <w:autoSpaceDN w:val="0"/>
        <w:adjustRightInd w:val="0"/>
        <w:snapToGrid w:val="0"/>
        <w:spacing w:before="185" w:line="219" w:lineRule="auto"/>
        <w:ind w:left="27"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2"/>
          <w:kern w:val="0"/>
          <w:sz w:val="24"/>
          <w:highlight w:val="none"/>
          <w14:textFill>
            <w14:solidFill>
              <w14:schemeClr w14:val="tx1"/>
            </w14:solidFill>
          </w14:textFill>
        </w:rPr>
        <w:t xml:space="preserve">1.3.3 </w:t>
      </w:r>
      <w:r>
        <w:rPr>
          <w:rFonts w:ascii="宋体" w:hAnsi="宋体" w:cs="宋体"/>
          <w:snapToGrid w:val="0"/>
          <w:color w:val="000000" w:themeColor="text1"/>
          <w:spacing w:val="-2"/>
          <w:kern w:val="0"/>
          <w:sz w:val="24"/>
          <w:highlight w:val="none"/>
          <w14:textFill>
            <w14:solidFill>
              <w14:schemeClr w14:val="tx1"/>
            </w14:solidFill>
          </w14:textFill>
        </w:rPr>
        <w:t>投标文件相关信息的核查。</w:t>
      </w:r>
    </w:p>
    <w:p w14:paraId="237B55C2">
      <w:pPr>
        <w:widowControl/>
        <w:kinsoku w:val="0"/>
        <w:autoSpaceDE w:val="0"/>
        <w:autoSpaceDN w:val="0"/>
        <w:adjustRightInd w:val="0"/>
        <w:snapToGrid w:val="0"/>
        <w:spacing w:before="184" w:line="219" w:lineRule="auto"/>
        <w:ind w:left="27"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2"/>
          <w:kern w:val="0"/>
          <w:sz w:val="24"/>
          <w:highlight w:val="none"/>
          <w14:textFill>
            <w14:solidFill>
              <w14:schemeClr w14:val="tx1"/>
            </w14:solidFill>
          </w14:textFill>
        </w:rPr>
        <w:t xml:space="preserve">1.3.4 </w:t>
      </w:r>
      <w:r>
        <w:rPr>
          <w:rFonts w:ascii="宋体" w:hAnsi="宋体" w:cs="宋体"/>
          <w:snapToGrid w:val="0"/>
          <w:color w:val="000000" w:themeColor="text1"/>
          <w:spacing w:val="-2"/>
          <w:kern w:val="0"/>
          <w:sz w:val="24"/>
          <w:highlight w:val="none"/>
          <w14:textFill>
            <w14:solidFill>
              <w14:schemeClr w14:val="tx1"/>
            </w14:solidFill>
          </w14:textFill>
        </w:rPr>
        <w:t>投标文件的澄清和说明(如有)。</w:t>
      </w:r>
    </w:p>
    <w:p w14:paraId="190FFCB8">
      <w:pPr>
        <w:widowControl/>
        <w:kinsoku w:val="0"/>
        <w:autoSpaceDE w:val="0"/>
        <w:autoSpaceDN w:val="0"/>
        <w:adjustRightInd w:val="0"/>
        <w:snapToGrid w:val="0"/>
        <w:spacing w:before="182" w:line="289" w:lineRule="auto"/>
        <w:ind w:left="9" w:right="1" w:firstLine="484" w:firstLineChars="20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 xml:space="preserve">1.3.5 </w:t>
      </w:r>
      <w:r>
        <w:rPr>
          <w:rFonts w:ascii="宋体" w:hAnsi="宋体" w:cs="宋体"/>
          <w:snapToGrid w:val="0"/>
          <w:color w:val="000000" w:themeColor="text1"/>
          <w:spacing w:val="-3"/>
          <w:kern w:val="0"/>
          <w:sz w:val="24"/>
          <w:highlight w:val="none"/>
          <w14:textFill>
            <w14:solidFill>
              <w14:schemeClr w14:val="tx1"/>
            </w14:solidFill>
          </w14:textFill>
        </w:rPr>
        <w:t>按评标办法规定按照第二个信封的评标价由低到高的顺</w:t>
      </w:r>
      <w:r>
        <w:rPr>
          <w:rFonts w:ascii="宋体" w:hAnsi="宋体" w:cs="宋体"/>
          <w:snapToGrid w:val="0"/>
          <w:color w:val="000000" w:themeColor="text1"/>
          <w:spacing w:val="-4"/>
          <w:kern w:val="0"/>
          <w:sz w:val="24"/>
          <w:highlight w:val="none"/>
          <w14:textFill>
            <w14:solidFill>
              <w14:schemeClr w14:val="tx1"/>
            </w14:solidFill>
          </w14:textFill>
        </w:rPr>
        <w:t>序推荐中标候选人，编写评</w:t>
      </w:r>
      <w:r>
        <w:rPr>
          <w:rFonts w:ascii="宋体" w:hAnsi="宋体" w:cs="宋体"/>
          <w:snapToGrid w:val="0"/>
          <w:color w:val="000000" w:themeColor="text1"/>
          <w:spacing w:val="-3"/>
          <w:kern w:val="0"/>
          <w:sz w:val="24"/>
          <w:highlight w:val="none"/>
          <w14:textFill>
            <w14:solidFill>
              <w14:schemeClr w14:val="tx1"/>
            </w14:solidFill>
          </w14:textFill>
        </w:rPr>
        <w:t>标报告。</w:t>
      </w:r>
    </w:p>
    <w:p w14:paraId="4ED9FFF1">
      <w:pPr>
        <w:pStyle w:val="5"/>
        <w:rPr>
          <w:color w:val="000000" w:themeColor="text1"/>
          <w:highlight w:val="none"/>
          <w14:textFill>
            <w14:solidFill>
              <w14:schemeClr w14:val="tx1"/>
            </w14:solidFill>
          </w14:textFill>
        </w:rPr>
      </w:pPr>
      <w:bookmarkStart w:id="98" w:name="_Toc25925"/>
      <w:r>
        <w:rPr>
          <w:color w:val="000000" w:themeColor="text1"/>
          <w:highlight w:val="none"/>
          <w14:textFill>
            <w14:solidFill>
              <w14:schemeClr w14:val="tx1"/>
            </w14:solidFill>
          </w14:textFill>
        </w:rPr>
        <w:t>2. 评审标准</w:t>
      </w:r>
      <w:bookmarkEnd w:id="98"/>
    </w:p>
    <w:p w14:paraId="59A5981B">
      <w:pPr>
        <w:pStyle w:val="6"/>
        <w:spacing w:before="168" w:after="120"/>
        <w:rPr>
          <w:color w:val="000000" w:themeColor="text1"/>
          <w:highlight w:val="none"/>
          <w14:textFill>
            <w14:solidFill>
              <w14:schemeClr w14:val="tx1"/>
            </w14:solidFill>
          </w14:textFill>
        </w:rPr>
      </w:pPr>
      <w:bookmarkStart w:id="99" w:name="_Toc10652"/>
      <w:r>
        <w:rPr>
          <w:color w:val="000000" w:themeColor="text1"/>
          <w:highlight w:val="none"/>
          <w14:textFill>
            <w14:solidFill>
              <w14:schemeClr w14:val="tx1"/>
            </w14:solidFill>
          </w14:textFill>
        </w:rPr>
        <w:t>2.1 初步评审标准</w:t>
      </w:r>
      <w:bookmarkEnd w:id="99"/>
    </w:p>
    <w:p w14:paraId="55AA93C4">
      <w:pPr>
        <w:widowControl/>
        <w:kinsoku w:val="0"/>
        <w:autoSpaceDE w:val="0"/>
        <w:autoSpaceDN w:val="0"/>
        <w:adjustRightInd w:val="0"/>
        <w:snapToGrid w:val="0"/>
        <w:spacing w:before="180" w:line="220" w:lineRule="auto"/>
        <w:ind w:left="4"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2.1.1  </w:t>
      </w:r>
      <w:r>
        <w:rPr>
          <w:rFonts w:ascii="宋体" w:hAnsi="宋体" w:cs="宋体"/>
          <w:snapToGrid w:val="0"/>
          <w:color w:val="000000" w:themeColor="text1"/>
          <w:spacing w:val="-1"/>
          <w:kern w:val="0"/>
          <w:sz w:val="24"/>
          <w:highlight w:val="none"/>
          <w14:textFill>
            <w14:solidFill>
              <w14:schemeClr w14:val="tx1"/>
            </w14:solidFill>
          </w14:textFill>
        </w:rPr>
        <w:t>形式评审标准</w:t>
      </w:r>
    </w:p>
    <w:p w14:paraId="6C06C45D">
      <w:pPr>
        <w:widowControl/>
        <w:kinsoku w:val="0"/>
        <w:autoSpaceDE w:val="0"/>
        <w:autoSpaceDN w:val="0"/>
        <w:adjustRightInd w:val="0"/>
        <w:snapToGrid w:val="0"/>
        <w:spacing w:before="181" w:line="219" w:lineRule="auto"/>
        <w:ind w:left="4"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2.1.2  </w:t>
      </w:r>
      <w:r>
        <w:rPr>
          <w:rFonts w:ascii="宋体" w:hAnsi="宋体" w:cs="宋体"/>
          <w:snapToGrid w:val="0"/>
          <w:color w:val="000000" w:themeColor="text1"/>
          <w:spacing w:val="-1"/>
          <w:kern w:val="0"/>
          <w:sz w:val="24"/>
          <w:highlight w:val="none"/>
          <w14:textFill>
            <w14:solidFill>
              <w14:schemeClr w14:val="tx1"/>
            </w14:solidFill>
          </w14:textFill>
        </w:rPr>
        <w:t>资格评审标准：见评标办法前附表</w:t>
      </w:r>
    </w:p>
    <w:p w14:paraId="7CD42795">
      <w:pPr>
        <w:widowControl/>
        <w:kinsoku w:val="0"/>
        <w:autoSpaceDE w:val="0"/>
        <w:autoSpaceDN w:val="0"/>
        <w:adjustRightInd w:val="0"/>
        <w:snapToGrid w:val="0"/>
        <w:spacing w:before="182" w:line="290" w:lineRule="auto"/>
        <w:ind w:right="99"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2.1.2  </w:t>
      </w:r>
      <w:r>
        <w:rPr>
          <w:rFonts w:ascii="宋体" w:hAnsi="宋体" w:cs="宋体"/>
          <w:snapToGrid w:val="0"/>
          <w:color w:val="000000" w:themeColor="text1"/>
          <w:kern w:val="0"/>
          <w:sz w:val="24"/>
          <w:highlight w:val="none"/>
          <w14:textFill>
            <w14:solidFill>
              <w14:schemeClr w14:val="tx1"/>
            </w14:solidFill>
          </w14:textFill>
        </w:rPr>
        <w:t>资格评审标准：见资格预审文件第三章</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资格审查办法</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详细审查标</w:t>
      </w:r>
      <w:r>
        <w:rPr>
          <w:rFonts w:ascii="宋体" w:hAnsi="宋体" w:cs="宋体"/>
          <w:snapToGrid w:val="0"/>
          <w:color w:val="000000" w:themeColor="text1"/>
          <w:spacing w:val="-1"/>
          <w:kern w:val="0"/>
          <w:sz w:val="24"/>
          <w:highlight w:val="none"/>
          <w14:textFill>
            <w14:solidFill>
              <w14:schemeClr w14:val="tx1"/>
            </w14:solidFill>
          </w14:textFill>
        </w:rPr>
        <w:t>准（适用于已进行资格预审的）</w:t>
      </w:r>
    </w:p>
    <w:p w14:paraId="54C3ADF8">
      <w:pPr>
        <w:widowControl/>
        <w:kinsoku w:val="0"/>
        <w:autoSpaceDE w:val="0"/>
        <w:autoSpaceDN w:val="0"/>
        <w:adjustRightInd w:val="0"/>
        <w:snapToGrid w:val="0"/>
        <w:spacing w:before="182" w:line="220" w:lineRule="auto"/>
        <w:ind w:left="4" w:firstLine="468"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2.1.3</w:t>
      </w:r>
      <w:r>
        <w:rPr>
          <w:rFonts w:eastAsia="Times New Roman"/>
          <w:snapToGrid w:val="0"/>
          <w:color w:val="000000" w:themeColor="text1"/>
          <w:spacing w:val="14"/>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响应性评审标准</w:t>
      </w:r>
    </w:p>
    <w:p w14:paraId="207E70FA">
      <w:pPr>
        <w:pStyle w:val="6"/>
        <w:spacing w:before="168" w:after="120"/>
        <w:rPr>
          <w:color w:val="000000" w:themeColor="text1"/>
          <w:highlight w:val="none"/>
          <w14:textFill>
            <w14:solidFill>
              <w14:schemeClr w14:val="tx1"/>
            </w14:solidFill>
          </w14:textFill>
        </w:rPr>
      </w:pPr>
      <w:bookmarkStart w:id="100" w:name="_Toc2429"/>
      <w:r>
        <w:rPr>
          <w:color w:val="000000" w:themeColor="text1"/>
          <w:highlight w:val="none"/>
          <w14:textFill>
            <w14:solidFill>
              <w14:schemeClr w14:val="tx1"/>
            </w14:solidFill>
          </w14:textFill>
        </w:rPr>
        <w:t>2.2 分值构成与评分标准</w:t>
      </w:r>
      <w:bookmarkEnd w:id="100"/>
    </w:p>
    <w:p w14:paraId="736C749A">
      <w:pPr>
        <w:widowControl/>
        <w:kinsoku w:val="0"/>
        <w:autoSpaceDE w:val="0"/>
        <w:autoSpaceDN w:val="0"/>
        <w:adjustRightInd w:val="0"/>
        <w:snapToGrid w:val="0"/>
        <w:spacing w:before="180" w:line="222" w:lineRule="auto"/>
        <w:ind w:left="4" w:firstLine="476" w:firstLineChars="200"/>
        <w:jc w:val="left"/>
        <w:textAlignment w:val="baseline"/>
        <w:rPr>
          <w:rFonts w:hint="eastAsia" w:ascii="黑体" w:hAnsi="黑体" w:eastAsia="黑体" w:cs="黑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2.2.1  </w:t>
      </w:r>
      <w:r>
        <w:rPr>
          <w:rFonts w:ascii="黑体" w:hAnsi="黑体" w:eastAsia="黑体" w:cs="黑体"/>
          <w:snapToGrid w:val="0"/>
          <w:color w:val="000000" w:themeColor="text1"/>
          <w:spacing w:val="-1"/>
          <w:kern w:val="0"/>
          <w:sz w:val="24"/>
          <w:highlight w:val="none"/>
          <w14:textFill>
            <w14:solidFill>
              <w14:schemeClr w14:val="tx1"/>
            </w14:solidFill>
          </w14:textFill>
        </w:rPr>
        <w:t>第一个信封评分分值构成</w:t>
      </w:r>
    </w:p>
    <w:p w14:paraId="5E7B8736">
      <w:pPr>
        <w:widowControl/>
        <w:kinsoku w:val="0"/>
        <w:autoSpaceDE w:val="0"/>
        <w:autoSpaceDN w:val="0"/>
        <w:adjustRightInd w:val="0"/>
        <w:snapToGrid w:val="0"/>
        <w:spacing w:before="179"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：见评标办法前附表；</w:t>
      </w:r>
    </w:p>
    <w:p w14:paraId="4076EAA0">
      <w:pPr>
        <w:widowControl/>
        <w:kinsoku w:val="0"/>
        <w:autoSpaceDE w:val="0"/>
        <w:autoSpaceDN w:val="0"/>
        <w:adjustRightInd w:val="0"/>
        <w:snapToGrid w:val="0"/>
        <w:spacing w:before="183" w:line="219" w:lineRule="auto"/>
        <w:ind w:left="19"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w:t>
      </w:r>
      <w:r>
        <w:rPr>
          <w:rFonts w:eastAsia="Times New Roman"/>
          <w:snapToGrid w:val="0"/>
          <w:color w:val="000000" w:themeColor="text1"/>
          <w:spacing w:val="-2"/>
          <w:kern w:val="0"/>
          <w:sz w:val="24"/>
          <w:highlight w:val="none"/>
          <w14:textFill>
            <w14:solidFill>
              <w14:schemeClr w14:val="tx1"/>
            </w14:solidFill>
          </w14:textFill>
        </w:rPr>
        <w:t>2</w:t>
      </w:r>
      <w:r>
        <w:rPr>
          <w:rFonts w:ascii="宋体" w:hAnsi="宋体" w:cs="宋体"/>
          <w:snapToGrid w:val="0"/>
          <w:color w:val="000000" w:themeColor="text1"/>
          <w:spacing w:val="-2"/>
          <w:kern w:val="0"/>
          <w:sz w:val="24"/>
          <w:highlight w:val="none"/>
          <w14:textFill>
            <w14:solidFill>
              <w14:schemeClr w14:val="tx1"/>
            </w14:solidFill>
          </w14:textFill>
        </w:rPr>
        <w:t>）主要人员：见评标办法前附表；</w:t>
      </w:r>
    </w:p>
    <w:p w14:paraId="6295B9D8">
      <w:pPr>
        <w:widowControl/>
        <w:kinsoku w:val="0"/>
        <w:autoSpaceDE w:val="0"/>
        <w:autoSpaceDN w:val="0"/>
        <w:adjustRightInd w:val="0"/>
        <w:snapToGrid w:val="0"/>
        <w:spacing w:before="184" w:line="219" w:lineRule="auto"/>
        <w:ind w:left="19" w:firstLine="472"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w:t>
      </w:r>
      <w:r>
        <w:rPr>
          <w:rFonts w:eastAsia="Times New Roman"/>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2"/>
          <w:kern w:val="0"/>
          <w:sz w:val="24"/>
          <w:highlight w:val="none"/>
          <w14:textFill>
            <w14:solidFill>
              <w14:schemeClr w14:val="tx1"/>
            </w14:solidFill>
          </w14:textFill>
        </w:rPr>
        <w:t>）其他评分因素：见评标办法前附表。</w:t>
      </w:r>
    </w:p>
    <w:p w14:paraId="12341193">
      <w:pPr>
        <w:widowControl/>
        <w:kinsoku w:val="0"/>
        <w:autoSpaceDE w:val="0"/>
        <w:autoSpaceDN w:val="0"/>
        <w:adjustRightInd w:val="0"/>
        <w:snapToGrid w:val="0"/>
        <w:spacing w:before="183" w:line="222" w:lineRule="auto"/>
        <w:ind w:left="4" w:firstLine="476" w:firstLineChars="200"/>
        <w:jc w:val="left"/>
        <w:textAlignment w:val="baseline"/>
        <w:rPr>
          <w:rFonts w:hint="eastAsia" w:ascii="黑体" w:hAnsi="黑体" w:eastAsia="黑体" w:cs="黑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2.2.2  </w:t>
      </w:r>
      <w:r>
        <w:rPr>
          <w:rFonts w:ascii="黑体" w:hAnsi="黑体" w:eastAsia="黑体" w:cs="黑体"/>
          <w:snapToGrid w:val="0"/>
          <w:color w:val="000000" w:themeColor="text1"/>
          <w:spacing w:val="-1"/>
          <w:kern w:val="0"/>
          <w:sz w:val="24"/>
          <w:highlight w:val="none"/>
          <w14:textFill>
            <w14:solidFill>
              <w14:schemeClr w14:val="tx1"/>
            </w14:solidFill>
          </w14:textFill>
        </w:rPr>
        <w:t>第一个信封评分评分标准</w:t>
      </w:r>
    </w:p>
    <w:p w14:paraId="47549D71">
      <w:pPr>
        <w:widowControl/>
        <w:kinsoku w:val="0"/>
        <w:autoSpaceDE w:val="0"/>
        <w:autoSpaceDN w:val="0"/>
        <w:adjustRightInd w:val="0"/>
        <w:snapToGrid w:val="0"/>
        <w:spacing w:before="179"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）施工组织设计</w:t>
      </w:r>
      <w:r>
        <w:rPr>
          <w:rFonts w:ascii="宋体" w:hAnsi="宋体" w:cs="宋体"/>
          <w:snapToGrid w:val="0"/>
          <w:color w:val="000000" w:themeColor="text1"/>
          <w:spacing w:val="-1"/>
          <w:kern w:val="0"/>
          <w:sz w:val="24"/>
          <w:highlight w:val="none"/>
          <w:u w:val="single"/>
          <w14:textFill>
            <w14:solidFill>
              <w14:schemeClr w14:val="tx1"/>
            </w14:solidFill>
          </w14:textFill>
        </w:rPr>
        <w:t>及承包人项目管理方案</w:t>
      </w:r>
      <w:r>
        <w:rPr>
          <w:rFonts w:ascii="宋体" w:hAnsi="宋体" w:cs="宋体"/>
          <w:snapToGrid w:val="0"/>
          <w:color w:val="000000" w:themeColor="text1"/>
          <w:spacing w:val="-1"/>
          <w:kern w:val="0"/>
          <w:sz w:val="24"/>
          <w:highlight w:val="none"/>
          <w14:textFill>
            <w14:solidFill>
              <w14:schemeClr w14:val="tx1"/>
            </w14:solidFill>
          </w14:textFill>
        </w:rPr>
        <w:t>评分标准：见评标办法前附表；</w:t>
      </w:r>
    </w:p>
    <w:p w14:paraId="0EFEB0F8">
      <w:pPr>
        <w:widowControl/>
        <w:kinsoku w:val="0"/>
        <w:autoSpaceDE w:val="0"/>
        <w:autoSpaceDN w:val="0"/>
        <w:adjustRightInd w:val="0"/>
        <w:snapToGrid w:val="0"/>
        <w:spacing w:before="184"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）主要人员评分标准：见评标办法前附表；</w:t>
      </w:r>
    </w:p>
    <w:p w14:paraId="6B36355C">
      <w:pPr>
        <w:widowControl/>
        <w:kinsoku w:val="0"/>
        <w:autoSpaceDE w:val="0"/>
        <w:autoSpaceDN w:val="0"/>
        <w:adjustRightInd w:val="0"/>
        <w:snapToGrid w:val="0"/>
        <w:spacing w:before="183" w:line="219"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）其他因素评分标准：见评标办法前附表。</w:t>
      </w:r>
    </w:p>
    <w:p w14:paraId="5CADA708">
      <w:pPr>
        <w:widowControl/>
        <w:kinsoku w:val="0"/>
        <w:autoSpaceDE w:val="0"/>
        <w:autoSpaceDN w:val="0"/>
        <w:adjustRightInd w:val="0"/>
        <w:snapToGrid w:val="0"/>
        <w:spacing w:before="183" w:line="219" w:lineRule="auto"/>
        <w:ind w:left="4"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2.2.3  </w:t>
      </w:r>
      <w:r>
        <w:rPr>
          <w:rFonts w:ascii="宋体" w:hAnsi="宋体" w:cs="宋体"/>
          <w:snapToGrid w:val="0"/>
          <w:color w:val="000000" w:themeColor="text1"/>
          <w:kern w:val="0"/>
          <w:sz w:val="24"/>
          <w:highlight w:val="none"/>
          <w14:textFill>
            <w14:solidFill>
              <w14:schemeClr w14:val="tx1"/>
            </w14:solidFill>
          </w14:textFill>
        </w:rPr>
        <w:t>第二个信封详细评审标准：见评</w:t>
      </w:r>
      <w:r>
        <w:rPr>
          <w:rFonts w:ascii="宋体" w:hAnsi="宋体" w:cs="宋体"/>
          <w:snapToGrid w:val="0"/>
          <w:color w:val="000000" w:themeColor="text1"/>
          <w:spacing w:val="-1"/>
          <w:kern w:val="0"/>
          <w:sz w:val="24"/>
          <w:highlight w:val="none"/>
          <w14:textFill>
            <w14:solidFill>
              <w14:schemeClr w14:val="tx1"/>
            </w14:solidFill>
          </w14:textFill>
        </w:rPr>
        <w:t>标办法前附表。</w:t>
      </w:r>
    </w:p>
    <w:p w14:paraId="02626F8E">
      <w:pPr>
        <w:pStyle w:val="5"/>
        <w:rPr>
          <w:color w:val="000000" w:themeColor="text1"/>
          <w:highlight w:val="none"/>
          <w14:textFill>
            <w14:solidFill>
              <w14:schemeClr w14:val="tx1"/>
            </w14:solidFill>
          </w14:textFill>
        </w:rPr>
      </w:pPr>
      <w:bookmarkStart w:id="101" w:name="_Toc16152"/>
      <w:r>
        <w:rPr>
          <w:color w:val="000000" w:themeColor="text1"/>
          <w:highlight w:val="none"/>
          <w14:textFill>
            <w14:solidFill>
              <w14:schemeClr w14:val="tx1"/>
            </w14:solidFill>
          </w14:textFill>
        </w:rPr>
        <w:t>3. 评标程序</w:t>
      </w:r>
      <w:bookmarkEnd w:id="101"/>
    </w:p>
    <w:p w14:paraId="6111749F">
      <w:pPr>
        <w:pStyle w:val="6"/>
        <w:spacing w:before="168" w:after="120"/>
        <w:rPr>
          <w:color w:val="000000" w:themeColor="text1"/>
          <w:highlight w:val="none"/>
          <w14:textFill>
            <w14:solidFill>
              <w14:schemeClr w14:val="tx1"/>
            </w14:solidFill>
          </w14:textFill>
        </w:rPr>
      </w:pPr>
      <w:bookmarkStart w:id="102" w:name="_Toc19135"/>
      <w:r>
        <w:rPr>
          <w:color w:val="000000" w:themeColor="text1"/>
          <w:highlight w:val="none"/>
          <w14:textFill>
            <w14:solidFill>
              <w14:schemeClr w14:val="tx1"/>
            </w14:solidFill>
          </w14:textFill>
        </w:rPr>
        <w:t>3.1 第一个信封初步评审</w:t>
      </w:r>
      <w:bookmarkEnd w:id="102"/>
    </w:p>
    <w:p w14:paraId="2C638AB0">
      <w:pPr>
        <w:widowControl/>
        <w:autoSpaceDE w:val="0"/>
        <w:autoSpaceDN w:val="0"/>
        <w:adjustRightInd w:val="0"/>
        <w:snapToGrid w:val="0"/>
        <w:spacing w:line="360" w:lineRule="auto"/>
        <w:ind w:left="7"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3.1.1  </w:t>
      </w:r>
      <w:r>
        <w:rPr>
          <w:rFonts w:ascii="宋体" w:hAnsi="宋体" w:cs="宋体"/>
          <w:snapToGrid w:val="0"/>
          <w:color w:val="000000" w:themeColor="text1"/>
          <w:kern w:val="0"/>
          <w:sz w:val="24"/>
          <w:highlight w:val="none"/>
          <w14:textFill>
            <w14:solidFill>
              <w14:schemeClr w14:val="tx1"/>
            </w14:solidFill>
          </w14:textFill>
        </w:rPr>
        <w:t>评标委员会可以要求投标人提交第二章</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投标人须知</w:t>
      </w:r>
      <w:r>
        <w:rPr>
          <w:rFonts w:eastAsia="Times New Roman"/>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 xml:space="preserve">第 </w:t>
      </w:r>
      <w:r>
        <w:rPr>
          <w:rFonts w:eastAsia="Times New Roman"/>
          <w:snapToGrid w:val="0"/>
          <w:color w:val="000000" w:themeColor="text1"/>
          <w:kern w:val="0"/>
          <w:sz w:val="24"/>
          <w:highlight w:val="none"/>
          <w14:textFill>
            <w14:solidFill>
              <w14:schemeClr w14:val="tx1"/>
            </w14:solidFill>
          </w14:textFill>
        </w:rPr>
        <w:t xml:space="preserve">3.5.1 </w:t>
      </w:r>
      <w:r>
        <w:rPr>
          <w:rFonts w:ascii="宋体" w:hAnsi="宋体" w:cs="宋体"/>
          <w:snapToGrid w:val="0"/>
          <w:color w:val="000000" w:themeColor="text1"/>
          <w:kern w:val="0"/>
          <w:sz w:val="24"/>
          <w:highlight w:val="none"/>
          <w14:textFill>
            <w14:solidFill>
              <w14:schemeClr w14:val="tx1"/>
            </w14:solidFill>
          </w14:textFill>
        </w:rPr>
        <w:t>项</w:t>
      </w:r>
      <w:r>
        <w:rPr>
          <w:rFonts w:ascii="宋体" w:hAnsi="宋体" w:cs="宋体"/>
          <w:snapToGrid w:val="0"/>
          <w:color w:val="000000" w:themeColor="text1"/>
          <w:spacing w:val="-1"/>
          <w:kern w:val="0"/>
          <w:sz w:val="24"/>
          <w:highlight w:val="none"/>
          <w14:textFill>
            <w14:solidFill>
              <w14:schemeClr w14:val="tx1"/>
            </w14:solidFill>
          </w14:textFill>
        </w:rPr>
        <w:t>至第</w:t>
      </w:r>
      <w:r>
        <w:rPr>
          <w:rFonts w:eastAsia="Times New Roman"/>
          <w:snapToGrid w:val="0"/>
          <w:color w:val="000000" w:themeColor="text1"/>
          <w:spacing w:val="-1"/>
          <w:kern w:val="0"/>
          <w:sz w:val="24"/>
          <w:highlight w:val="none"/>
          <w14:textFill>
            <w14:solidFill>
              <w14:schemeClr w14:val="tx1"/>
            </w14:solidFill>
          </w14:textFill>
        </w:rPr>
        <w:t>3.5.6</w:t>
      </w:r>
      <w:r>
        <w:rPr>
          <w:rFonts w:ascii="宋体" w:hAnsi="宋体" w:cs="宋体"/>
          <w:snapToGrid w:val="0"/>
          <w:color w:val="000000" w:themeColor="text1"/>
          <w:spacing w:val="-1"/>
          <w:kern w:val="0"/>
          <w:sz w:val="24"/>
          <w:highlight w:val="none"/>
          <w14:textFill>
            <w14:solidFill>
              <w14:schemeClr w14:val="tx1"/>
            </w14:solidFill>
          </w14:textFill>
        </w:rPr>
        <w:t>项规</w:t>
      </w:r>
      <w:r>
        <w:rPr>
          <w:rFonts w:ascii="宋体" w:hAnsi="宋体" w:cs="宋体"/>
          <w:snapToGrid w:val="0"/>
          <w:color w:val="000000" w:themeColor="text1"/>
          <w:spacing w:val="-3"/>
          <w:kern w:val="0"/>
          <w:sz w:val="24"/>
          <w:highlight w:val="none"/>
          <w14:textFill>
            <w14:solidFill>
              <w14:schemeClr w14:val="tx1"/>
            </w14:solidFill>
          </w14:textFill>
        </w:rPr>
        <w:t xml:space="preserve">定的有关证明和证件的原件，以便核验。评标委员会依据本章第 </w:t>
      </w:r>
      <w:r>
        <w:rPr>
          <w:rFonts w:eastAsia="Times New Roman"/>
          <w:snapToGrid w:val="0"/>
          <w:color w:val="000000" w:themeColor="text1"/>
          <w:spacing w:val="-3"/>
          <w:kern w:val="0"/>
          <w:sz w:val="24"/>
          <w:highlight w:val="none"/>
          <w14:textFill>
            <w14:solidFill>
              <w14:schemeClr w14:val="tx1"/>
            </w14:solidFill>
          </w14:textFill>
        </w:rPr>
        <w:t xml:space="preserve">2.1 </w:t>
      </w:r>
      <w:r>
        <w:rPr>
          <w:rFonts w:ascii="宋体" w:hAnsi="宋体" w:cs="宋体"/>
          <w:snapToGrid w:val="0"/>
          <w:color w:val="000000" w:themeColor="text1"/>
          <w:spacing w:val="-3"/>
          <w:kern w:val="0"/>
          <w:sz w:val="24"/>
          <w:highlight w:val="none"/>
          <w14:textFill>
            <w14:solidFill>
              <w14:schemeClr w14:val="tx1"/>
            </w14:solidFill>
          </w14:textFill>
        </w:rPr>
        <w:t>款规定的标准对投</w:t>
      </w:r>
      <w:r>
        <w:rPr>
          <w:rFonts w:ascii="宋体" w:hAnsi="宋体" w:cs="宋体"/>
          <w:snapToGrid w:val="0"/>
          <w:color w:val="000000" w:themeColor="text1"/>
          <w:spacing w:val="-2"/>
          <w:kern w:val="0"/>
          <w:sz w:val="24"/>
          <w:highlight w:val="none"/>
          <w14:textFill>
            <w14:solidFill>
              <w14:schemeClr w14:val="tx1"/>
            </w14:solidFill>
          </w14:textFill>
        </w:rPr>
        <w:t>标文件第一个信封（商务及技术文件）进行初步评审。有一项不符合评审标准的，评标</w:t>
      </w:r>
      <w:r>
        <w:rPr>
          <w:rFonts w:ascii="宋体" w:hAnsi="宋体" w:cs="宋体"/>
          <w:snapToGrid w:val="0"/>
          <w:color w:val="000000" w:themeColor="text1"/>
          <w:spacing w:val="-1"/>
          <w:kern w:val="0"/>
          <w:sz w:val="24"/>
          <w:highlight w:val="none"/>
          <w14:textFill>
            <w14:solidFill>
              <w14:schemeClr w14:val="tx1"/>
            </w14:solidFill>
          </w14:textFill>
        </w:rPr>
        <w:t>委员会应否决其投标。（适用于未进行资格预审的）</w:t>
      </w:r>
    </w:p>
    <w:p w14:paraId="441E711F">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3.1.1  </w:t>
      </w:r>
      <w:r>
        <w:rPr>
          <w:rFonts w:ascii="宋体" w:hAnsi="宋体" w:cs="宋体"/>
          <w:snapToGrid w:val="0"/>
          <w:color w:val="000000" w:themeColor="text1"/>
          <w:kern w:val="0"/>
          <w:sz w:val="24"/>
          <w:highlight w:val="none"/>
          <w14:textFill>
            <w14:solidFill>
              <w14:schemeClr w14:val="tx1"/>
            </w14:solidFill>
          </w14:textFill>
        </w:rPr>
        <w:t xml:space="preserve">评标委员会依据本章第 </w:t>
      </w:r>
      <w:r>
        <w:rPr>
          <w:rFonts w:eastAsia="Times New Roman"/>
          <w:snapToGrid w:val="0"/>
          <w:color w:val="000000" w:themeColor="text1"/>
          <w:kern w:val="0"/>
          <w:sz w:val="24"/>
          <w:highlight w:val="none"/>
          <w14:textFill>
            <w14:solidFill>
              <w14:schemeClr w14:val="tx1"/>
            </w14:solidFill>
          </w14:textFill>
        </w:rPr>
        <w:t xml:space="preserve">2.1.1 </w:t>
      </w:r>
      <w:r>
        <w:rPr>
          <w:rFonts w:ascii="宋体" w:hAnsi="宋体" w:cs="宋体"/>
          <w:snapToGrid w:val="0"/>
          <w:color w:val="000000" w:themeColor="text1"/>
          <w:kern w:val="0"/>
          <w:sz w:val="24"/>
          <w:highlight w:val="none"/>
          <w14:textFill>
            <w14:solidFill>
              <w14:schemeClr w14:val="tx1"/>
            </w14:solidFill>
          </w14:textFill>
        </w:rPr>
        <w:t xml:space="preserve">项、第 </w:t>
      </w:r>
      <w:r>
        <w:rPr>
          <w:rFonts w:eastAsia="Times New Roman"/>
          <w:snapToGrid w:val="0"/>
          <w:color w:val="000000" w:themeColor="text1"/>
          <w:kern w:val="0"/>
          <w:sz w:val="24"/>
          <w:highlight w:val="none"/>
          <w14:textFill>
            <w14:solidFill>
              <w14:schemeClr w14:val="tx1"/>
            </w14:solidFill>
          </w14:textFill>
        </w:rPr>
        <w:t>2.1.3</w:t>
      </w:r>
      <w:r>
        <w:rPr>
          <w:rFonts w:hint="eastAsia"/>
          <w:snapToGrid w:val="0"/>
          <w:color w:val="000000" w:themeColor="text1"/>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项规定的评</w:t>
      </w:r>
      <w:r>
        <w:rPr>
          <w:rFonts w:ascii="宋体" w:hAnsi="宋体" w:cs="宋体"/>
          <w:snapToGrid w:val="0"/>
          <w:color w:val="000000" w:themeColor="text1"/>
          <w:spacing w:val="-1"/>
          <w:kern w:val="0"/>
          <w:sz w:val="24"/>
          <w:highlight w:val="none"/>
          <w14:textFill>
            <w14:solidFill>
              <w14:schemeClr w14:val="tx1"/>
            </w14:solidFill>
          </w14:textFill>
        </w:rPr>
        <w:t>审标准对投标文件第一个</w:t>
      </w:r>
      <w:r>
        <w:rPr>
          <w:rFonts w:ascii="宋体" w:hAnsi="宋体" w:cs="宋体"/>
          <w:snapToGrid w:val="0"/>
          <w:color w:val="000000" w:themeColor="text1"/>
          <w:spacing w:val="-2"/>
          <w:kern w:val="0"/>
          <w:sz w:val="24"/>
          <w:highlight w:val="none"/>
          <w14:textFill>
            <w14:solidFill>
              <w14:schemeClr w14:val="tx1"/>
            </w14:solidFill>
          </w14:textFill>
        </w:rPr>
        <w:t>信封（商务及技术文件）进行初步评审。有一项不符合评审标准的，评标委员会应否决</w:t>
      </w:r>
      <w:r>
        <w:rPr>
          <w:rFonts w:ascii="宋体" w:hAnsi="宋体" w:cs="宋体"/>
          <w:snapToGrid w:val="0"/>
          <w:color w:val="000000" w:themeColor="text1"/>
          <w:spacing w:val="-3"/>
          <w:kern w:val="0"/>
          <w:sz w:val="24"/>
          <w:highlight w:val="none"/>
          <w14:textFill>
            <w14:solidFill>
              <w14:schemeClr w14:val="tx1"/>
            </w14:solidFill>
          </w14:textFill>
        </w:rPr>
        <w:t>其投标。当投标人资格预审申请文件的内容发生重大变化时，评标委员会依据本章</w:t>
      </w:r>
      <w:r>
        <w:rPr>
          <w:rFonts w:ascii="宋体" w:hAnsi="宋体" w:cs="宋体"/>
          <w:snapToGrid w:val="0"/>
          <w:color w:val="000000" w:themeColor="text1"/>
          <w:spacing w:val="-55"/>
          <w:kern w:val="0"/>
          <w:sz w:val="24"/>
          <w:highlight w:val="none"/>
          <w14:textFill>
            <w14:solidFill>
              <w14:schemeClr w14:val="tx1"/>
            </w14:solidFill>
          </w14:textFill>
        </w:rPr>
        <w:t xml:space="preserve"> </w:t>
      </w:r>
      <w:r>
        <w:rPr>
          <w:rFonts w:eastAsia="Times New Roman"/>
          <w:snapToGrid w:val="0"/>
          <w:color w:val="000000" w:themeColor="text1"/>
          <w:spacing w:val="-3"/>
          <w:kern w:val="0"/>
          <w:sz w:val="24"/>
          <w:highlight w:val="none"/>
          <w14:textFill>
            <w14:solidFill>
              <w14:schemeClr w14:val="tx1"/>
            </w14:solidFill>
          </w14:textFill>
        </w:rPr>
        <w:t>2.1.2</w:t>
      </w:r>
      <w:r>
        <w:rPr>
          <w:rFonts w:ascii="宋体" w:hAnsi="宋体" w:cs="宋体"/>
          <w:snapToGrid w:val="0"/>
          <w:color w:val="000000" w:themeColor="text1"/>
          <w:kern w:val="0"/>
          <w:sz w:val="24"/>
          <w:highlight w:val="none"/>
          <w14:textFill>
            <w14:solidFill>
              <w14:schemeClr w14:val="tx1"/>
            </w14:solidFill>
          </w14:textFill>
        </w:rPr>
        <w:t>项规定的标准对其更新资料进行评审。（适</w:t>
      </w:r>
      <w:r>
        <w:rPr>
          <w:rFonts w:ascii="宋体" w:hAnsi="宋体" w:cs="宋体"/>
          <w:snapToGrid w:val="0"/>
          <w:color w:val="000000" w:themeColor="text1"/>
          <w:spacing w:val="-1"/>
          <w:kern w:val="0"/>
          <w:sz w:val="24"/>
          <w:highlight w:val="none"/>
          <w14:textFill>
            <w14:solidFill>
              <w14:schemeClr w14:val="tx1"/>
            </w14:solidFill>
          </w14:textFill>
        </w:rPr>
        <w:t>用于已进行资格预审的）</w:t>
      </w:r>
    </w:p>
    <w:p w14:paraId="5A34321E">
      <w:pPr>
        <w:pStyle w:val="6"/>
        <w:spacing w:before="168" w:after="120"/>
        <w:rPr>
          <w:color w:val="000000" w:themeColor="text1"/>
          <w:highlight w:val="none"/>
          <w14:textFill>
            <w14:solidFill>
              <w14:schemeClr w14:val="tx1"/>
            </w14:solidFill>
          </w14:textFill>
        </w:rPr>
      </w:pPr>
      <w:bookmarkStart w:id="103" w:name="_Toc24019"/>
      <w:r>
        <w:rPr>
          <w:color w:val="000000" w:themeColor="text1"/>
          <w:highlight w:val="none"/>
          <w14:textFill>
            <w14:solidFill>
              <w14:schemeClr w14:val="tx1"/>
            </w14:solidFill>
          </w14:textFill>
        </w:rPr>
        <w:t>3.2 第一个信封详细评审</w:t>
      </w:r>
      <w:bookmarkEnd w:id="103"/>
    </w:p>
    <w:p w14:paraId="2A35F1FE">
      <w:pPr>
        <w:widowControl/>
        <w:autoSpaceDE w:val="0"/>
        <w:autoSpaceDN w:val="0"/>
        <w:adjustRightInd w:val="0"/>
        <w:snapToGrid w:val="0"/>
        <w:spacing w:line="360" w:lineRule="auto"/>
        <w:ind w:right="13" w:firstLine="480" w:firstLineChars="20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3.2.1  </w:t>
      </w:r>
      <w:r>
        <w:rPr>
          <w:rFonts w:ascii="宋体" w:hAnsi="宋体" w:cs="宋体"/>
          <w:snapToGrid w:val="0"/>
          <w:color w:val="000000" w:themeColor="text1"/>
          <w:kern w:val="0"/>
          <w:sz w:val="24"/>
          <w:highlight w:val="none"/>
          <w14:textFill>
            <w14:solidFill>
              <w14:schemeClr w14:val="tx1"/>
            </w14:solidFill>
          </w14:textFill>
        </w:rPr>
        <w:t xml:space="preserve">评标委员会按本章第 </w:t>
      </w:r>
      <w:r>
        <w:rPr>
          <w:rFonts w:eastAsia="Times New Roman"/>
          <w:snapToGrid w:val="0"/>
          <w:color w:val="000000" w:themeColor="text1"/>
          <w:kern w:val="0"/>
          <w:sz w:val="24"/>
          <w:highlight w:val="none"/>
          <w14:textFill>
            <w14:solidFill>
              <w14:schemeClr w14:val="tx1"/>
            </w14:solidFill>
          </w14:textFill>
        </w:rPr>
        <w:t xml:space="preserve">2.2 </w:t>
      </w:r>
      <w:r>
        <w:rPr>
          <w:rFonts w:ascii="宋体" w:hAnsi="宋体" w:cs="宋体"/>
          <w:snapToGrid w:val="0"/>
          <w:color w:val="000000" w:themeColor="text1"/>
          <w:kern w:val="0"/>
          <w:sz w:val="24"/>
          <w:highlight w:val="none"/>
          <w14:textFill>
            <w14:solidFill>
              <w14:schemeClr w14:val="tx1"/>
            </w14:solidFill>
          </w14:textFill>
        </w:rPr>
        <w:t>款规定的量化因素和分值进行</w:t>
      </w:r>
      <w:r>
        <w:rPr>
          <w:rFonts w:ascii="宋体" w:hAnsi="宋体" w:cs="宋体"/>
          <w:snapToGrid w:val="0"/>
          <w:color w:val="000000" w:themeColor="text1"/>
          <w:spacing w:val="-1"/>
          <w:kern w:val="0"/>
          <w:sz w:val="24"/>
          <w:highlight w:val="none"/>
          <w14:textFill>
            <w14:solidFill>
              <w14:schemeClr w14:val="tx1"/>
            </w14:solidFill>
          </w14:textFill>
        </w:rPr>
        <w:t>打分，并计算出各投标人</w:t>
      </w:r>
      <w:r>
        <w:rPr>
          <w:rFonts w:ascii="宋体" w:hAnsi="宋体" w:cs="宋体"/>
          <w:snapToGrid w:val="0"/>
          <w:color w:val="000000" w:themeColor="text1"/>
          <w:spacing w:val="-4"/>
          <w:kern w:val="0"/>
          <w:sz w:val="24"/>
          <w:highlight w:val="none"/>
          <w14:textFill>
            <w14:solidFill>
              <w14:schemeClr w14:val="tx1"/>
            </w14:solidFill>
          </w14:textFill>
        </w:rPr>
        <w:t>的商务和技术得分。</w:t>
      </w:r>
    </w:p>
    <w:p w14:paraId="3D2AE96A">
      <w:pPr>
        <w:widowControl/>
        <w:autoSpaceDE w:val="0"/>
        <w:autoSpaceDN w:val="0"/>
        <w:adjustRightInd w:val="0"/>
        <w:snapToGrid w:val="0"/>
        <w:spacing w:line="360" w:lineRule="auto"/>
        <w:ind w:left="11" w:right="80" w:firstLine="476" w:firstLineChars="202"/>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w:t>
      </w:r>
      <w:r>
        <w:rPr>
          <w:rFonts w:eastAsia="Times New Roman"/>
          <w:snapToGrid w:val="0"/>
          <w:color w:val="000000" w:themeColor="text1"/>
          <w:spacing w:val="-2"/>
          <w:kern w:val="0"/>
          <w:sz w:val="24"/>
          <w:highlight w:val="none"/>
          <w14:textFill>
            <w14:solidFill>
              <w14:schemeClr w14:val="tx1"/>
            </w14:solidFill>
          </w14:textFill>
        </w:rPr>
        <w:t>1</w:t>
      </w:r>
      <w:r>
        <w:rPr>
          <w:rFonts w:ascii="宋体" w:hAnsi="宋体" w:cs="宋体"/>
          <w:snapToGrid w:val="0"/>
          <w:color w:val="000000" w:themeColor="text1"/>
          <w:spacing w:val="-2"/>
          <w:kern w:val="0"/>
          <w:sz w:val="24"/>
          <w:highlight w:val="none"/>
          <w14:textFill>
            <w14:solidFill>
              <w14:schemeClr w14:val="tx1"/>
            </w14:solidFill>
          </w14:textFill>
        </w:rPr>
        <w:t xml:space="preserve">）按本章第 </w:t>
      </w:r>
      <w:r>
        <w:rPr>
          <w:rFonts w:eastAsia="Times New Roman"/>
          <w:snapToGrid w:val="0"/>
          <w:color w:val="000000" w:themeColor="text1"/>
          <w:spacing w:val="-2"/>
          <w:kern w:val="0"/>
          <w:sz w:val="24"/>
          <w:highlight w:val="none"/>
          <w14:textFill>
            <w14:solidFill>
              <w14:schemeClr w14:val="tx1"/>
            </w14:solidFill>
          </w14:textFill>
        </w:rPr>
        <w:t xml:space="preserve">2.2.2 </w:t>
      </w:r>
      <w:r>
        <w:rPr>
          <w:rFonts w:ascii="宋体" w:hAnsi="宋体" w:cs="宋体"/>
          <w:snapToGrid w:val="0"/>
          <w:color w:val="000000" w:themeColor="text1"/>
          <w:spacing w:val="-2"/>
          <w:kern w:val="0"/>
          <w:sz w:val="24"/>
          <w:highlight w:val="none"/>
          <w14:textFill>
            <w14:solidFill>
              <w14:schemeClr w14:val="tx1"/>
            </w14:solidFill>
          </w14:textFill>
        </w:rPr>
        <w:t>项（</w:t>
      </w:r>
      <w:r>
        <w:rPr>
          <w:rFonts w:eastAsia="Times New Roman"/>
          <w:snapToGrid w:val="0"/>
          <w:color w:val="000000" w:themeColor="text1"/>
          <w:spacing w:val="-2"/>
          <w:kern w:val="0"/>
          <w:sz w:val="24"/>
          <w:highlight w:val="none"/>
          <w14:textFill>
            <w14:solidFill>
              <w14:schemeClr w14:val="tx1"/>
            </w14:solidFill>
          </w14:textFill>
        </w:rPr>
        <w:t>1</w:t>
      </w:r>
      <w:r>
        <w:rPr>
          <w:rFonts w:ascii="宋体" w:hAnsi="宋体" w:cs="宋体"/>
          <w:snapToGrid w:val="0"/>
          <w:color w:val="000000" w:themeColor="text1"/>
          <w:spacing w:val="-2"/>
          <w:kern w:val="0"/>
          <w:sz w:val="24"/>
          <w:highlight w:val="none"/>
          <w14:textFill>
            <w14:solidFill>
              <w14:schemeClr w14:val="tx1"/>
            </w14:solidFill>
          </w14:textFill>
        </w:rPr>
        <w:t>）目规定的评审因素和分值对施工组织设计</w:t>
      </w:r>
      <w:r>
        <w:rPr>
          <w:rFonts w:ascii="宋体" w:hAnsi="宋体" w:cs="宋体"/>
          <w:snapToGrid w:val="0"/>
          <w:color w:val="000000" w:themeColor="text1"/>
          <w:spacing w:val="-2"/>
          <w:kern w:val="0"/>
          <w:sz w:val="24"/>
          <w:highlight w:val="none"/>
          <w:u w:val="single"/>
          <w14:textFill>
            <w14:solidFill>
              <w14:schemeClr w14:val="tx1"/>
            </w14:solidFill>
          </w14:textFill>
        </w:rPr>
        <w:t>及承包人项目管</w:t>
      </w:r>
      <w:r>
        <w:rPr>
          <w:rFonts w:ascii="宋体" w:hAnsi="宋体" w:cs="宋体"/>
          <w:snapToGrid w:val="0"/>
          <w:color w:val="000000" w:themeColor="text1"/>
          <w:spacing w:val="-1"/>
          <w:kern w:val="0"/>
          <w:sz w:val="24"/>
          <w:highlight w:val="none"/>
          <w:u w:val="single"/>
          <w14:textFill>
            <w14:solidFill>
              <w14:schemeClr w14:val="tx1"/>
            </w14:solidFill>
          </w14:textFill>
        </w:rPr>
        <w:t>理方案</w:t>
      </w:r>
      <w:r>
        <w:rPr>
          <w:rFonts w:ascii="宋体" w:hAnsi="宋体" w:cs="宋体"/>
          <w:snapToGrid w:val="0"/>
          <w:color w:val="000000" w:themeColor="text1"/>
          <w:spacing w:val="-1"/>
          <w:kern w:val="0"/>
          <w:sz w:val="24"/>
          <w:highlight w:val="none"/>
          <w14:textFill>
            <w14:solidFill>
              <w14:schemeClr w14:val="tx1"/>
            </w14:solidFill>
          </w14:textFill>
        </w:rPr>
        <w:t xml:space="preserve">部分计算出得分 </w:t>
      </w:r>
      <w:r>
        <w:rPr>
          <w:rFonts w:eastAsia="Times New Roman"/>
          <w:snapToGrid w:val="0"/>
          <w:color w:val="000000" w:themeColor="text1"/>
          <w:spacing w:val="-1"/>
          <w:kern w:val="0"/>
          <w:sz w:val="24"/>
          <w:highlight w:val="none"/>
          <w14:textFill>
            <w14:solidFill>
              <w14:schemeClr w14:val="tx1"/>
            </w14:solidFill>
          </w14:textFill>
        </w:rPr>
        <w:t>A</w:t>
      </w:r>
      <w:r>
        <w:rPr>
          <w:rFonts w:ascii="宋体" w:hAnsi="宋体" w:cs="宋体"/>
          <w:snapToGrid w:val="0"/>
          <w:color w:val="000000" w:themeColor="text1"/>
          <w:spacing w:val="-1"/>
          <w:kern w:val="0"/>
          <w:sz w:val="24"/>
          <w:highlight w:val="none"/>
          <w14:textFill>
            <w14:solidFill>
              <w14:schemeClr w14:val="tx1"/>
            </w14:solidFill>
          </w14:textFill>
        </w:rPr>
        <w:t>；</w:t>
      </w:r>
    </w:p>
    <w:p w14:paraId="5C8B8ED3">
      <w:pPr>
        <w:widowControl/>
        <w:autoSpaceDE w:val="0"/>
        <w:autoSpaceDN w:val="0"/>
        <w:adjustRightInd w:val="0"/>
        <w:snapToGrid w:val="0"/>
        <w:spacing w:line="360" w:lineRule="auto"/>
        <w:ind w:left="11" w:right="80" w:firstLine="472" w:firstLineChars="202"/>
        <w:jc w:val="left"/>
        <w:textAlignment w:val="baseline"/>
        <w:rPr>
          <w:rFonts w:hint="eastAsia" w:ascii="宋体" w:hAnsi="宋体" w:cs="宋体"/>
          <w:snapToGrid w:val="0"/>
          <w:color w:val="000000" w:themeColor="text1"/>
          <w:spacing w:val="-4"/>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w:t>
      </w:r>
      <w:r>
        <w:rPr>
          <w:rFonts w:eastAsia="Times New Roman"/>
          <w:snapToGrid w:val="0"/>
          <w:color w:val="000000" w:themeColor="text1"/>
          <w:spacing w:val="-3"/>
          <w:kern w:val="0"/>
          <w:sz w:val="24"/>
          <w:highlight w:val="none"/>
          <w14:textFill>
            <w14:solidFill>
              <w14:schemeClr w14:val="tx1"/>
            </w14:solidFill>
          </w14:textFill>
        </w:rPr>
        <w:t>2</w:t>
      </w:r>
      <w:r>
        <w:rPr>
          <w:rFonts w:ascii="宋体" w:hAnsi="宋体" w:cs="宋体"/>
          <w:snapToGrid w:val="0"/>
          <w:color w:val="000000" w:themeColor="text1"/>
          <w:spacing w:val="-3"/>
          <w:kern w:val="0"/>
          <w:sz w:val="24"/>
          <w:highlight w:val="none"/>
          <w14:textFill>
            <w14:solidFill>
              <w14:schemeClr w14:val="tx1"/>
            </w14:solidFill>
          </w14:textFill>
        </w:rPr>
        <w:t xml:space="preserve">）按本章第 </w:t>
      </w:r>
      <w:r>
        <w:rPr>
          <w:rFonts w:eastAsia="Times New Roman"/>
          <w:snapToGrid w:val="0"/>
          <w:color w:val="000000" w:themeColor="text1"/>
          <w:spacing w:val="-3"/>
          <w:kern w:val="0"/>
          <w:sz w:val="24"/>
          <w:highlight w:val="none"/>
          <w14:textFill>
            <w14:solidFill>
              <w14:schemeClr w14:val="tx1"/>
            </w14:solidFill>
          </w14:textFill>
        </w:rPr>
        <w:t xml:space="preserve">2.2.2 </w:t>
      </w:r>
      <w:r>
        <w:rPr>
          <w:rFonts w:ascii="宋体" w:hAnsi="宋体" w:cs="宋体"/>
          <w:snapToGrid w:val="0"/>
          <w:color w:val="000000" w:themeColor="text1"/>
          <w:spacing w:val="-3"/>
          <w:kern w:val="0"/>
          <w:sz w:val="24"/>
          <w:highlight w:val="none"/>
          <w14:textFill>
            <w14:solidFill>
              <w14:schemeClr w14:val="tx1"/>
            </w14:solidFill>
          </w14:textFill>
        </w:rPr>
        <w:t>项（</w:t>
      </w:r>
      <w:r>
        <w:rPr>
          <w:rFonts w:eastAsia="Times New Roman"/>
          <w:snapToGrid w:val="0"/>
          <w:color w:val="000000" w:themeColor="text1"/>
          <w:spacing w:val="-3"/>
          <w:kern w:val="0"/>
          <w:sz w:val="24"/>
          <w:highlight w:val="none"/>
          <w14:textFill>
            <w14:solidFill>
              <w14:schemeClr w14:val="tx1"/>
            </w14:solidFill>
          </w14:textFill>
        </w:rPr>
        <w:t>2</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65"/>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目规定的评审因素和分值对主要人员部分计算出得分</w:t>
      </w:r>
      <w:r>
        <w:rPr>
          <w:rFonts w:ascii="宋体" w:hAnsi="宋体" w:cs="宋体"/>
          <w:snapToGrid w:val="0"/>
          <w:color w:val="000000" w:themeColor="text1"/>
          <w:spacing w:val="-4"/>
          <w:kern w:val="0"/>
          <w:sz w:val="24"/>
          <w:highlight w:val="none"/>
          <w14:textFill>
            <w14:solidFill>
              <w14:schemeClr w14:val="tx1"/>
            </w14:solidFill>
          </w14:textFill>
        </w:rPr>
        <w:t xml:space="preserve"> </w:t>
      </w:r>
      <w:r>
        <w:rPr>
          <w:rFonts w:eastAsia="Times New Roman"/>
          <w:snapToGrid w:val="0"/>
          <w:color w:val="000000" w:themeColor="text1"/>
          <w:spacing w:val="-4"/>
          <w:kern w:val="0"/>
          <w:sz w:val="24"/>
          <w:highlight w:val="none"/>
          <w14:textFill>
            <w14:solidFill>
              <w14:schemeClr w14:val="tx1"/>
            </w14:solidFill>
          </w14:textFill>
        </w:rPr>
        <w:t>B</w:t>
      </w:r>
      <w:r>
        <w:rPr>
          <w:rFonts w:ascii="宋体" w:hAnsi="宋体" w:cs="宋体"/>
          <w:snapToGrid w:val="0"/>
          <w:color w:val="000000" w:themeColor="text1"/>
          <w:spacing w:val="-4"/>
          <w:kern w:val="0"/>
          <w:sz w:val="24"/>
          <w:highlight w:val="none"/>
          <w14:textFill>
            <w14:solidFill>
              <w14:schemeClr w14:val="tx1"/>
            </w14:solidFill>
          </w14:textFill>
        </w:rPr>
        <w:t>；</w:t>
      </w:r>
    </w:p>
    <w:p w14:paraId="080A7BB2">
      <w:pPr>
        <w:widowControl/>
        <w:autoSpaceDE w:val="0"/>
        <w:autoSpaceDN w:val="0"/>
        <w:adjustRightInd w:val="0"/>
        <w:snapToGrid w:val="0"/>
        <w:spacing w:line="360" w:lineRule="auto"/>
        <w:ind w:left="11" w:right="80" w:firstLine="476" w:firstLineChars="20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w:t>
      </w:r>
      <w:r>
        <w:rPr>
          <w:rFonts w:eastAsia="Times New Roman"/>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2"/>
          <w:kern w:val="0"/>
          <w:sz w:val="24"/>
          <w:highlight w:val="none"/>
          <w14:textFill>
            <w14:solidFill>
              <w14:schemeClr w14:val="tx1"/>
            </w14:solidFill>
          </w14:textFill>
        </w:rPr>
        <w:t xml:space="preserve">）按本章第 </w:t>
      </w:r>
      <w:r>
        <w:rPr>
          <w:rFonts w:eastAsia="Times New Roman"/>
          <w:snapToGrid w:val="0"/>
          <w:color w:val="000000" w:themeColor="text1"/>
          <w:spacing w:val="-2"/>
          <w:kern w:val="0"/>
          <w:sz w:val="24"/>
          <w:highlight w:val="none"/>
          <w14:textFill>
            <w14:solidFill>
              <w14:schemeClr w14:val="tx1"/>
            </w14:solidFill>
          </w14:textFill>
        </w:rPr>
        <w:t xml:space="preserve">2.2.2 </w:t>
      </w:r>
      <w:r>
        <w:rPr>
          <w:rFonts w:ascii="宋体" w:hAnsi="宋体" w:cs="宋体"/>
          <w:snapToGrid w:val="0"/>
          <w:color w:val="000000" w:themeColor="text1"/>
          <w:spacing w:val="-2"/>
          <w:kern w:val="0"/>
          <w:sz w:val="24"/>
          <w:highlight w:val="none"/>
          <w14:textFill>
            <w14:solidFill>
              <w14:schemeClr w14:val="tx1"/>
            </w14:solidFill>
          </w14:textFill>
        </w:rPr>
        <w:t>项（</w:t>
      </w:r>
      <w:r>
        <w:rPr>
          <w:rFonts w:eastAsia="Times New Roman"/>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57"/>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 xml:space="preserve">目规定的评审因素和分值对其他部分计算出得分 </w:t>
      </w:r>
      <w:r>
        <w:rPr>
          <w:rFonts w:eastAsia="Times New Roman"/>
          <w:snapToGrid w:val="0"/>
          <w:color w:val="000000" w:themeColor="text1"/>
          <w:spacing w:val="-2"/>
          <w:kern w:val="0"/>
          <w:sz w:val="24"/>
          <w:highlight w:val="none"/>
          <w14:textFill>
            <w14:solidFill>
              <w14:schemeClr w14:val="tx1"/>
            </w14:solidFill>
          </w14:textFill>
        </w:rPr>
        <w:t>C</w:t>
      </w:r>
      <w:r>
        <w:rPr>
          <w:rFonts w:ascii="宋体" w:hAnsi="宋体" w:cs="宋体"/>
          <w:snapToGrid w:val="0"/>
          <w:color w:val="000000" w:themeColor="text1"/>
          <w:spacing w:val="-2"/>
          <w:kern w:val="0"/>
          <w:sz w:val="24"/>
          <w:highlight w:val="none"/>
          <w14:textFill>
            <w14:solidFill>
              <w14:schemeClr w14:val="tx1"/>
            </w14:solidFill>
          </w14:textFill>
        </w:rPr>
        <w:t>。</w:t>
      </w:r>
    </w:p>
    <w:p w14:paraId="266F3BB1">
      <w:pPr>
        <w:widowControl/>
        <w:autoSpaceDE w:val="0"/>
        <w:autoSpaceDN w:val="0"/>
        <w:adjustRightInd w:val="0"/>
        <w:snapToGrid w:val="0"/>
        <w:spacing w:line="360" w:lineRule="auto"/>
        <w:ind w:left="7" w:right="152"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3.2.2  </w:t>
      </w:r>
      <w:r>
        <w:rPr>
          <w:rFonts w:ascii="宋体" w:hAnsi="宋体" w:cs="宋体"/>
          <w:snapToGrid w:val="0"/>
          <w:color w:val="000000" w:themeColor="text1"/>
          <w:spacing w:val="-1"/>
          <w:kern w:val="0"/>
          <w:sz w:val="24"/>
          <w:highlight w:val="none"/>
          <w14:textFill>
            <w14:solidFill>
              <w14:schemeClr w14:val="tx1"/>
            </w14:solidFill>
          </w14:textFill>
        </w:rPr>
        <w:t>投标人的商务和技术得分分值计算保留小数点后四位，小数点后第五位“</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四舍五</w:t>
      </w:r>
      <w:r>
        <w:rPr>
          <w:rFonts w:ascii="宋体" w:hAnsi="宋体" w:cs="宋体"/>
          <w:snapToGrid w:val="0"/>
          <w:color w:val="000000" w:themeColor="text1"/>
          <w:spacing w:val="-3"/>
          <w:kern w:val="0"/>
          <w:sz w:val="24"/>
          <w:highlight w:val="none"/>
          <w14:textFill>
            <w14:solidFill>
              <w14:schemeClr w14:val="tx1"/>
            </w14:solidFill>
          </w14:textFill>
        </w:rPr>
        <w:t>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p>
    <w:p w14:paraId="430CC299">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3.2.3  </w:t>
      </w:r>
      <w:r>
        <w:rPr>
          <w:rFonts w:ascii="宋体" w:hAnsi="宋体" w:cs="宋体"/>
          <w:snapToGrid w:val="0"/>
          <w:color w:val="000000" w:themeColor="text1"/>
          <w:spacing w:val="-1"/>
          <w:kern w:val="0"/>
          <w:sz w:val="24"/>
          <w:highlight w:val="none"/>
          <w14:textFill>
            <w14:solidFill>
              <w14:schemeClr w14:val="tx1"/>
            </w14:solidFill>
          </w14:textFill>
        </w:rPr>
        <w:t>投标人的商务和技术得分=A+B+C。</w:t>
      </w:r>
    </w:p>
    <w:p w14:paraId="07128A3E">
      <w:pPr>
        <w:widowControl/>
        <w:autoSpaceDE w:val="0"/>
        <w:autoSpaceDN w:val="0"/>
        <w:adjustRightInd w:val="0"/>
        <w:snapToGrid w:val="0"/>
        <w:spacing w:line="360" w:lineRule="auto"/>
        <w:ind w:left="11" w:right="80" w:firstLine="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除履约信誉得分外，投标文件第一个信封各评分因素细分项得分均不应低于其权重</w:t>
      </w:r>
      <w:r>
        <w:rPr>
          <w:rFonts w:ascii="宋体" w:hAnsi="宋体" w:cs="宋体"/>
          <w:snapToGrid w:val="0"/>
          <w:color w:val="000000" w:themeColor="text1"/>
          <w:spacing w:val="1"/>
          <w:kern w:val="0"/>
          <w:sz w:val="24"/>
          <w:highlight w:val="none"/>
          <w14:textFill>
            <w14:solidFill>
              <w14:schemeClr w14:val="tx1"/>
            </w14:solidFill>
          </w14:textFill>
        </w:rPr>
        <w:t>分的60%，评分低于权重分值</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60%的，评标委员会成员应当在评标报告中作</w:t>
      </w:r>
      <w:r>
        <w:rPr>
          <w:rFonts w:ascii="宋体" w:hAnsi="宋体" w:cs="宋体"/>
          <w:snapToGrid w:val="0"/>
          <w:color w:val="000000" w:themeColor="text1"/>
          <w:kern w:val="0"/>
          <w:sz w:val="24"/>
          <w:highlight w:val="none"/>
          <w14:textFill>
            <w14:solidFill>
              <w14:schemeClr w14:val="tx1"/>
            </w14:solidFill>
          </w14:textFill>
        </w:rPr>
        <w:t>出说明。</w:t>
      </w:r>
    </w:p>
    <w:p w14:paraId="7BD96A89">
      <w:pPr>
        <w:widowControl/>
        <w:autoSpaceDE w:val="0"/>
        <w:autoSpaceDN w:val="0"/>
        <w:adjustRightInd w:val="0"/>
        <w:snapToGrid w:val="0"/>
        <w:spacing w:line="360" w:lineRule="auto"/>
        <w:ind w:left="7" w:right="80"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评标委员会人数为</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9</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人时，计算投标人技术得分时:首先在评委技术评分中，采用</w:t>
      </w:r>
      <w:r>
        <w:rPr>
          <w:rFonts w:ascii="宋体" w:hAnsi="宋体" w:cs="宋体"/>
          <w:snapToGrid w:val="0"/>
          <w:color w:val="000000" w:themeColor="text1"/>
          <w:spacing w:val="-3"/>
          <w:kern w:val="0"/>
          <w:sz w:val="24"/>
          <w:highlight w:val="none"/>
          <w14:textFill>
            <w14:solidFill>
              <w14:schemeClr w14:val="tx1"/>
            </w14:solidFill>
          </w14:textFill>
        </w:rPr>
        <w:t>取消同一评委对同一标段各投标人评分总分的差值最大的</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名评委评</w:t>
      </w:r>
      <w:r>
        <w:rPr>
          <w:rFonts w:ascii="宋体" w:hAnsi="宋体" w:cs="宋体"/>
          <w:snapToGrid w:val="0"/>
          <w:color w:val="000000" w:themeColor="text1"/>
          <w:spacing w:val="-4"/>
          <w:kern w:val="0"/>
          <w:sz w:val="24"/>
          <w:highlight w:val="none"/>
          <w14:textFill>
            <w14:solidFill>
              <w14:schemeClr w14:val="tx1"/>
            </w14:solidFill>
          </w14:textFill>
        </w:rPr>
        <w:t>分分值（若有</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2</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名</w:t>
      </w:r>
      <w:r>
        <w:rPr>
          <w:rFonts w:ascii="宋体" w:hAnsi="宋体" w:cs="宋体"/>
          <w:snapToGrid w:val="0"/>
          <w:color w:val="000000" w:themeColor="text1"/>
          <w:spacing w:val="-3"/>
          <w:kern w:val="0"/>
          <w:sz w:val="24"/>
          <w:highlight w:val="none"/>
          <w14:textFill>
            <w14:solidFill>
              <w14:schemeClr w14:val="tx1"/>
            </w14:solidFill>
          </w14:textFill>
        </w:rPr>
        <w:t>或以上评委技术评分总分差值最大值相等时，则取消其中</w:t>
      </w:r>
      <w:r>
        <w:rPr>
          <w:rFonts w:ascii="宋体" w:hAnsi="宋体" w:cs="宋体"/>
          <w:snapToGrid w:val="0"/>
          <w:color w:val="000000" w:themeColor="text1"/>
          <w:spacing w:val="-16"/>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名评委的所有评分，具体办</w:t>
      </w:r>
      <w:r>
        <w:rPr>
          <w:rFonts w:ascii="宋体" w:hAnsi="宋体" w:cs="宋体"/>
          <w:snapToGrid w:val="0"/>
          <w:color w:val="000000" w:themeColor="text1"/>
          <w:spacing w:val="-1"/>
          <w:kern w:val="0"/>
          <w:sz w:val="24"/>
          <w:highlight w:val="none"/>
          <w14:textFill>
            <w14:solidFill>
              <w14:schemeClr w14:val="tx1"/>
            </w14:solidFill>
          </w14:textFill>
        </w:rPr>
        <w:t>法如下</w:t>
      </w:r>
      <w:r>
        <w:rPr>
          <w:rFonts w:ascii="宋体" w:hAnsi="宋体" w:cs="宋体"/>
          <w:snapToGrid w:val="0"/>
          <w:color w:val="000000" w:themeColor="text1"/>
          <w:spacing w:val="-10"/>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再对各评分因素细分项中取消一个最高、一个最低分后计算其算术平均</w:t>
      </w:r>
      <w:r>
        <w:rPr>
          <w:rFonts w:ascii="宋体" w:hAnsi="宋体" w:cs="宋体"/>
          <w:snapToGrid w:val="0"/>
          <w:color w:val="000000" w:themeColor="text1"/>
          <w:spacing w:val="-2"/>
          <w:kern w:val="0"/>
          <w:sz w:val="24"/>
          <w:highlight w:val="none"/>
          <w14:textFill>
            <w14:solidFill>
              <w14:schemeClr w14:val="tx1"/>
            </w14:solidFill>
          </w14:textFill>
        </w:rPr>
        <w:t>值的和为投标人的最终技术得分，平均值计算保留小数点后</w:t>
      </w:r>
      <w:r>
        <w:rPr>
          <w:rFonts w:ascii="宋体" w:hAnsi="宋体" w:cs="宋体"/>
          <w:snapToGrid w:val="0"/>
          <w:color w:val="000000" w:themeColor="text1"/>
          <w:spacing w:val="-3"/>
          <w:kern w:val="0"/>
          <w:sz w:val="24"/>
          <w:highlight w:val="none"/>
          <w14:textFill>
            <w14:solidFill>
              <w14:schemeClr w14:val="tx1"/>
            </w14:solidFill>
          </w14:textFill>
        </w:rPr>
        <w:t>四位，小数点后第五位“</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四舍五入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p>
    <w:p w14:paraId="544F96A1">
      <w:pPr>
        <w:widowControl/>
        <w:autoSpaceDE w:val="0"/>
        <w:autoSpaceDN w:val="0"/>
        <w:adjustRightInd w:val="0"/>
        <w:snapToGrid w:val="0"/>
        <w:spacing w:line="36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取消其中</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名评委所有评分的办法[ 办法一、办法</w:t>
      </w:r>
      <w:r>
        <w:rPr>
          <w:rFonts w:ascii="宋体" w:hAnsi="宋体" w:cs="宋体"/>
          <w:snapToGrid w:val="0"/>
          <w:color w:val="000000" w:themeColor="text1"/>
          <w:spacing w:val="-2"/>
          <w:kern w:val="0"/>
          <w:sz w:val="24"/>
          <w:highlight w:val="none"/>
          <w14:textFill>
            <w14:solidFill>
              <w14:schemeClr w14:val="tx1"/>
            </w14:solidFill>
          </w14:textFill>
        </w:rPr>
        <w:t>二任选一个。]</w:t>
      </w:r>
    </w:p>
    <w:p w14:paraId="4BDEA5A0">
      <w:pPr>
        <w:widowControl/>
        <w:autoSpaceDE w:val="0"/>
        <w:autoSpaceDN w:val="0"/>
        <w:adjustRightInd w:val="0"/>
        <w:snapToGrid w:val="0"/>
        <w:spacing w:line="360" w:lineRule="auto"/>
        <w:ind w:left="7" w:right="80"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办法一：依次按照以下流程</w:t>
      </w:r>
      <w:r>
        <w:rPr>
          <w:rFonts w:ascii="宋体" w:hAnsi="宋体" w:cs="宋体"/>
          <w:snapToGrid w:val="0"/>
          <w:color w:val="000000" w:themeColor="text1"/>
          <w:spacing w:val="-25"/>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1）对比上述出现技术评分总分差值最大值相等的</w:t>
      </w:r>
      <w:r>
        <w:rPr>
          <w:rFonts w:ascii="宋体" w:hAnsi="宋体" w:cs="宋体"/>
          <w:snapToGrid w:val="0"/>
          <w:color w:val="000000" w:themeColor="text1"/>
          <w:spacing w:val="-2"/>
          <w:kern w:val="0"/>
          <w:sz w:val="24"/>
          <w:highlight w:val="none"/>
          <w14:textFill>
            <w14:solidFill>
              <w14:schemeClr w14:val="tx1"/>
            </w14:solidFill>
          </w14:textFill>
        </w:rPr>
        <w:t>评委的次大差值（次大差值＝某一评委技术评分总分的最高分－该评委技术评分总分的</w:t>
      </w:r>
      <w:r>
        <w:rPr>
          <w:rFonts w:ascii="宋体" w:hAnsi="宋体" w:cs="宋体"/>
          <w:snapToGrid w:val="0"/>
          <w:color w:val="000000" w:themeColor="text1"/>
          <w:kern w:val="0"/>
          <w:sz w:val="24"/>
          <w:highlight w:val="none"/>
          <w14:textFill>
            <w14:solidFill>
              <w14:schemeClr w14:val="tx1"/>
            </w14:solidFill>
          </w14:textFill>
        </w:rPr>
        <w:t>次低分</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取消次大差值最大的评委所有评分</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2）如次大差值仍相同，则按随机抽</w:t>
      </w:r>
      <w:r>
        <w:rPr>
          <w:rFonts w:ascii="宋体" w:hAnsi="宋体" w:cs="宋体"/>
          <w:snapToGrid w:val="0"/>
          <w:color w:val="000000" w:themeColor="text1"/>
          <w:spacing w:val="-4"/>
          <w:kern w:val="0"/>
          <w:sz w:val="24"/>
          <w:highlight w:val="none"/>
          <w14:textFill>
            <w14:solidFill>
              <w14:schemeClr w14:val="tx1"/>
            </w14:solidFill>
          </w14:textFill>
        </w:rPr>
        <w:t>取的方式选定取消</w:t>
      </w:r>
      <w:r>
        <w:rPr>
          <w:rFonts w:ascii="宋体" w:hAnsi="宋体" w:cs="宋体"/>
          <w:snapToGrid w:val="0"/>
          <w:color w:val="000000" w:themeColor="text1"/>
          <w:spacing w:val="-22"/>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1</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名评委评分。</w:t>
      </w:r>
    </w:p>
    <w:p w14:paraId="37E92124">
      <w:pPr>
        <w:widowControl/>
        <w:autoSpaceDE w:val="0"/>
        <w:autoSpaceDN w:val="0"/>
        <w:adjustRightInd w:val="0"/>
        <w:snapToGrid w:val="0"/>
        <w:spacing w:line="360" w:lineRule="auto"/>
        <w:ind w:left="7" w:firstLine="48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示例:同一评委对</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5</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名投标人技术评分总分分别为:6.65（最高分</w:t>
      </w:r>
      <w:r>
        <w:rPr>
          <w:rFonts w:ascii="宋体" w:hAnsi="宋体" w:cs="宋体"/>
          <w:snapToGrid w:val="0"/>
          <w:color w:val="000000" w:themeColor="text1"/>
          <w:spacing w:val="-1"/>
          <w:kern w:val="0"/>
          <w:sz w:val="24"/>
          <w:highlight w:val="none"/>
          <w14:textFill>
            <w14:solidFill>
              <w14:schemeClr w14:val="tx1"/>
            </w14:solidFill>
          </w14:textFill>
        </w:rPr>
        <w:t>)、5.88、5.11、</w:t>
      </w:r>
      <w:r>
        <w:rPr>
          <w:rFonts w:ascii="宋体" w:hAnsi="宋体" w:cs="宋体"/>
          <w:snapToGrid w:val="0"/>
          <w:color w:val="000000" w:themeColor="text1"/>
          <w:kern w:val="0"/>
          <w:sz w:val="24"/>
          <w:highlight w:val="none"/>
          <w14:textFill>
            <w14:solidFill>
              <w14:schemeClr w14:val="tx1"/>
            </w14:solidFill>
          </w14:textFill>
        </w:rPr>
        <w:t xml:space="preserve"> </w:t>
      </w:r>
      <w:r>
        <w:rPr>
          <w:rFonts w:ascii="宋体" w:hAnsi="宋体" w:cs="宋体"/>
          <w:snapToGrid w:val="0"/>
          <w:color w:val="000000" w:themeColor="text1"/>
          <w:spacing w:val="-8"/>
          <w:kern w:val="0"/>
          <w:sz w:val="24"/>
          <w:highlight w:val="none"/>
          <w14:textFill>
            <w14:solidFill>
              <w14:schemeClr w14:val="tx1"/>
            </w14:solidFill>
          </w14:textFill>
        </w:rPr>
        <w:t>4.90（次低分）、4.55（最低分</w:t>
      </w:r>
      <w:r>
        <w:rPr>
          <w:rFonts w:ascii="宋体" w:hAnsi="宋体" w:cs="宋体"/>
          <w:snapToGrid w:val="0"/>
          <w:color w:val="000000" w:themeColor="text1"/>
          <w:spacing w:val="-35"/>
          <w:kern w:val="0"/>
          <w:sz w:val="24"/>
          <w:highlight w:val="none"/>
          <w14:textFill>
            <w14:solidFill>
              <w14:schemeClr w14:val="tx1"/>
            </w14:solidFill>
          </w14:textFill>
        </w:rPr>
        <w:t>），</w:t>
      </w:r>
      <w:r>
        <w:rPr>
          <w:rFonts w:ascii="宋体" w:hAnsi="宋体" w:cs="宋体"/>
          <w:snapToGrid w:val="0"/>
          <w:color w:val="000000" w:themeColor="text1"/>
          <w:spacing w:val="-8"/>
          <w:kern w:val="0"/>
          <w:sz w:val="24"/>
          <w:highlight w:val="none"/>
          <w14:textFill>
            <w14:solidFill>
              <w14:schemeClr w14:val="tx1"/>
            </w14:solidFill>
          </w14:textFill>
        </w:rPr>
        <w:t>则其最大差值为</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8"/>
          <w:kern w:val="0"/>
          <w:sz w:val="24"/>
          <w:highlight w:val="none"/>
          <w14:textFill>
            <w14:solidFill>
              <w14:schemeClr w14:val="tx1"/>
            </w14:solidFill>
          </w14:textFill>
        </w:rPr>
        <w:t>2.1、次大差值为</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8"/>
          <w:kern w:val="0"/>
          <w:sz w:val="24"/>
          <w:highlight w:val="none"/>
          <w14:textFill>
            <w14:solidFill>
              <w14:schemeClr w14:val="tx1"/>
            </w14:solidFill>
          </w14:textFill>
        </w:rPr>
        <w:t>6.65-</w:t>
      </w:r>
      <w:r>
        <w:rPr>
          <w:rFonts w:ascii="宋体" w:hAnsi="宋体" w:cs="宋体"/>
          <w:snapToGrid w:val="0"/>
          <w:color w:val="000000" w:themeColor="text1"/>
          <w:spacing w:val="-9"/>
          <w:kern w:val="0"/>
          <w:sz w:val="24"/>
          <w:highlight w:val="none"/>
          <w14:textFill>
            <w14:solidFill>
              <w14:schemeClr w14:val="tx1"/>
            </w14:solidFill>
          </w14:textFill>
        </w:rPr>
        <w:t>4.90=1.75）。</w:t>
      </w:r>
    </w:p>
    <w:p w14:paraId="5E8A8ECC">
      <w:pPr>
        <w:widowControl/>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办法二：按随机抽取的方式选定取消</w:t>
      </w:r>
      <w:r>
        <w:rPr>
          <w:rFonts w:ascii="宋体" w:hAnsi="宋体" w:cs="宋体"/>
          <w:snapToGrid w:val="0"/>
          <w:color w:val="000000" w:themeColor="text1"/>
          <w:spacing w:val="-19"/>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1</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名评委评分。</w:t>
      </w:r>
    </w:p>
    <w:p w14:paraId="5F9C48AD">
      <w:pPr>
        <w:widowControl/>
        <w:autoSpaceDE w:val="0"/>
        <w:autoSpaceDN w:val="0"/>
        <w:adjustRightInd w:val="0"/>
        <w:snapToGrid w:val="0"/>
        <w:spacing w:line="360" w:lineRule="auto"/>
        <w:ind w:left="8" w:right="80" w:firstLine="47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评标委员会人数为</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7</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人时，计算投标人技术得分时:对各评分因素细分项中取消一</w:t>
      </w:r>
      <w:r>
        <w:rPr>
          <w:rFonts w:ascii="宋体" w:hAnsi="宋体" w:cs="宋体"/>
          <w:snapToGrid w:val="0"/>
          <w:color w:val="000000" w:themeColor="text1"/>
          <w:spacing w:val="-2"/>
          <w:kern w:val="0"/>
          <w:sz w:val="24"/>
          <w:highlight w:val="none"/>
          <w14:textFill>
            <w14:solidFill>
              <w14:schemeClr w14:val="tx1"/>
            </w14:solidFill>
          </w14:textFill>
        </w:rPr>
        <w:t>个最高、一个最低分后计算算术平均值的和为投标人的最终技术得分，平均值计算保留</w:t>
      </w:r>
      <w:r>
        <w:rPr>
          <w:rFonts w:ascii="宋体" w:hAnsi="宋体" w:cs="宋体"/>
          <w:snapToGrid w:val="0"/>
          <w:color w:val="000000" w:themeColor="text1"/>
          <w:spacing w:val="-3"/>
          <w:kern w:val="0"/>
          <w:sz w:val="24"/>
          <w:highlight w:val="none"/>
          <w14:textFill>
            <w14:solidFill>
              <w14:schemeClr w14:val="tx1"/>
            </w14:solidFill>
          </w14:textFill>
        </w:rPr>
        <w:t>小数点后四位，小数点后第五位“</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四舍五入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27"/>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。如果特殊原因评</w:t>
      </w:r>
      <w:r>
        <w:rPr>
          <w:rFonts w:ascii="宋体" w:hAnsi="宋体" w:cs="宋体"/>
          <w:snapToGrid w:val="0"/>
          <w:color w:val="000000" w:themeColor="text1"/>
          <w:spacing w:val="-4"/>
          <w:kern w:val="0"/>
          <w:sz w:val="24"/>
          <w:highlight w:val="none"/>
          <w14:textFill>
            <w14:solidFill>
              <w14:schemeClr w14:val="tx1"/>
            </w14:solidFill>
          </w14:textFill>
        </w:rPr>
        <w:t>标委员会人数由</w:t>
      </w:r>
      <w:r>
        <w:rPr>
          <w:rFonts w:ascii="宋体" w:hAnsi="宋体" w:cs="宋体"/>
          <w:snapToGrid w:val="0"/>
          <w:color w:val="000000" w:themeColor="text1"/>
          <w:spacing w:val="-4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7</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人</w:t>
      </w:r>
      <w:bookmarkStart w:id="104" w:name="bookmark250"/>
      <w:bookmarkEnd w:id="104"/>
      <w:r>
        <w:rPr>
          <w:rFonts w:ascii="宋体" w:hAnsi="宋体" w:cs="宋体"/>
          <w:snapToGrid w:val="0"/>
          <w:color w:val="000000" w:themeColor="text1"/>
          <w:spacing w:val="-1"/>
          <w:kern w:val="0"/>
          <w:sz w:val="24"/>
          <w:highlight w:val="none"/>
          <w14:textFill>
            <w14:solidFill>
              <w14:schemeClr w14:val="tx1"/>
            </w14:solidFill>
          </w14:textFill>
        </w:rPr>
        <w:t>变为</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5</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人的情形，计算投标人技术得分时:对各评分因素细分项算术平均值的和为投标</w:t>
      </w:r>
      <w:r>
        <w:rPr>
          <w:rFonts w:ascii="宋体" w:hAnsi="宋体" w:cs="宋体"/>
          <w:snapToGrid w:val="0"/>
          <w:color w:val="000000" w:themeColor="text1"/>
          <w:spacing w:val="-2"/>
          <w:kern w:val="0"/>
          <w:sz w:val="24"/>
          <w:highlight w:val="none"/>
          <w14:textFill>
            <w14:solidFill>
              <w14:schemeClr w14:val="tx1"/>
            </w14:solidFill>
          </w14:textFill>
        </w:rPr>
        <w:t>人的最终技术得分，平均值计算保留小数点后四位，小数点后第五位“</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四舍五入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p>
    <w:p w14:paraId="09BEBDEB">
      <w:pPr>
        <w:widowControl/>
        <w:autoSpaceDE w:val="0"/>
        <w:autoSpaceDN w:val="0"/>
        <w:adjustRightInd w:val="0"/>
        <w:snapToGrid w:val="0"/>
        <w:spacing w:line="360" w:lineRule="auto"/>
        <w:ind w:left="8" w:right="152"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3.2.4  </w:t>
      </w:r>
      <w:r>
        <w:rPr>
          <w:rFonts w:ascii="宋体" w:hAnsi="宋体" w:cs="宋体"/>
          <w:snapToGrid w:val="0"/>
          <w:color w:val="000000" w:themeColor="text1"/>
          <w:kern w:val="0"/>
          <w:sz w:val="24"/>
          <w:highlight w:val="none"/>
          <w14:textFill>
            <w14:solidFill>
              <w14:schemeClr w14:val="tx1"/>
            </w14:solidFill>
          </w14:textFill>
        </w:rPr>
        <w:t>评标委员会按照投标人的商务和技术得分由高到低排序</w:t>
      </w:r>
      <w:r>
        <w:rPr>
          <w:rFonts w:ascii="宋体" w:hAnsi="宋体" w:cs="宋体"/>
          <w:snapToGrid w:val="0"/>
          <w:color w:val="000000" w:themeColor="text1"/>
          <w:spacing w:val="-1"/>
          <w:kern w:val="0"/>
          <w:sz w:val="24"/>
          <w:highlight w:val="none"/>
          <w14:textFill>
            <w14:solidFill>
              <w14:schemeClr w14:val="tx1"/>
            </w14:solidFill>
          </w14:textFill>
        </w:rPr>
        <w:t>，排名在评标办法前附表</w:t>
      </w:r>
      <w:r>
        <w:rPr>
          <w:rFonts w:ascii="宋体" w:hAnsi="宋体" w:cs="宋体"/>
          <w:snapToGrid w:val="0"/>
          <w:color w:val="000000" w:themeColor="text1"/>
          <w:kern w:val="0"/>
          <w:sz w:val="24"/>
          <w:highlight w:val="none"/>
          <w14:textFill>
            <w14:solidFill>
              <w14:schemeClr w14:val="tx1"/>
            </w14:solidFill>
          </w14:textFill>
        </w:rPr>
        <w:t>规定数量以内的投标人，其投标文件第一个信封（商务及</w:t>
      </w:r>
      <w:r>
        <w:rPr>
          <w:rFonts w:ascii="宋体" w:hAnsi="宋体" w:cs="宋体"/>
          <w:snapToGrid w:val="0"/>
          <w:color w:val="000000" w:themeColor="text1"/>
          <w:spacing w:val="-1"/>
          <w:kern w:val="0"/>
          <w:sz w:val="24"/>
          <w:highlight w:val="none"/>
          <w14:textFill>
            <w14:solidFill>
              <w14:schemeClr w14:val="tx1"/>
            </w14:solidFill>
          </w14:textFill>
        </w:rPr>
        <w:t>技术文件）通过详细评审。</w:t>
      </w:r>
    </w:p>
    <w:p w14:paraId="723ED65D">
      <w:pPr>
        <w:widowControl/>
        <w:autoSpaceDE w:val="0"/>
        <w:autoSpaceDN w:val="0"/>
        <w:adjustRightInd w:val="0"/>
        <w:snapToGrid w:val="0"/>
        <w:spacing w:line="360" w:lineRule="auto"/>
        <w:ind w:left="7" w:right="80"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3.2.5  </w:t>
      </w:r>
      <w:r>
        <w:rPr>
          <w:rFonts w:ascii="宋体" w:hAnsi="宋体" w:cs="宋体"/>
          <w:snapToGrid w:val="0"/>
          <w:color w:val="000000" w:themeColor="text1"/>
          <w:kern w:val="0"/>
          <w:sz w:val="24"/>
          <w:highlight w:val="none"/>
          <w14:textFill>
            <w14:solidFill>
              <w14:schemeClr w14:val="tx1"/>
            </w14:solidFill>
          </w14:textFill>
        </w:rPr>
        <w:t>通过投标文件第一个信封（商务及技术文件）初步评审的投</w:t>
      </w:r>
      <w:r>
        <w:rPr>
          <w:rFonts w:ascii="宋体" w:hAnsi="宋体" w:cs="宋体"/>
          <w:snapToGrid w:val="0"/>
          <w:color w:val="000000" w:themeColor="text1"/>
          <w:spacing w:val="-1"/>
          <w:kern w:val="0"/>
          <w:sz w:val="24"/>
          <w:highlight w:val="none"/>
          <w14:textFill>
            <w14:solidFill>
              <w14:schemeClr w14:val="tx1"/>
            </w14:solidFill>
          </w14:textFill>
        </w:rPr>
        <w:t xml:space="preserve">标人不少于 </w:t>
      </w:r>
      <w:r>
        <w:rPr>
          <w:rFonts w:eastAsia="Times New Roman"/>
          <w:snapToGrid w:val="0"/>
          <w:color w:val="000000" w:themeColor="text1"/>
          <w:spacing w:val="-1"/>
          <w:kern w:val="0"/>
          <w:sz w:val="24"/>
          <w:highlight w:val="none"/>
          <w14:textFill>
            <w14:solidFill>
              <w14:schemeClr w14:val="tx1"/>
            </w14:solidFill>
          </w14:textFill>
        </w:rPr>
        <w:t xml:space="preserve">3 </w:t>
      </w:r>
      <w:r>
        <w:rPr>
          <w:rFonts w:ascii="宋体" w:hAnsi="宋体" w:cs="宋体"/>
          <w:snapToGrid w:val="0"/>
          <w:color w:val="000000" w:themeColor="text1"/>
          <w:spacing w:val="-1"/>
          <w:kern w:val="0"/>
          <w:sz w:val="24"/>
          <w:highlight w:val="none"/>
          <w14:textFill>
            <w14:solidFill>
              <w14:schemeClr w14:val="tx1"/>
            </w14:solidFill>
          </w14:textFill>
        </w:rPr>
        <w:t xml:space="preserve">个且未超过评标办法前附表第 </w:t>
      </w:r>
      <w:r>
        <w:rPr>
          <w:rFonts w:eastAsia="Times New Roman"/>
          <w:snapToGrid w:val="0"/>
          <w:color w:val="000000" w:themeColor="text1"/>
          <w:spacing w:val="-1"/>
          <w:kern w:val="0"/>
          <w:sz w:val="24"/>
          <w:highlight w:val="none"/>
          <w14:textFill>
            <w14:solidFill>
              <w14:schemeClr w14:val="tx1"/>
            </w14:solidFill>
          </w14:textFill>
        </w:rPr>
        <w:t xml:space="preserve">3.2.4 </w:t>
      </w:r>
      <w:r>
        <w:rPr>
          <w:rFonts w:ascii="宋体" w:hAnsi="宋体" w:cs="宋体"/>
          <w:snapToGrid w:val="0"/>
          <w:color w:val="000000" w:themeColor="text1"/>
          <w:spacing w:val="-1"/>
          <w:kern w:val="0"/>
          <w:sz w:val="24"/>
          <w:highlight w:val="none"/>
          <w14:textFill>
            <w14:solidFill>
              <w14:schemeClr w14:val="tx1"/>
            </w14:solidFill>
          </w14:textFill>
        </w:rPr>
        <w:t>项规定数量的，均通过</w:t>
      </w:r>
      <w:r>
        <w:rPr>
          <w:rFonts w:ascii="宋体" w:hAnsi="宋体" w:cs="宋体"/>
          <w:snapToGrid w:val="0"/>
          <w:color w:val="000000" w:themeColor="text1"/>
          <w:spacing w:val="-2"/>
          <w:kern w:val="0"/>
          <w:sz w:val="24"/>
          <w:highlight w:val="none"/>
          <w14:textFill>
            <w14:solidFill>
              <w14:schemeClr w14:val="tx1"/>
            </w14:solidFill>
          </w14:textFill>
        </w:rPr>
        <w:t>投标文件第一个信封（商务及技术</w:t>
      </w:r>
      <w:r>
        <w:rPr>
          <w:rFonts w:ascii="宋体" w:hAnsi="宋体" w:cs="宋体"/>
          <w:snapToGrid w:val="0"/>
          <w:color w:val="000000" w:themeColor="text1"/>
          <w:spacing w:val="-1"/>
          <w:kern w:val="0"/>
          <w:sz w:val="24"/>
          <w:highlight w:val="none"/>
          <w14:textFill>
            <w14:solidFill>
              <w14:schemeClr w14:val="tx1"/>
            </w14:solidFill>
          </w14:textFill>
        </w:rPr>
        <w:t>文件）详细评审，不再对投标人的商务和技术文件进行评分。</w:t>
      </w:r>
    </w:p>
    <w:p w14:paraId="3583724B">
      <w:pPr>
        <w:pStyle w:val="6"/>
        <w:spacing w:before="168" w:after="120"/>
        <w:rPr>
          <w:color w:val="000000" w:themeColor="text1"/>
          <w:highlight w:val="none"/>
          <w14:textFill>
            <w14:solidFill>
              <w14:schemeClr w14:val="tx1"/>
            </w14:solidFill>
          </w14:textFill>
        </w:rPr>
      </w:pPr>
      <w:bookmarkStart w:id="105" w:name="_Toc4144"/>
      <w:r>
        <w:rPr>
          <w:color w:val="000000" w:themeColor="text1"/>
          <w:highlight w:val="none"/>
          <w14:textFill>
            <w14:solidFill>
              <w14:schemeClr w14:val="tx1"/>
            </w14:solidFill>
          </w14:textFill>
        </w:rPr>
        <w:t>3.3 第二个信封开标</w:t>
      </w:r>
      <w:bookmarkEnd w:id="105"/>
    </w:p>
    <w:p w14:paraId="2F16D057">
      <w:pPr>
        <w:widowControl/>
        <w:kinsoku w:val="0"/>
        <w:autoSpaceDE w:val="0"/>
        <w:autoSpaceDN w:val="0"/>
        <w:adjustRightInd w:val="0"/>
        <w:snapToGrid w:val="0"/>
        <w:spacing w:before="179" w:line="360" w:lineRule="auto"/>
        <w:ind w:left="8" w:right="80"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第一个信封（商务及技术文件）评审结束后，招标人将按照第二章</w:t>
      </w:r>
      <w:r>
        <w:rPr>
          <w:rFonts w:hint="eastAsia"/>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投标人须知</w:t>
      </w:r>
      <w:r>
        <w:rPr>
          <w:rFonts w:hint="eastAsia"/>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第</w:t>
      </w:r>
      <w:r>
        <w:rPr>
          <w:rFonts w:ascii="宋体" w:hAnsi="宋体" w:cs="宋体"/>
          <w:snapToGrid w:val="0"/>
          <w:color w:val="000000" w:themeColor="text1"/>
          <w:spacing w:val="-49"/>
          <w:kern w:val="0"/>
          <w:sz w:val="24"/>
          <w:highlight w:val="none"/>
          <w14:textFill>
            <w14:solidFill>
              <w14:schemeClr w14:val="tx1"/>
            </w14:solidFill>
          </w14:textFill>
        </w:rPr>
        <w:t xml:space="preserve"> </w:t>
      </w:r>
      <w:r>
        <w:rPr>
          <w:rFonts w:eastAsia="Times New Roman"/>
          <w:snapToGrid w:val="0"/>
          <w:color w:val="000000" w:themeColor="text1"/>
          <w:spacing w:val="-1"/>
          <w:kern w:val="0"/>
          <w:sz w:val="24"/>
          <w:highlight w:val="none"/>
          <w14:textFill>
            <w14:solidFill>
              <w14:schemeClr w14:val="tx1"/>
            </w14:solidFill>
          </w14:textFill>
        </w:rPr>
        <w:t>5.1</w:t>
      </w:r>
      <w:r>
        <w:rPr>
          <w:rFonts w:ascii="宋体" w:hAnsi="宋体" w:cs="宋体"/>
          <w:snapToGrid w:val="0"/>
          <w:color w:val="000000" w:themeColor="text1"/>
          <w:spacing w:val="-2"/>
          <w:kern w:val="0"/>
          <w:sz w:val="24"/>
          <w:highlight w:val="none"/>
          <w14:textFill>
            <w14:solidFill>
              <w14:schemeClr w14:val="tx1"/>
            </w14:solidFill>
          </w14:textFill>
        </w:rPr>
        <w:t>款规定的时间和地点对通过投标文件第一个信封（商务及技术文件）评审的投标文件第</w:t>
      </w:r>
      <w:r>
        <w:rPr>
          <w:rFonts w:ascii="宋体" w:hAnsi="宋体" w:cs="宋体"/>
          <w:snapToGrid w:val="0"/>
          <w:color w:val="000000" w:themeColor="text1"/>
          <w:spacing w:val="-1"/>
          <w:kern w:val="0"/>
          <w:sz w:val="24"/>
          <w:highlight w:val="none"/>
          <w14:textFill>
            <w14:solidFill>
              <w14:schemeClr w14:val="tx1"/>
            </w14:solidFill>
          </w14:textFill>
        </w:rPr>
        <w:t>二个信封（报价文件）进行开标。</w:t>
      </w:r>
    </w:p>
    <w:p w14:paraId="68EB76B8">
      <w:pPr>
        <w:pStyle w:val="6"/>
        <w:spacing w:before="168" w:after="120"/>
        <w:rPr>
          <w:color w:val="000000" w:themeColor="text1"/>
          <w:highlight w:val="none"/>
          <w14:textFill>
            <w14:solidFill>
              <w14:schemeClr w14:val="tx1"/>
            </w14:solidFill>
          </w14:textFill>
        </w:rPr>
      </w:pPr>
      <w:bookmarkStart w:id="106" w:name="_Toc19772"/>
      <w:r>
        <w:rPr>
          <w:color w:val="000000" w:themeColor="text1"/>
          <w:highlight w:val="none"/>
          <w14:textFill>
            <w14:solidFill>
              <w14:schemeClr w14:val="tx1"/>
            </w14:solidFill>
          </w14:textFill>
        </w:rPr>
        <w:t>3.4 第二个信封初步评审</w:t>
      </w:r>
      <w:bookmarkEnd w:id="106"/>
    </w:p>
    <w:p w14:paraId="161A2235">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3.4.1  </w:t>
      </w:r>
      <w:r>
        <w:rPr>
          <w:rFonts w:ascii="宋体" w:hAnsi="宋体" w:cs="宋体"/>
          <w:snapToGrid w:val="0"/>
          <w:color w:val="000000" w:themeColor="text1"/>
          <w:kern w:val="0"/>
          <w:sz w:val="24"/>
          <w:highlight w:val="none"/>
          <w14:textFill>
            <w14:solidFill>
              <w14:schemeClr w14:val="tx1"/>
            </w14:solidFill>
          </w14:textFill>
        </w:rPr>
        <w:t xml:space="preserve">评标委员会依据本章第 </w:t>
      </w:r>
      <w:r>
        <w:rPr>
          <w:rFonts w:eastAsia="Times New Roman"/>
          <w:snapToGrid w:val="0"/>
          <w:color w:val="000000" w:themeColor="text1"/>
          <w:kern w:val="0"/>
          <w:sz w:val="24"/>
          <w:highlight w:val="none"/>
          <w14:textFill>
            <w14:solidFill>
              <w14:schemeClr w14:val="tx1"/>
            </w14:solidFill>
          </w14:textFill>
        </w:rPr>
        <w:t xml:space="preserve">2.1.1 </w:t>
      </w:r>
      <w:r>
        <w:rPr>
          <w:rFonts w:ascii="宋体" w:hAnsi="宋体" w:cs="宋体"/>
          <w:snapToGrid w:val="0"/>
          <w:color w:val="000000" w:themeColor="text1"/>
          <w:kern w:val="0"/>
          <w:sz w:val="24"/>
          <w:highlight w:val="none"/>
          <w14:textFill>
            <w14:solidFill>
              <w14:schemeClr w14:val="tx1"/>
            </w14:solidFill>
          </w14:textFill>
        </w:rPr>
        <w:t xml:space="preserve">项、第 </w:t>
      </w:r>
      <w:r>
        <w:rPr>
          <w:rFonts w:eastAsia="Times New Roman"/>
          <w:snapToGrid w:val="0"/>
          <w:color w:val="000000" w:themeColor="text1"/>
          <w:kern w:val="0"/>
          <w:sz w:val="24"/>
          <w:highlight w:val="none"/>
          <w14:textFill>
            <w14:solidFill>
              <w14:schemeClr w14:val="tx1"/>
            </w14:solidFill>
          </w14:textFill>
        </w:rPr>
        <w:t xml:space="preserve">2.1.3 </w:t>
      </w:r>
      <w:r>
        <w:rPr>
          <w:rFonts w:ascii="宋体" w:hAnsi="宋体" w:cs="宋体"/>
          <w:snapToGrid w:val="0"/>
          <w:color w:val="000000" w:themeColor="text1"/>
          <w:kern w:val="0"/>
          <w:sz w:val="24"/>
          <w:highlight w:val="none"/>
          <w14:textFill>
            <w14:solidFill>
              <w14:schemeClr w14:val="tx1"/>
            </w14:solidFill>
          </w14:textFill>
        </w:rPr>
        <w:t>项规定的评</w:t>
      </w:r>
      <w:r>
        <w:rPr>
          <w:rFonts w:ascii="宋体" w:hAnsi="宋体" w:cs="宋体"/>
          <w:snapToGrid w:val="0"/>
          <w:color w:val="000000" w:themeColor="text1"/>
          <w:spacing w:val="-1"/>
          <w:kern w:val="0"/>
          <w:sz w:val="24"/>
          <w:highlight w:val="none"/>
          <w14:textFill>
            <w14:solidFill>
              <w14:schemeClr w14:val="tx1"/>
            </w14:solidFill>
          </w14:textFill>
        </w:rPr>
        <w:t>审标准对投标文件第二个</w:t>
      </w:r>
      <w:r>
        <w:rPr>
          <w:rFonts w:ascii="宋体" w:hAnsi="宋体" w:cs="宋体"/>
          <w:snapToGrid w:val="0"/>
          <w:color w:val="000000" w:themeColor="text1"/>
          <w:spacing w:val="-6"/>
          <w:kern w:val="0"/>
          <w:sz w:val="24"/>
          <w:highlight w:val="none"/>
          <w14:textFill>
            <w14:solidFill>
              <w14:schemeClr w14:val="tx1"/>
            </w14:solidFill>
          </w14:textFill>
        </w:rPr>
        <w:t>信封（报价文件）进行初步评审。有一项不符合评审标准的，评标委员会应否决其投标。</w:t>
      </w:r>
    </w:p>
    <w:p w14:paraId="3240EC82">
      <w:pPr>
        <w:widowControl/>
        <w:autoSpaceDE w:val="0"/>
        <w:autoSpaceDN w:val="0"/>
        <w:adjustRightInd w:val="0"/>
        <w:snapToGrid w:val="0"/>
        <w:spacing w:line="360" w:lineRule="auto"/>
        <w:ind w:left="8" w:right="80"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3.4.2  </w:t>
      </w:r>
      <w:r>
        <w:rPr>
          <w:rFonts w:ascii="宋体" w:hAnsi="宋体" w:cs="宋体"/>
          <w:snapToGrid w:val="0"/>
          <w:color w:val="000000" w:themeColor="text1"/>
          <w:kern w:val="0"/>
          <w:sz w:val="24"/>
          <w:highlight w:val="none"/>
          <w14:textFill>
            <w14:solidFill>
              <w14:schemeClr w14:val="tx1"/>
            </w14:solidFill>
          </w14:textFill>
        </w:rPr>
        <w:t>投标报价有算术错误的，评标委员会按以下原则对投标</w:t>
      </w:r>
      <w:r>
        <w:rPr>
          <w:rFonts w:ascii="宋体" w:hAnsi="宋体" w:cs="宋体"/>
          <w:snapToGrid w:val="0"/>
          <w:color w:val="000000" w:themeColor="text1"/>
          <w:spacing w:val="-1"/>
          <w:kern w:val="0"/>
          <w:sz w:val="24"/>
          <w:highlight w:val="none"/>
          <w14:textFill>
            <w14:solidFill>
              <w14:schemeClr w14:val="tx1"/>
            </w14:solidFill>
          </w14:textFill>
        </w:rPr>
        <w:t>报价进行修正，修正的价</w:t>
      </w:r>
      <w:r>
        <w:rPr>
          <w:rFonts w:ascii="宋体" w:hAnsi="宋体" w:cs="宋体"/>
          <w:snapToGrid w:val="0"/>
          <w:color w:val="000000" w:themeColor="text1"/>
          <w:spacing w:val="-2"/>
          <w:kern w:val="0"/>
          <w:sz w:val="24"/>
          <w:highlight w:val="none"/>
          <w14:textFill>
            <w14:solidFill>
              <w14:schemeClr w14:val="tx1"/>
            </w14:solidFill>
          </w14:textFill>
        </w:rPr>
        <w:t>格经投标人书面确认后具有约束力。投标人不接受修正价格的，评标委员会应否决其投</w:t>
      </w:r>
      <w:r>
        <w:rPr>
          <w:rFonts w:ascii="宋体" w:hAnsi="宋体" w:cs="宋体"/>
          <w:snapToGrid w:val="0"/>
          <w:color w:val="000000" w:themeColor="text1"/>
          <w:spacing w:val="-5"/>
          <w:kern w:val="0"/>
          <w:sz w:val="24"/>
          <w:highlight w:val="none"/>
          <w14:textFill>
            <w14:solidFill>
              <w14:schemeClr w14:val="tx1"/>
            </w14:solidFill>
          </w14:textFill>
        </w:rPr>
        <w:t>标。</w:t>
      </w:r>
    </w:p>
    <w:p w14:paraId="5B2BAEC1">
      <w:pPr>
        <w:widowControl/>
        <w:autoSpaceDE w:val="0"/>
        <w:autoSpaceDN w:val="0"/>
        <w:adjustRightInd w:val="0"/>
        <w:snapToGrid w:val="0"/>
        <w:spacing w:line="360"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）投标文件中的大写金额与小写金额不一致的，以大写金额为准；</w:t>
      </w:r>
    </w:p>
    <w:p w14:paraId="3A66D161">
      <w:pPr>
        <w:widowControl/>
        <w:autoSpaceDE w:val="0"/>
        <w:autoSpaceDN w:val="0"/>
        <w:adjustRightInd w:val="0"/>
        <w:snapToGrid w:val="0"/>
        <w:spacing w:line="360" w:lineRule="auto"/>
        <w:ind w:left="10" w:right="152" w:firstLine="483" w:firstLineChars="203"/>
        <w:jc w:val="left"/>
        <w:textAlignment w:val="baseline"/>
        <w:rPr>
          <w:rFonts w:eastAsia="Times New Roman"/>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）总价金额与依据单价计算出的结果不一致的，以单价金额为准修正总价，但单价金额小数点有明显错误的除外；</w:t>
      </w:r>
    </w:p>
    <w:p w14:paraId="5EA63EBB">
      <w:pPr>
        <w:widowControl/>
        <w:autoSpaceDE w:val="0"/>
        <w:autoSpaceDN w:val="0"/>
        <w:adjustRightInd w:val="0"/>
        <w:snapToGrid w:val="0"/>
        <w:spacing w:line="360" w:lineRule="auto"/>
        <w:ind w:left="6" w:right="152" w:firstLine="487" w:firstLineChars="20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）当单价与数量相乘不等于合价时，以单价计算为准，如果单价有明显的小数点位置差错，应以标出的合价为准，同时对单价予以修正；</w:t>
      </w:r>
    </w:p>
    <w:p w14:paraId="70252B30">
      <w:pPr>
        <w:widowControl/>
        <w:autoSpaceDE w:val="0"/>
        <w:autoSpaceDN w:val="0"/>
        <w:adjustRightInd w:val="0"/>
        <w:snapToGrid w:val="0"/>
        <w:spacing w:line="360" w:lineRule="auto"/>
        <w:ind w:left="1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4</w:t>
      </w:r>
      <w:r>
        <w:rPr>
          <w:rFonts w:ascii="宋体" w:hAnsi="宋体" w:cs="宋体"/>
          <w:snapToGrid w:val="0"/>
          <w:color w:val="000000" w:themeColor="text1"/>
          <w:spacing w:val="-1"/>
          <w:kern w:val="0"/>
          <w:sz w:val="24"/>
          <w:highlight w:val="none"/>
          <w14:textFill>
            <w14:solidFill>
              <w14:schemeClr w14:val="tx1"/>
            </w14:solidFill>
          </w14:textFill>
        </w:rPr>
        <w:t>）当各子目的合价累计不等于总价时，应以各子目合价累计数为准，修正总价。</w:t>
      </w:r>
    </w:p>
    <w:p w14:paraId="397866E1">
      <w:pPr>
        <w:widowControl/>
        <w:autoSpaceDE w:val="0"/>
        <w:autoSpaceDN w:val="0"/>
        <w:adjustRightInd w:val="0"/>
        <w:snapToGrid w:val="0"/>
        <w:spacing w:line="360" w:lineRule="auto"/>
        <w:ind w:left="8" w:right="80" w:firstLine="480" w:firstLineChars="200"/>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3.4.3  </w:t>
      </w:r>
      <w:r>
        <w:rPr>
          <w:rFonts w:ascii="宋体" w:hAnsi="宋体" w:cs="宋体"/>
          <w:snapToGrid w:val="0"/>
          <w:color w:val="000000" w:themeColor="text1"/>
          <w:kern w:val="0"/>
          <w:sz w:val="24"/>
          <w:highlight w:val="none"/>
          <w14:textFill>
            <w14:solidFill>
              <w14:schemeClr w14:val="tx1"/>
            </w14:solidFill>
          </w14:textFill>
        </w:rPr>
        <w:t>工程量清单中的投标报价有其他错误的，评标委员会按</w:t>
      </w:r>
      <w:r>
        <w:rPr>
          <w:rFonts w:ascii="宋体" w:hAnsi="宋体" w:cs="宋体"/>
          <w:snapToGrid w:val="0"/>
          <w:color w:val="000000" w:themeColor="text1"/>
          <w:spacing w:val="-1"/>
          <w:kern w:val="0"/>
          <w:sz w:val="24"/>
          <w:highlight w:val="none"/>
          <w14:textFill>
            <w14:solidFill>
              <w14:schemeClr w14:val="tx1"/>
            </w14:solidFill>
          </w14:textFill>
        </w:rPr>
        <w:t>以下原则对投标报价进行</w:t>
      </w:r>
      <w:r>
        <w:rPr>
          <w:rFonts w:ascii="宋体" w:hAnsi="宋体" w:cs="宋体"/>
          <w:snapToGrid w:val="0"/>
          <w:color w:val="000000" w:themeColor="text1"/>
          <w:spacing w:val="-2"/>
          <w:kern w:val="0"/>
          <w:sz w:val="24"/>
          <w:highlight w:val="none"/>
          <w14:textFill>
            <w14:solidFill>
              <w14:schemeClr w14:val="tx1"/>
            </w14:solidFill>
          </w14:textFill>
        </w:rPr>
        <w:t>修正，修正的价格经投标人书面确认后具有约束力。投标人不接受修正价格的，评标委</w:t>
      </w:r>
      <w:bookmarkStart w:id="107" w:name="bookmark251"/>
      <w:bookmarkEnd w:id="107"/>
      <w:r>
        <w:rPr>
          <w:rFonts w:ascii="宋体" w:hAnsi="宋体" w:cs="宋体"/>
          <w:snapToGrid w:val="0"/>
          <w:color w:val="000000" w:themeColor="text1"/>
          <w:spacing w:val="-2"/>
          <w:kern w:val="0"/>
          <w:sz w:val="24"/>
          <w:highlight w:val="none"/>
          <w14:textFill>
            <w14:solidFill>
              <w14:schemeClr w14:val="tx1"/>
            </w14:solidFill>
          </w14:textFill>
        </w:rPr>
        <w:t>员会应否决其投标。</w:t>
      </w:r>
    </w:p>
    <w:p w14:paraId="340BBB6A">
      <w:pPr>
        <w:widowControl/>
        <w:autoSpaceDE w:val="0"/>
        <w:autoSpaceDN w:val="0"/>
        <w:adjustRightInd w:val="0"/>
        <w:snapToGrid w:val="0"/>
        <w:spacing w:line="360" w:lineRule="auto"/>
        <w:ind w:left="7" w:right="154" w:firstLine="487" w:firstLineChars="20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）在招标人给定的工程量清单中漏报了某个工程子目的单价、合价或总额价，或所</w:t>
      </w:r>
      <w:r>
        <w:rPr>
          <w:rFonts w:ascii="宋体" w:hAnsi="宋体" w:cs="宋体"/>
          <w:snapToGrid w:val="0"/>
          <w:color w:val="000000" w:themeColor="text1"/>
          <w:spacing w:val="-6"/>
          <w:kern w:val="0"/>
          <w:sz w:val="24"/>
          <w:highlight w:val="none"/>
          <w14:textFill>
            <w14:solidFill>
              <w14:schemeClr w14:val="tx1"/>
            </w14:solidFill>
          </w14:textFill>
        </w:rPr>
        <w:t>报单价、合价或总额价减少了报价范围，则漏报的工程子目单价、合价和总额价或单价、</w:t>
      </w:r>
      <w:r>
        <w:rPr>
          <w:rFonts w:ascii="宋体" w:hAnsi="宋体" w:cs="宋体"/>
          <w:snapToGrid w:val="0"/>
          <w:color w:val="000000" w:themeColor="text1"/>
          <w:kern w:val="0"/>
          <w:sz w:val="24"/>
          <w:highlight w:val="none"/>
          <w14:textFill>
            <w14:solidFill>
              <w14:schemeClr w14:val="tx1"/>
            </w14:solidFill>
          </w14:textFill>
        </w:rPr>
        <w:t>合价和总额价中减少的报价内容视为已含入其他工程子目的单价、</w:t>
      </w:r>
      <w:r>
        <w:rPr>
          <w:rFonts w:ascii="宋体" w:hAnsi="宋体" w:cs="宋体"/>
          <w:snapToGrid w:val="0"/>
          <w:color w:val="000000" w:themeColor="text1"/>
          <w:spacing w:val="-1"/>
          <w:kern w:val="0"/>
          <w:sz w:val="24"/>
          <w:highlight w:val="none"/>
          <w14:textFill>
            <w14:solidFill>
              <w14:schemeClr w14:val="tx1"/>
            </w14:solidFill>
          </w14:textFill>
        </w:rPr>
        <w:t>合价和总额价之中。</w:t>
      </w:r>
    </w:p>
    <w:p w14:paraId="22CCE718">
      <w:pPr>
        <w:widowControl/>
        <w:autoSpaceDE w:val="0"/>
        <w:autoSpaceDN w:val="0"/>
        <w:adjustRightInd w:val="0"/>
        <w:snapToGrid w:val="0"/>
        <w:spacing w:line="360" w:lineRule="auto"/>
        <w:ind w:left="7" w:right="235" w:firstLine="487" w:firstLineChars="20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）在招标人给定的工程量清单中多报了某个工程子目的单价、合价或总额价，或所报单价、合价或总额价增加了报价范围，则</w:t>
      </w:r>
      <w:r>
        <w:rPr>
          <w:rFonts w:ascii="宋体" w:hAnsi="宋体" w:cs="宋体"/>
          <w:snapToGrid w:val="0"/>
          <w:color w:val="000000" w:themeColor="text1"/>
          <w:spacing w:val="-2"/>
          <w:kern w:val="0"/>
          <w:sz w:val="24"/>
          <w:highlight w:val="none"/>
          <w14:textFill>
            <w14:solidFill>
              <w14:schemeClr w14:val="tx1"/>
            </w14:solidFill>
          </w14:textFill>
        </w:rPr>
        <w:t>从投标报价中扣除多报的工程子目报价或工</w:t>
      </w:r>
      <w:r>
        <w:rPr>
          <w:rFonts w:ascii="宋体" w:hAnsi="宋体" w:cs="宋体"/>
          <w:snapToGrid w:val="0"/>
          <w:color w:val="000000" w:themeColor="text1"/>
          <w:spacing w:val="-1"/>
          <w:kern w:val="0"/>
          <w:sz w:val="24"/>
          <w:highlight w:val="none"/>
          <w14:textFill>
            <w14:solidFill>
              <w14:schemeClr w14:val="tx1"/>
            </w14:solidFill>
          </w14:textFill>
        </w:rPr>
        <w:t>程子目报价中增加了报价范围的部分报价。</w:t>
      </w:r>
    </w:p>
    <w:p w14:paraId="2E37FBE1">
      <w:pPr>
        <w:widowControl/>
        <w:autoSpaceDE w:val="0"/>
        <w:autoSpaceDN w:val="0"/>
        <w:adjustRightInd w:val="0"/>
        <w:snapToGrid w:val="0"/>
        <w:spacing w:line="360" w:lineRule="auto"/>
        <w:ind w:left="9" w:right="307" w:firstLine="485" w:firstLineChars="20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）当单价与数量的乘积与合价（金额）虽然一致，但投标人修改了该子目的工程数</w:t>
      </w:r>
      <w:r>
        <w:rPr>
          <w:rFonts w:ascii="宋体" w:hAnsi="宋体" w:cs="宋体"/>
          <w:snapToGrid w:val="0"/>
          <w:color w:val="000000" w:themeColor="text1"/>
          <w:kern w:val="0"/>
          <w:sz w:val="24"/>
          <w:highlight w:val="none"/>
          <w14:textFill>
            <w14:solidFill>
              <w14:schemeClr w14:val="tx1"/>
            </w14:solidFill>
          </w14:textFill>
        </w:rPr>
        <w:t>量，则其合价按招标人给定的工程数量乘以投</w:t>
      </w:r>
      <w:r>
        <w:rPr>
          <w:rFonts w:ascii="宋体" w:hAnsi="宋体" w:cs="宋体"/>
          <w:snapToGrid w:val="0"/>
          <w:color w:val="000000" w:themeColor="text1"/>
          <w:spacing w:val="-1"/>
          <w:kern w:val="0"/>
          <w:sz w:val="24"/>
          <w:highlight w:val="none"/>
          <w14:textFill>
            <w14:solidFill>
              <w14:schemeClr w14:val="tx1"/>
            </w14:solidFill>
          </w14:textFill>
        </w:rPr>
        <w:t>标人所报单价予以修正。</w:t>
      </w:r>
    </w:p>
    <w:p w14:paraId="6D0DEE53">
      <w:pPr>
        <w:widowControl/>
        <w:autoSpaceDE w:val="0"/>
        <w:autoSpaceDN w:val="0"/>
        <w:adjustRightInd w:val="0"/>
        <w:snapToGrid w:val="0"/>
        <w:spacing w:line="360" w:lineRule="auto"/>
        <w:ind w:left="8" w:right="307"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3.4.4  </w:t>
      </w:r>
      <w:r>
        <w:rPr>
          <w:rFonts w:ascii="宋体" w:hAnsi="宋体" w:cs="宋体"/>
          <w:snapToGrid w:val="0"/>
          <w:color w:val="000000" w:themeColor="text1"/>
          <w:kern w:val="0"/>
          <w:sz w:val="24"/>
          <w:highlight w:val="none"/>
          <w14:textFill>
            <w14:solidFill>
              <w14:schemeClr w14:val="tx1"/>
            </w14:solidFill>
          </w14:textFill>
        </w:rPr>
        <w:t>修正后的最终投标报价若超过</w:t>
      </w:r>
      <w:r>
        <w:rPr>
          <w:rFonts w:ascii="宋体" w:hAnsi="宋体" w:cs="宋体"/>
          <w:snapToGrid w:val="0"/>
          <w:color w:val="000000" w:themeColor="text1"/>
          <w:spacing w:val="-1"/>
          <w:kern w:val="0"/>
          <w:sz w:val="24"/>
          <w:highlight w:val="none"/>
          <w14:textFill>
            <w14:solidFill>
              <w14:schemeClr w14:val="tx1"/>
            </w14:solidFill>
          </w14:textFill>
        </w:rPr>
        <w:t>最高投标限价或最高评标限价（如有</w:t>
      </w:r>
      <w:r>
        <w:rPr>
          <w:rFonts w:ascii="宋体" w:hAnsi="宋体" w:cs="宋体"/>
          <w:snapToGrid w:val="0"/>
          <w:color w:val="000000" w:themeColor="text1"/>
          <w:spacing w:val="4"/>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评标委员</w:t>
      </w:r>
      <w:r>
        <w:rPr>
          <w:rFonts w:ascii="宋体" w:hAnsi="宋体" w:cs="宋体"/>
          <w:snapToGrid w:val="0"/>
          <w:color w:val="000000" w:themeColor="text1"/>
          <w:spacing w:val="-2"/>
          <w:kern w:val="0"/>
          <w:sz w:val="24"/>
          <w:highlight w:val="none"/>
          <w14:textFill>
            <w14:solidFill>
              <w14:schemeClr w14:val="tx1"/>
            </w14:solidFill>
          </w14:textFill>
        </w:rPr>
        <w:t>会应否决其投标。</w:t>
      </w:r>
    </w:p>
    <w:p w14:paraId="132506BF">
      <w:pPr>
        <w:pStyle w:val="6"/>
        <w:spacing w:before="168" w:after="120"/>
        <w:rPr>
          <w:color w:val="000000" w:themeColor="text1"/>
          <w:highlight w:val="none"/>
          <w14:textFill>
            <w14:solidFill>
              <w14:schemeClr w14:val="tx1"/>
            </w14:solidFill>
          </w14:textFill>
        </w:rPr>
      </w:pPr>
      <w:bookmarkStart w:id="108" w:name="_Toc5338"/>
      <w:r>
        <w:rPr>
          <w:color w:val="000000" w:themeColor="text1"/>
          <w:highlight w:val="none"/>
          <w14:textFill>
            <w14:solidFill>
              <w14:schemeClr w14:val="tx1"/>
            </w14:solidFill>
          </w14:textFill>
        </w:rPr>
        <w:t>3.5 第二个信封详细评审</w:t>
      </w:r>
      <w:bookmarkEnd w:id="108"/>
    </w:p>
    <w:p w14:paraId="458CD54C">
      <w:pPr>
        <w:widowControl/>
        <w:autoSpaceDE w:val="0"/>
        <w:autoSpaceDN w:val="0"/>
        <w:adjustRightInd w:val="0"/>
        <w:snapToGrid w:val="0"/>
        <w:spacing w:line="360" w:lineRule="auto"/>
        <w:ind w:left="11"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3.5.1  </w:t>
      </w:r>
      <w:r>
        <w:rPr>
          <w:rFonts w:ascii="宋体" w:hAnsi="宋体" w:cs="宋体"/>
          <w:snapToGrid w:val="0"/>
          <w:color w:val="000000" w:themeColor="text1"/>
          <w:kern w:val="0"/>
          <w:sz w:val="24"/>
          <w:highlight w:val="none"/>
          <w14:textFill>
            <w14:solidFill>
              <w14:schemeClr w14:val="tx1"/>
            </w14:solidFill>
          </w14:textFill>
        </w:rPr>
        <w:t xml:space="preserve">评标委员会按本章第 </w:t>
      </w:r>
      <w:r>
        <w:rPr>
          <w:rFonts w:eastAsia="Times New Roman"/>
          <w:snapToGrid w:val="0"/>
          <w:color w:val="000000" w:themeColor="text1"/>
          <w:kern w:val="0"/>
          <w:sz w:val="24"/>
          <w:highlight w:val="none"/>
          <w14:textFill>
            <w14:solidFill>
              <w14:schemeClr w14:val="tx1"/>
            </w14:solidFill>
          </w14:textFill>
        </w:rPr>
        <w:t xml:space="preserve">2.2 </w:t>
      </w:r>
      <w:r>
        <w:rPr>
          <w:rFonts w:ascii="宋体" w:hAnsi="宋体" w:cs="宋体"/>
          <w:snapToGrid w:val="0"/>
          <w:color w:val="000000" w:themeColor="text1"/>
          <w:spacing w:val="-1"/>
          <w:kern w:val="0"/>
          <w:sz w:val="24"/>
          <w:highlight w:val="none"/>
          <w14:textFill>
            <w14:solidFill>
              <w14:schemeClr w14:val="tx1"/>
            </w14:solidFill>
          </w14:textFill>
        </w:rPr>
        <w:t>款规定的计算出评标价。</w:t>
      </w:r>
    </w:p>
    <w:p w14:paraId="3830F9E1">
      <w:pPr>
        <w:widowControl/>
        <w:autoSpaceDE w:val="0"/>
        <w:autoSpaceDN w:val="0"/>
        <w:adjustRightInd w:val="0"/>
        <w:snapToGrid w:val="0"/>
        <w:spacing w:line="360" w:lineRule="auto"/>
        <w:ind w:left="11" w:right="235"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3.5.2  </w:t>
      </w:r>
      <w:r>
        <w:rPr>
          <w:rFonts w:ascii="宋体" w:hAnsi="宋体" w:cs="宋体"/>
          <w:snapToGrid w:val="0"/>
          <w:color w:val="000000" w:themeColor="text1"/>
          <w:kern w:val="0"/>
          <w:sz w:val="24"/>
          <w:highlight w:val="none"/>
          <w14:textFill>
            <w14:solidFill>
              <w14:schemeClr w14:val="tx1"/>
            </w14:solidFill>
          </w14:textFill>
        </w:rPr>
        <w:t>评标委员会发现投标人的报价明显低于其他投标报价，</w:t>
      </w:r>
      <w:r>
        <w:rPr>
          <w:rFonts w:ascii="宋体" w:hAnsi="宋体" w:cs="宋体"/>
          <w:snapToGrid w:val="0"/>
          <w:color w:val="000000" w:themeColor="text1"/>
          <w:spacing w:val="-1"/>
          <w:kern w:val="0"/>
          <w:sz w:val="24"/>
          <w:highlight w:val="none"/>
          <w14:textFill>
            <w14:solidFill>
              <w14:schemeClr w14:val="tx1"/>
            </w14:solidFill>
          </w14:textFill>
        </w:rPr>
        <w:t>使得其投标报价可能低于</w:t>
      </w:r>
      <w:r>
        <w:rPr>
          <w:rFonts w:ascii="宋体" w:hAnsi="宋体" w:cs="宋体"/>
          <w:snapToGrid w:val="0"/>
          <w:color w:val="000000" w:themeColor="text1"/>
          <w:spacing w:val="-2"/>
          <w:kern w:val="0"/>
          <w:sz w:val="24"/>
          <w:highlight w:val="none"/>
          <w14:textFill>
            <w14:solidFill>
              <w14:schemeClr w14:val="tx1"/>
            </w14:solidFill>
          </w14:textFill>
        </w:rPr>
        <w:t>其个别成本的，应要求该投标人作出书面说明并提供相应的证明材料。投标人不能合理说明或不能提供相应证明材料的，由评标委员会认定该投标人以低于成本报价竞标，并否决其投标。</w:t>
      </w:r>
    </w:p>
    <w:p w14:paraId="05863635">
      <w:pPr>
        <w:pStyle w:val="6"/>
        <w:spacing w:before="168" w:after="120"/>
        <w:rPr>
          <w:rFonts w:hint="eastAsia" w:ascii="黑体" w:hAnsi="黑体" w:eastAsia="黑体" w:cs="黑体"/>
          <w:snapToGrid w:val="0"/>
          <w:color w:val="000000" w:themeColor="text1"/>
          <w:kern w:val="0"/>
          <w:szCs w:val="24"/>
          <w:highlight w:val="none"/>
          <w14:textFill>
            <w14:solidFill>
              <w14:schemeClr w14:val="tx1"/>
            </w14:solidFill>
          </w14:textFill>
        </w:rPr>
      </w:pPr>
      <w:bookmarkStart w:id="109" w:name="_Toc4142"/>
      <w:r>
        <w:rPr>
          <w:color w:val="000000" w:themeColor="text1"/>
          <w:highlight w:val="none"/>
          <w14:textFill>
            <w14:solidFill>
              <w14:schemeClr w14:val="tx1"/>
            </w14:solidFill>
          </w14:textFill>
        </w:rPr>
        <w:t>3.6 投标文件相关信息的核查</w:t>
      </w:r>
      <w:bookmarkEnd w:id="109"/>
    </w:p>
    <w:p w14:paraId="719E44D7">
      <w:pPr>
        <w:widowControl/>
        <w:autoSpaceDE w:val="0"/>
        <w:autoSpaceDN w:val="0"/>
        <w:adjustRightInd w:val="0"/>
        <w:snapToGrid w:val="0"/>
        <w:spacing w:line="360" w:lineRule="auto"/>
        <w:ind w:left="248" w:leftChars="118" w:firstLine="473" w:firstLineChars="19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3.6.1  </w:t>
      </w:r>
      <w:r>
        <w:rPr>
          <w:rFonts w:ascii="宋体" w:hAnsi="宋体" w:cs="宋体"/>
          <w:snapToGrid w:val="0"/>
          <w:color w:val="000000" w:themeColor="text1"/>
          <w:spacing w:val="-1"/>
          <w:kern w:val="0"/>
          <w:sz w:val="24"/>
          <w:highlight w:val="none"/>
          <w14:textFill>
            <w14:solidFill>
              <w14:schemeClr w14:val="tx1"/>
            </w14:solidFill>
          </w14:textFill>
        </w:rPr>
        <w:t>在评标过程中，评标委员会应查询交通运输</w:t>
      </w:r>
      <w:r>
        <w:rPr>
          <w:rFonts w:ascii="宋体" w:hAnsi="宋体" w:cs="宋体"/>
          <w:snapToGrid w:val="0"/>
          <w:color w:val="000000" w:themeColor="text1"/>
          <w:spacing w:val="-2"/>
          <w:kern w:val="0"/>
          <w:sz w:val="24"/>
          <w:highlight w:val="none"/>
          <w14:textFill>
            <w14:solidFill>
              <w14:schemeClr w14:val="tx1"/>
            </w14:solidFill>
          </w14:textFill>
        </w:rPr>
        <w:t>主管部门“全国公路建设市场监督管理系统</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”，对投标人的资质、业绩、主要人员</w:t>
      </w:r>
      <w:r>
        <w:rPr>
          <w:rFonts w:ascii="宋体" w:hAnsi="宋体" w:cs="宋体"/>
          <w:snapToGrid w:val="0"/>
          <w:color w:val="000000" w:themeColor="text1"/>
          <w:spacing w:val="-3"/>
          <w:kern w:val="0"/>
          <w:sz w:val="24"/>
          <w:highlight w:val="none"/>
          <w14:textFill>
            <w14:solidFill>
              <w14:schemeClr w14:val="tx1"/>
            </w14:solidFill>
          </w14:textFill>
        </w:rPr>
        <w:t>资历和目前在岗情况、信用等级等信息进行核实。若投标文件载明的信息与交通运输主管部门“全国公路建设市场监督管理系统</w:t>
      </w:r>
      <w:r>
        <w:rPr>
          <w:rFonts w:ascii="宋体" w:hAnsi="宋体" w:cs="宋体"/>
          <w:snapToGrid w:val="0"/>
          <w:color w:val="000000" w:themeColor="text1"/>
          <w:spacing w:val="-70"/>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发布的信息不符，使得投标人的资格条件不符合招标文件规定的，评标委员会应否决其</w:t>
      </w:r>
      <w:r>
        <w:rPr>
          <w:rFonts w:ascii="宋体" w:hAnsi="宋体" w:cs="宋体"/>
          <w:snapToGrid w:val="0"/>
          <w:color w:val="000000" w:themeColor="text1"/>
          <w:spacing w:val="-5"/>
          <w:kern w:val="0"/>
          <w:sz w:val="24"/>
          <w:highlight w:val="none"/>
          <w14:textFill>
            <w14:solidFill>
              <w14:schemeClr w14:val="tx1"/>
            </w14:solidFill>
          </w14:textFill>
        </w:rPr>
        <w:t>投标。</w:t>
      </w:r>
    </w:p>
    <w:p w14:paraId="6166C901">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3.6.2  </w:t>
      </w:r>
      <w:r>
        <w:rPr>
          <w:rFonts w:ascii="宋体" w:hAnsi="宋体" w:cs="宋体"/>
          <w:snapToGrid w:val="0"/>
          <w:color w:val="000000" w:themeColor="text1"/>
          <w:kern w:val="0"/>
          <w:sz w:val="24"/>
          <w:highlight w:val="none"/>
          <w14:textFill>
            <w14:solidFill>
              <w14:schemeClr w14:val="tx1"/>
            </w14:solidFill>
          </w14:textFill>
        </w:rPr>
        <w:t>评标委员会应对在评标过程中发现的投标人与投标人之</w:t>
      </w:r>
      <w:r>
        <w:rPr>
          <w:rFonts w:ascii="宋体" w:hAnsi="宋体" w:cs="宋体"/>
          <w:snapToGrid w:val="0"/>
          <w:color w:val="000000" w:themeColor="text1"/>
          <w:spacing w:val="-1"/>
          <w:kern w:val="0"/>
          <w:sz w:val="24"/>
          <w:highlight w:val="none"/>
          <w14:textFill>
            <w14:solidFill>
              <w14:schemeClr w14:val="tx1"/>
            </w14:solidFill>
          </w14:textFill>
        </w:rPr>
        <w:t>间、投标人与招标人之间</w:t>
      </w:r>
      <w:r>
        <w:rPr>
          <w:rFonts w:ascii="宋体" w:hAnsi="宋体" w:cs="宋体"/>
          <w:snapToGrid w:val="0"/>
          <w:color w:val="000000" w:themeColor="text1"/>
          <w:spacing w:val="-2"/>
          <w:kern w:val="0"/>
          <w:sz w:val="24"/>
          <w:highlight w:val="none"/>
          <w14:textFill>
            <w14:solidFill>
              <w14:schemeClr w14:val="tx1"/>
            </w14:solidFill>
          </w14:textFill>
        </w:rPr>
        <w:t>存在的串通投标的情形进行评审和认定。投标人存在串通投标、弄虚作假、行贿等违法</w:t>
      </w:r>
      <w:r>
        <w:rPr>
          <w:rFonts w:ascii="宋体" w:hAnsi="宋体" w:cs="宋体"/>
          <w:snapToGrid w:val="0"/>
          <w:color w:val="000000" w:themeColor="text1"/>
          <w:spacing w:val="-1"/>
          <w:kern w:val="0"/>
          <w:sz w:val="24"/>
          <w:highlight w:val="none"/>
          <w14:textFill>
            <w14:solidFill>
              <w14:schemeClr w14:val="tx1"/>
            </w14:solidFill>
          </w14:textFill>
        </w:rPr>
        <w:t>行为的，评标委员会应否决其投标。</w:t>
      </w:r>
    </w:p>
    <w:p w14:paraId="4AC30B98">
      <w:pPr>
        <w:widowControl/>
        <w:autoSpaceDE w:val="0"/>
        <w:autoSpaceDN w:val="0"/>
        <w:adjustRightInd w:val="0"/>
        <w:snapToGrid w:val="0"/>
        <w:spacing w:line="360" w:lineRule="auto"/>
        <w:ind w:left="21"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1</w:t>
      </w:r>
      <w:r>
        <w:rPr>
          <w:rFonts w:ascii="宋体" w:hAnsi="宋体" w:cs="宋体"/>
          <w:snapToGrid w:val="0"/>
          <w:color w:val="000000" w:themeColor="text1"/>
          <w:spacing w:val="-1"/>
          <w:kern w:val="0"/>
          <w:sz w:val="24"/>
          <w:highlight w:val="none"/>
          <w14:textFill>
            <w14:solidFill>
              <w14:schemeClr w14:val="tx1"/>
            </w14:solidFill>
          </w14:textFill>
        </w:rPr>
        <w:t>）有下列情形之一的，属于投标人相互串通投标：</w:t>
      </w:r>
    </w:p>
    <w:p w14:paraId="370E0FD0">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a.</w:t>
      </w:r>
      <w:r>
        <w:rPr>
          <w:rFonts w:ascii="宋体" w:hAnsi="宋体" w:cs="宋体"/>
          <w:snapToGrid w:val="0"/>
          <w:color w:val="000000" w:themeColor="text1"/>
          <w:spacing w:val="-1"/>
          <w:kern w:val="0"/>
          <w:sz w:val="24"/>
          <w:highlight w:val="none"/>
          <w14:textFill>
            <w14:solidFill>
              <w14:schemeClr w14:val="tx1"/>
            </w14:solidFill>
          </w14:textFill>
        </w:rPr>
        <w:t>投标人之间协商投标报价等投标文件的实质性内容；</w:t>
      </w:r>
    </w:p>
    <w:p w14:paraId="7DE8D03D">
      <w:pPr>
        <w:widowControl/>
        <w:autoSpaceDE w:val="0"/>
        <w:autoSpaceDN w:val="0"/>
        <w:adjustRightInd w:val="0"/>
        <w:snapToGrid w:val="0"/>
        <w:spacing w:line="360" w:lineRule="auto"/>
        <w:ind w:firstLine="480" w:firstLineChars="20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bookmarkStart w:id="110" w:name="bookmark252"/>
      <w:bookmarkEnd w:id="110"/>
      <w:r>
        <w:rPr>
          <w:rFonts w:eastAsia="Times New Roman"/>
          <w:snapToGrid w:val="0"/>
          <w:color w:val="000000" w:themeColor="text1"/>
          <w:kern w:val="0"/>
          <w:sz w:val="24"/>
          <w:highlight w:val="none"/>
          <w14:textFill>
            <w14:solidFill>
              <w14:schemeClr w14:val="tx1"/>
            </w14:solidFill>
          </w14:textFill>
        </w:rPr>
        <w:t>b.</w:t>
      </w:r>
      <w:r>
        <w:rPr>
          <w:rFonts w:ascii="宋体" w:hAnsi="宋体" w:cs="宋体"/>
          <w:snapToGrid w:val="0"/>
          <w:color w:val="000000" w:themeColor="text1"/>
          <w:kern w:val="0"/>
          <w:sz w:val="24"/>
          <w:highlight w:val="none"/>
          <w14:textFill>
            <w14:solidFill>
              <w14:schemeClr w14:val="tx1"/>
            </w14:solidFill>
          </w14:textFill>
        </w:rPr>
        <w:t>投标人之间约定中标人；</w:t>
      </w:r>
    </w:p>
    <w:p w14:paraId="407BD0F1">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c.</w:t>
      </w:r>
      <w:r>
        <w:rPr>
          <w:rFonts w:ascii="宋体" w:hAnsi="宋体" w:cs="宋体"/>
          <w:snapToGrid w:val="0"/>
          <w:color w:val="000000" w:themeColor="text1"/>
          <w:spacing w:val="-1"/>
          <w:kern w:val="0"/>
          <w:sz w:val="24"/>
          <w:highlight w:val="none"/>
          <w14:textFill>
            <w14:solidFill>
              <w14:schemeClr w14:val="tx1"/>
            </w14:solidFill>
          </w14:textFill>
        </w:rPr>
        <w:t>投标人之间约定部分投标人放弃投标或中标；</w:t>
      </w:r>
    </w:p>
    <w:p w14:paraId="089B3F19">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d.</w:t>
      </w:r>
      <w:r>
        <w:rPr>
          <w:rFonts w:ascii="宋体" w:hAnsi="宋体" w:cs="宋体"/>
          <w:snapToGrid w:val="0"/>
          <w:color w:val="000000" w:themeColor="text1"/>
          <w:kern w:val="0"/>
          <w:sz w:val="24"/>
          <w:highlight w:val="none"/>
          <w14:textFill>
            <w14:solidFill>
              <w14:schemeClr w14:val="tx1"/>
            </w14:solidFill>
          </w14:textFill>
        </w:rPr>
        <w:t>属于同一集团、协会、商会等组织成员的投标人按照该</w:t>
      </w:r>
      <w:r>
        <w:rPr>
          <w:rFonts w:ascii="宋体" w:hAnsi="宋体" w:cs="宋体"/>
          <w:snapToGrid w:val="0"/>
          <w:color w:val="000000" w:themeColor="text1"/>
          <w:spacing w:val="-1"/>
          <w:kern w:val="0"/>
          <w:sz w:val="24"/>
          <w:highlight w:val="none"/>
          <w14:textFill>
            <w14:solidFill>
              <w14:schemeClr w14:val="tx1"/>
            </w14:solidFill>
          </w14:textFill>
        </w:rPr>
        <w:t>组织要求协同投标；</w:t>
      </w:r>
    </w:p>
    <w:p w14:paraId="1492610D">
      <w:pPr>
        <w:widowControl/>
        <w:autoSpaceDE w:val="0"/>
        <w:autoSpaceDN w:val="0"/>
        <w:adjustRightInd w:val="0"/>
        <w:snapToGrid w:val="0"/>
        <w:spacing w:line="360" w:lineRule="auto"/>
        <w:ind w:left="9"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e.</w:t>
      </w:r>
      <w:r>
        <w:rPr>
          <w:rFonts w:ascii="宋体" w:hAnsi="宋体" w:cs="宋体"/>
          <w:snapToGrid w:val="0"/>
          <w:color w:val="000000" w:themeColor="text1"/>
          <w:kern w:val="0"/>
          <w:sz w:val="24"/>
          <w:highlight w:val="none"/>
          <w14:textFill>
            <w14:solidFill>
              <w14:schemeClr w14:val="tx1"/>
            </w14:solidFill>
          </w14:textFill>
        </w:rPr>
        <w:t>投标人之间为谋取中标或排斥特定投标人而采</w:t>
      </w:r>
      <w:r>
        <w:rPr>
          <w:rFonts w:ascii="宋体" w:hAnsi="宋体" w:cs="宋体"/>
          <w:snapToGrid w:val="0"/>
          <w:color w:val="000000" w:themeColor="text1"/>
          <w:spacing w:val="-1"/>
          <w:kern w:val="0"/>
          <w:sz w:val="24"/>
          <w:highlight w:val="none"/>
          <w14:textFill>
            <w14:solidFill>
              <w14:schemeClr w14:val="tx1"/>
            </w14:solidFill>
          </w14:textFill>
        </w:rPr>
        <w:t>取的其他联合行动。</w:t>
      </w:r>
    </w:p>
    <w:p w14:paraId="1E5B0D51">
      <w:pPr>
        <w:widowControl/>
        <w:autoSpaceDE w:val="0"/>
        <w:autoSpaceDN w:val="0"/>
        <w:adjustRightInd w:val="0"/>
        <w:snapToGrid w:val="0"/>
        <w:spacing w:line="360" w:lineRule="auto"/>
        <w:ind w:left="21"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）有下列情形之一的，视为投标人相互串通投标：</w:t>
      </w:r>
    </w:p>
    <w:p w14:paraId="7E8F110A">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a.</w:t>
      </w:r>
      <w:r>
        <w:rPr>
          <w:rFonts w:ascii="宋体" w:hAnsi="宋体" w:cs="宋体"/>
          <w:snapToGrid w:val="0"/>
          <w:color w:val="000000" w:themeColor="text1"/>
          <w:spacing w:val="-1"/>
          <w:kern w:val="0"/>
          <w:sz w:val="24"/>
          <w:highlight w:val="none"/>
          <w14:textFill>
            <w14:solidFill>
              <w14:schemeClr w14:val="tx1"/>
            </w14:solidFill>
          </w14:textFill>
        </w:rPr>
        <w:t>不同投标人的投标文件由同一单位或个人编制；</w:t>
      </w:r>
    </w:p>
    <w:p w14:paraId="1F0BC351">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b.</w:t>
      </w:r>
      <w:r>
        <w:rPr>
          <w:rFonts w:ascii="宋体" w:hAnsi="宋体" w:cs="宋体"/>
          <w:snapToGrid w:val="0"/>
          <w:color w:val="000000" w:themeColor="text1"/>
          <w:kern w:val="0"/>
          <w:sz w:val="24"/>
          <w:highlight w:val="none"/>
          <w14:textFill>
            <w14:solidFill>
              <w14:schemeClr w14:val="tx1"/>
            </w14:solidFill>
          </w14:textFill>
        </w:rPr>
        <w:t>不同投标人委托同一单位或个人办理投标事宜；</w:t>
      </w:r>
    </w:p>
    <w:p w14:paraId="0C76E2E1">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c.</w:t>
      </w:r>
      <w:r>
        <w:rPr>
          <w:rFonts w:ascii="宋体" w:hAnsi="宋体" w:cs="宋体"/>
          <w:snapToGrid w:val="0"/>
          <w:color w:val="000000" w:themeColor="text1"/>
          <w:spacing w:val="-1"/>
          <w:kern w:val="0"/>
          <w:sz w:val="24"/>
          <w:highlight w:val="none"/>
          <w14:textFill>
            <w14:solidFill>
              <w14:schemeClr w14:val="tx1"/>
            </w14:solidFill>
          </w14:textFill>
        </w:rPr>
        <w:t>不同投标人的投标文件载明的项目管理成员为同一人；</w:t>
      </w:r>
    </w:p>
    <w:p w14:paraId="23DCDFBE">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d.</w:t>
      </w:r>
      <w:r>
        <w:rPr>
          <w:rFonts w:ascii="宋体" w:hAnsi="宋体" w:cs="宋体"/>
          <w:snapToGrid w:val="0"/>
          <w:color w:val="000000" w:themeColor="text1"/>
          <w:kern w:val="0"/>
          <w:sz w:val="24"/>
          <w:highlight w:val="none"/>
          <w14:textFill>
            <w14:solidFill>
              <w14:schemeClr w14:val="tx1"/>
            </w14:solidFill>
          </w14:textFill>
        </w:rPr>
        <w:t>不同投标人的投标文件异常一致或投标</w:t>
      </w:r>
      <w:r>
        <w:rPr>
          <w:rFonts w:ascii="宋体" w:hAnsi="宋体" w:cs="宋体"/>
          <w:snapToGrid w:val="0"/>
          <w:color w:val="000000" w:themeColor="text1"/>
          <w:spacing w:val="-1"/>
          <w:kern w:val="0"/>
          <w:sz w:val="24"/>
          <w:highlight w:val="none"/>
          <w14:textFill>
            <w14:solidFill>
              <w14:schemeClr w14:val="tx1"/>
            </w14:solidFill>
          </w14:textFill>
        </w:rPr>
        <w:t>报价呈规律性差异；</w:t>
      </w:r>
    </w:p>
    <w:p w14:paraId="195E2319">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e.</w:t>
      </w:r>
      <w:r>
        <w:rPr>
          <w:rFonts w:ascii="宋体" w:hAnsi="宋体" w:cs="宋体"/>
          <w:snapToGrid w:val="0"/>
          <w:color w:val="000000" w:themeColor="text1"/>
          <w:spacing w:val="-1"/>
          <w:kern w:val="0"/>
          <w:sz w:val="24"/>
          <w:highlight w:val="none"/>
          <w14:textFill>
            <w14:solidFill>
              <w14:schemeClr w14:val="tx1"/>
            </w14:solidFill>
          </w14:textFill>
        </w:rPr>
        <w:t>不同投标人的投标文件相互混装；</w:t>
      </w:r>
    </w:p>
    <w:p w14:paraId="02BDD48C">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f.</w:t>
      </w:r>
      <w:r>
        <w:rPr>
          <w:rFonts w:ascii="宋体" w:hAnsi="宋体" w:cs="宋体"/>
          <w:snapToGrid w:val="0"/>
          <w:color w:val="000000" w:themeColor="text1"/>
          <w:spacing w:val="-1"/>
          <w:kern w:val="0"/>
          <w:sz w:val="24"/>
          <w:highlight w:val="none"/>
          <w14:textFill>
            <w14:solidFill>
              <w14:schemeClr w14:val="tx1"/>
            </w14:solidFill>
          </w14:textFill>
        </w:rPr>
        <w:t>不同投标人的投标保证金从同一单位或个人的账户转出；</w:t>
      </w:r>
    </w:p>
    <w:p w14:paraId="6F6D1935">
      <w:pPr>
        <w:widowControl/>
        <w:autoSpaceDE w:val="0"/>
        <w:autoSpaceDN w:val="0"/>
        <w:adjustRightInd w:val="0"/>
        <w:snapToGrid w:val="0"/>
        <w:spacing w:line="360" w:lineRule="auto"/>
        <w:ind w:right="80"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g.</w:t>
      </w:r>
      <w:r>
        <w:rPr>
          <w:rFonts w:ascii="宋体" w:hAnsi="宋体" w:cs="宋体"/>
          <w:snapToGrid w:val="0"/>
          <w:color w:val="000000" w:themeColor="text1"/>
          <w:spacing w:val="-2"/>
          <w:kern w:val="0"/>
          <w:sz w:val="24"/>
          <w:highlight w:val="none"/>
          <w14:textFill>
            <w14:solidFill>
              <w14:schemeClr w14:val="tx1"/>
            </w14:solidFill>
          </w14:textFill>
        </w:rPr>
        <w:t>当一家以上投标人评标价相同时，若各投标人工程量清单细目单价也相同，视为串标（一个标段仅一工作细目报价的除外</w:t>
      </w:r>
      <w:r>
        <w:rPr>
          <w:rFonts w:ascii="宋体" w:hAnsi="宋体" w:cs="宋体"/>
          <w:snapToGrid w:val="0"/>
          <w:color w:val="000000" w:themeColor="text1"/>
          <w:spacing w:val="5"/>
          <w:kern w:val="0"/>
          <w:sz w:val="24"/>
          <w:highlight w:val="none"/>
          <w14:textFill>
            <w14:solidFill>
              <w14:schemeClr w14:val="tx1"/>
            </w14:solidFill>
          </w14:textFill>
        </w:rPr>
        <w:t>）；</w:t>
      </w:r>
    </w:p>
    <w:p w14:paraId="47711E8B">
      <w:pPr>
        <w:widowControl/>
        <w:autoSpaceDE w:val="0"/>
        <w:autoSpaceDN w:val="0"/>
        <w:adjustRightInd w:val="0"/>
        <w:snapToGrid w:val="0"/>
        <w:spacing w:line="360" w:lineRule="auto"/>
        <w:ind w:left="6"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h</w:t>
      </w:r>
      <w:r>
        <w:rPr>
          <w:rFonts w:ascii="宋体" w:hAnsi="宋体" w:cs="宋体"/>
          <w:snapToGrid w:val="0"/>
          <w:color w:val="000000" w:themeColor="text1"/>
          <w:kern w:val="0"/>
          <w:sz w:val="24"/>
          <w:highlight w:val="none"/>
          <w14:textFill>
            <w14:solidFill>
              <w14:schemeClr w14:val="tx1"/>
            </w14:solidFill>
          </w14:textFill>
        </w:rPr>
        <w:t>.广东省实施《中华人民共和国招标投标法》办法第十</w:t>
      </w:r>
      <w:r>
        <w:rPr>
          <w:rFonts w:ascii="宋体" w:hAnsi="宋体" w:cs="宋体"/>
          <w:snapToGrid w:val="0"/>
          <w:color w:val="000000" w:themeColor="text1"/>
          <w:spacing w:val="-1"/>
          <w:kern w:val="0"/>
          <w:sz w:val="24"/>
          <w:highlight w:val="none"/>
          <w14:textFill>
            <w14:solidFill>
              <w14:schemeClr w14:val="tx1"/>
            </w14:solidFill>
          </w14:textFill>
        </w:rPr>
        <w:t>六条规定的情形。</w:t>
      </w:r>
    </w:p>
    <w:p w14:paraId="762C9892">
      <w:pPr>
        <w:widowControl/>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）有下列情形之一的，属于招标人与投标人串通投标：</w:t>
      </w:r>
    </w:p>
    <w:p w14:paraId="74B30742">
      <w:pPr>
        <w:widowControl/>
        <w:autoSpaceDE w:val="0"/>
        <w:autoSpaceDN w:val="0"/>
        <w:adjustRightInd w:val="0"/>
        <w:snapToGrid w:val="0"/>
        <w:spacing w:line="360" w:lineRule="auto"/>
        <w:ind w:left="8" w:firstLine="480" w:firstLineChars="200"/>
        <w:jc w:val="left"/>
        <w:textAlignment w:val="baseline"/>
        <w:rPr>
          <w:rFonts w:eastAsia="Times New Roman"/>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a.</w:t>
      </w:r>
      <w:r>
        <w:rPr>
          <w:rFonts w:ascii="宋体" w:hAnsi="宋体" w:cs="宋体"/>
          <w:snapToGrid w:val="0"/>
          <w:color w:val="000000" w:themeColor="text1"/>
          <w:kern w:val="0"/>
          <w:sz w:val="24"/>
          <w:highlight w:val="none"/>
          <w14:textFill>
            <w14:solidFill>
              <w14:schemeClr w14:val="tx1"/>
            </w14:solidFill>
          </w14:textFill>
        </w:rPr>
        <w:t>招标人在开标前开启投标文件并将有关信息</w:t>
      </w:r>
      <w:r>
        <w:rPr>
          <w:rFonts w:ascii="宋体" w:hAnsi="宋体" w:cs="宋体"/>
          <w:snapToGrid w:val="0"/>
          <w:color w:val="000000" w:themeColor="text1"/>
          <w:spacing w:val="-1"/>
          <w:kern w:val="0"/>
          <w:sz w:val="24"/>
          <w:highlight w:val="none"/>
          <w14:textFill>
            <w14:solidFill>
              <w14:schemeClr w14:val="tx1"/>
            </w14:solidFill>
          </w14:textFill>
        </w:rPr>
        <w:t>泄露给其他投标人</w:t>
      </w:r>
      <w:r>
        <w:rPr>
          <w:rFonts w:eastAsia="Times New Roman"/>
          <w:snapToGrid w:val="0"/>
          <w:color w:val="000000" w:themeColor="text1"/>
          <w:spacing w:val="-1"/>
          <w:kern w:val="0"/>
          <w:sz w:val="24"/>
          <w:highlight w:val="none"/>
          <w14:textFill>
            <w14:solidFill>
              <w14:schemeClr w14:val="tx1"/>
            </w14:solidFill>
          </w14:textFill>
        </w:rPr>
        <w:t>;</w:t>
      </w:r>
    </w:p>
    <w:p w14:paraId="7251D823">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b.</w:t>
      </w:r>
      <w:r>
        <w:rPr>
          <w:rFonts w:ascii="宋体" w:hAnsi="宋体" w:cs="宋体"/>
          <w:snapToGrid w:val="0"/>
          <w:color w:val="000000" w:themeColor="text1"/>
          <w:kern w:val="0"/>
          <w:sz w:val="24"/>
          <w:highlight w:val="none"/>
          <w14:textFill>
            <w14:solidFill>
              <w14:schemeClr w14:val="tx1"/>
            </w14:solidFill>
          </w14:textFill>
        </w:rPr>
        <w:t>招标人直接或间接向投标人泄露标底、评标委员会成员等信息；</w:t>
      </w:r>
    </w:p>
    <w:p w14:paraId="1C0F092F">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c.</w:t>
      </w:r>
      <w:r>
        <w:rPr>
          <w:rFonts w:ascii="宋体" w:hAnsi="宋体" w:cs="宋体"/>
          <w:snapToGrid w:val="0"/>
          <w:color w:val="000000" w:themeColor="text1"/>
          <w:spacing w:val="-1"/>
          <w:kern w:val="0"/>
          <w:sz w:val="24"/>
          <w:highlight w:val="none"/>
          <w14:textFill>
            <w14:solidFill>
              <w14:schemeClr w14:val="tx1"/>
            </w14:solidFill>
          </w14:textFill>
        </w:rPr>
        <w:t>招标人明示或暗示投标人压低或抬高投标报价；</w:t>
      </w:r>
    </w:p>
    <w:p w14:paraId="4D0E7BB0">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d.</w:t>
      </w:r>
      <w:r>
        <w:rPr>
          <w:rFonts w:ascii="宋体" w:hAnsi="宋体" w:cs="宋体"/>
          <w:snapToGrid w:val="0"/>
          <w:color w:val="000000" w:themeColor="text1"/>
          <w:spacing w:val="-1"/>
          <w:kern w:val="0"/>
          <w:sz w:val="24"/>
          <w:highlight w:val="none"/>
          <w14:textFill>
            <w14:solidFill>
              <w14:schemeClr w14:val="tx1"/>
            </w14:solidFill>
          </w14:textFill>
        </w:rPr>
        <w:t>招标人授意投标人撤换、修改投标文件；</w:t>
      </w:r>
    </w:p>
    <w:p w14:paraId="19AB69D7">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e.</w:t>
      </w:r>
      <w:r>
        <w:rPr>
          <w:rFonts w:ascii="宋体" w:hAnsi="宋体" w:cs="宋体"/>
          <w:snapToGrid w:val="0"/>
          <w:color w:val="000000" w:themeColor="text1"/>
          <w:spacing w:val="-1"/>
          <w:kern w:val="0"/>
          <w:sz w:val="24"/>
          <w:highlight w:val="none"/>
          <w14:textFill>
            <w14:solidFill>
              <w14:schemeClr w14:val="tx1"/>
            </w14:solidFill>
          </w14:textFill>
        </w:rPr>
        <w:t>招标人明示或暗示投标人为特定投标人中标提供方便；</w:t>
      </w:r>
    </w:p>
    <w:p w14:paraId="19AB97FB">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f.</w:t>
      </w:r>
      <w:r>
        <w:rPr>
          <w:rFonts w:ascii="宋体" w:hAnsi="宋体" w:cs="宋体"/>
          <w:snapToGrid w:val="0"/>
          <w:color w:val="000000" w:themeColor="text1"/>
          <w:spacing w:val="-1"/>
          <w:kern w:val="0"/>
          <w:sz w:val="24"/>
          <w:highlight w:val="none"/>
          <w14:textFill>
            <w14:solidFill>
              <w14:schemeClr w14:val="tx1"/>
            </w14:solidFill>
          </w14:textFill>
        </w:rPr>
        <w:t>招标人与投标人为谋求特定投标人中标而采取的其他串通行为。</w:t>
      </w:r>
    </w:p>
    <w:p w14:paraId="138592BA">
      <w:pPr>
        <w:widowControl/>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w:t>
      </w:r>
      <w:r>
        <w:rPr>
          <w:rFonts w:eastAsia="Times New Roman"/>
          <w:snapToGrid w:val="0"/>
          <w:color w:val="000000" w:themeColor="text1"/>
          <w:spacing w:val="-1"/>
          <w:kern w:val="0"/>
          <w:sz w:val="24"/>
          <w:highlight w:val="none"/>
          <w14:textFill>
            <w14:solidFill>
              <w14:schemeClr w14:val="tx1"/>
            </w14:solidFill>
          </w14:textFill>
        </w:rPr>
        <w:t>4</w:t>
      </w:r>
      <w:r>
        <w:rPr>
          <w:rFonts w:ascii="宋体" w:hAnsi="宋体" w:cs="宋体"/>
          <w:snapToGrid w:val="0"/>
          <w:color w:val="000000" w:themeColor="text1"/>
          <w:spacing w:val="-1"/>
          <w:kern w:val="0"/>
          <w:sz w:val="24"/>
          <w:highlight w:val="none"/>
          <w14:textFill>
            <w14:solidFill>
              <w14:schemeClr w14:val="tx1"/>
            </w14:solidFill>
          </w14:textFill>
        </w:rPr>
        <w:t>）投标人有下列情形之一的，属于弄虚作假的行为：</w:t>
      </w:r>
    </w:p>
    <w:p w14:paraId="0F75383D">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a.</w:t>
      </w:r>
      <w:r>
        <w:rPr>
          <w:rFonts w:ascii="宋体" w:hAnsi="宋体" w:cs="宋体"/>
          <w:snapToGrid w:val="0"/>
          <w:color w:val="000000" w:themeColor="text1"/>
          <w:spacing w:val="-1"/>
          <w:kern w:val="0"/>
          <w:sz w:val="24"/>
          <w:highlight w:val="none"/>
          <w14:textFill>
            <w14:solidFill>
              <w14:schemeClr w14:val="tx1"/>
            </w14:solidFill>
          </w14:textFill>
        </w:rPr>
        <w:t>使用通过受让或租借等方式获取的资格、资质证书投标；</w:t>
      </w:r>
    </w:p>
    <w:p w14:paraId="38389654">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b.</w:t>
      </w:r>
      <w:r>
        <w:rPr>
          <w:rFonts w:ascii="宋体" w:hAnsi="宋体" w:cs="宋体"/>
          <w:snapToGrid w:val="0"/>
          <w:color w:val="000000" w:themeColor="text1"/>
          <w:kern w:val="0"/>
          <w:sz w:val="24"/>
          <w:highlight w:val="none"/>
          <w14:textFill>
            <w14:solidFill>
              <w14:schemeClr w14:val="tx1"/>
            </w14:solidFill>
          </w14:textFill>
        </w:rPr>
        <w:t>使用伪造、变造的许可证件；</w:t>
      </w:r>
    </w:p>
    <w:p w14:paraId="20B4A473">
      <w:pPr>
        <w:widowControl/>
        <w:autoSpaceDE w:val="0"/>
        <w:autoSpaceDN w:val="0"/>
        <w:adjustRightInd w:val="0"/>
        <w:snapToGrid w:val="0"/>
        <w:spacing w:line="360" w:lineRule="auto"/>
        <w:ind w:left="8"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c.</w:t>
      </w:r>
      <w:r>
        <w:rPr>
          <w:rFonts w:ascii="宋体" w:hAnsi="宋体" w:cs="宋体"/>
          <w:snapToGrid w:val="0"/>
          <w:color w:val="000000" w:themeColor="text1"/>
          <w:spacing w:val="-1"/>
          <w:kern w:val="0"/>
          <w:sz w:val="24"/>
          <w:highlight w:val="none"/>
          <w14:textFill>
            <w14:solidFill>
              <w14:schemeClr w14:val="tx1"/>
            </w14:solidFill>
          </w14:textFill>
        </w:rPr>
        <w:t>提供虚假的财务状况或业绩；</w:t>
      </w:r>
    </w:p>
    <w:p w14:paraId="0C405DBF">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d.</w:t>
      </w:r>
      <w:r>
        <w:rPr>
          <w:rFonts w:ascii="宋体" w:hAnsi="宋体" w:cs="宋体"/>
          <w:snapToGrid w:val="0"/>
          <w:color w:val="000000" w:themeColor="text1"/>
          <w:kern w:val="0"/>
          <w:sz w:val="24"/>
          <w:highlight w:val="none"/>
          <w14:textFill>
            <w14:solidFill>
              <w14:schemeClr w14:val="tx1"/>
            </w14:solidFill>
          </w14:textFill>
        </w:rPr>
        <w:t>提供虚假的项目负责人或主要技术人员简</w:t>
      </w:r>
      <w:r>
        <w:rPr>
          <w:rFonts w:ascii="宋体" w:hAnsi="宋体" w:cs="宋体"/>
          <w:snapToGrid w:val="0"/>
          <w:color w:val="000000" w:themeColor="text1"/>
          <w:spacing w:val="-1"/>
          <w:kern w:val="0"/>
          <w:sz w:val="24"/>
          <w:highlight w:val="none"/>
          <w14:textFill>
            <w14:solidFill>
              <w14:schemeClr w14:val="tx1"/>
            </w14:solidFill>
          </w14:textFill>
        </w:rPr>
        <w:t>历、劳动关系证明；</w:t>
      </w:r>
    </w:p>
    <w:p w14:paraId="102025E0">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e.</w:t>
      </w:r>
      <w:r>
        <w:rPr>
          <w:rFonts w:ascii="宋体" w:hAnsi="宋体" w:cs="宋体"/>
          <w:snapToGrid w:val="0"/>
          <w:color w:val="000000" w:themeColor="text1"/>
          <w:spacing w:val="-1"/>
          <w:kern w:val="0"/>
          <w:sz w:val="24"/>
          <w:highlight w:val="none"/>
          <w14:textFill>
            <w14:solidFill>
              <w14:schemeClr w14:val="tx1"/>
            </w14:solidFill>
          </w14:textFill>
        </w:rPr>
        <w:t>提供虚假的信用状况；</w:t>
      </w:r>
    </w:p>
    <w:p w14:paraId="2CFA347A">
      <w:pPr>
        <w:widowControl/>
        <w:autoSpaceDE w:val="0"/>
        <w:autoSpaceDN w:val="0"/>
        <w:adjustRightInd w:val="0"/>
        <w:snapToGrid w:val="0"/>
        <w:spacing w:line="360" w:lineRule="auto"/>
        <w:ind w:left="9"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f.</w:t>
      </w:r>
      <w:r>
        <w:rPr>
          <w:rFonts w:ascii="宋体" w:hAnsi="宋体" w:cs="宋体"/>
          <w:snapToGrid w:val="0"/>
          <w:color w:val="000000" w:themeColor="text1"/>
          <w:spacing w:val="-1"/>
          <w:kern w:val="0"/>
          <w:sz w:val="24"/>
          <w:highlight w:val="none"/>
          <w14:textFill>
            <w14:solidFill>
              <w14:schemeClr w14:val="tx1"/>
            </w14:solidFill>
          </w14:textFill>
        </w:rPr>
        <w:t>其他弄虚作假的行为。</w:t>
      </w:r>
    </w:p>
    <w:p w14:paraId="21C980F2">
      <w:pPr>
        <w:widowControl/>
        <w:autoSpaceDE w:val="0"/>
        <w:autoSpaceDN w:val="0"/>
        <w:adjustRightInd w:val="0"/>
        <w:snapToGrid w:val="0"/>
        <w:spacing w:line="360" w:lineRule="auto"/>
        <w:ind w:left="9" w:firstLine="468" w:firstLineChars="20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 xml:space="preserve">3.6.3 </w:t>
      </w:r>
      <w:r>
        <w:rPr>
          <w:rFonts w:ascii="宋体" w:hAnsi="宋体" w:cs="宋体"/>
          <w:snapToGrid w:val="0"/>
          <w:color w:val="000000" w:themeColor="text1"/>
          <w:spacing w:val="-3"/>
          <w:kern w:val="0"/>
          <w:sz w:val="24"/>
          <w:highlight w:val="none"/>
          <w14:textFill>
            <w14:solidFill>
              <w14:schemeClr w14:val="tx1"/>
            </w14:solidFill>
          </w14:textFill>
        </w:rPr>
        <w:t>依法必须进行招标的项目，除第一中标候选人或者中标人，其他投标人存在串通投</w:t>
      </w:r>
      <w:r>
        <w:rPr>
          <w:rFonts w:ascii="宋体" w:hAnsi="宋体" w:cs="宋体"/>
          <w:snapToGrid w:val="0"/>
          <w:color w:val="000000" w:themeColor="text1"/>
          <w:spacing w:val="-2"/>
          <w:kern w:val="0"/>
          <w:sz w:val="24"/>
          <w:highlight w:val="none"/>
          <w14:textFill>
            <w14:solidFill>
              <w14:schemeClr w14:val="tx1"/>
            </w14:solidFill>
          </w14:textFill>
        </w:rPr>
        <w:t>标、弄虚作假、行贿情形且在评标过程中未被发现的，视为对中标结果没有造成实质性</w:t>
      </w:r>
      <w:r>
        <w:rPr>
          <w:rFonts w:ascii="宋体" w:hAnsi="宋体" w:cs="宋体"/>
          <w:snapToGrid w:val="0"/>
          <w:color w:val="000000" w:themeColor="text1"/>
          <w:spacing w:val="-6"/>
          <w:kern w:val="0"/>
          <w:sz w:val="24"/>
          <w:highlight w:val="none"/>
          <w14:textFill>
            <w14:solidFill>
              <w14:schemeClr w14:val="tx1"/>
            </w14:solidFill>
          </w14:textFill>
        </w:rPr>
        <w:t>影响，招标人可以依法继续开展招标活动。投标人的违法行为由行政监督部门依法处理。</w:t>
      </w:r>
    </w:p>
    <w:p w14:paraId="52E7F64B">
      <w:pPr>
        <w:pStyle w:val="6"/>
        <w:spacing w:before="168" w:after="120"/>
        <w:rPr>
          <w:color w:val="000000" w:themeColor="text1"/>
          <w:highlight w:val="none"/>
          <w14:textFill>
            <w14:solidFill>
              <w14:schemeClr w14:val="tx1"/>
            </w14:solidFill>
          </w14:textFill>
        </w:rPr>
      </w:pPr>
      <w:bookmarkStart w:id="111" w:name="_Toc31835"/>
      <w:r>
        <w:rPr>
          <w:color w:val="000000" w:themeColor="text1"/>
          <w:highlight w:val="none"/>
          <w14:textFill>
            <w14:solidFill>
              <w14:schemeClr w14:val="tx1"/>
            </w14:solidFill>
          </w14:textFill>
        </w:rPr>
        <w:t>3.7 投标文件的澄清和说明</w:t>
      </w:r>
      <w:bookmarkEnd w:id="111"/>
    </w:p>
    <w:p w14:paraId="535D8638">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3.7.1  </w:t>
      </w:r>
      <w:r>
        <w:rPr>
          <w:rFonts w:ascii="宋体" w:hAnsi="宋体" w:cs="宋体"/>
          <w:snapToGrid w:val="0"/>
          <w:color w:val="000000" w:themeColor="text1"/>
          <w:kern w:val="0"/>
          <w:sz w:val="24"/>
          <w:highlight w:val="none"/>
          <w14:textFill>
            <w14:solidFill>
              <w14:schemeClr w14:val="tx1"/>
            </w14:solidFill>
          </w14:textFill>
        </w:rPr>
        <w:t>在评标过程中，评标委员会可以要求投标人对投标文件</w:t>
      </w:r>
      <w:r>
        <w:rPr>
          <w:rFonts w:ascii="宋体" w:hAnsi="宋体" w:cs="宋体"/>
          <w:snapToGrid w:val="0"/>
          <w:color w:val="000000" w:themeColor="text1"/>
          <w:spacing w:val="-1"/>
          <w:kern w:val="0"/>
          <w:sz w:val="24"/>
          <w:highlight w:val="none"/>
          <w14:textFill>
            <w14:solidFill>
              <w14:schemeClr w14:val="tx1"/>
            </w14:solidFill>
          </w14:textFill>
        </w:rPr>
        <w:t>中含义不明确的内容、明</w:t>
      </w:r>
      <w:r>
        <w:rPr>
          <w:rFonts w:ascii="宋体" w:hAnsi="宋体" w:cs="宋体"/>
          <w:snapToGrid w:val="0"/>
          <w:color w:val="000000" w:themeColor="text1"/>
          <w:spacing w:val="-2"/>
          <w:kern w:val="0"/>
          <w:sz w:val="24"/>
          <w:highlight w:val="none"/>
          <w14:textFill>
            <w14:solidFill>
              <w14:schemeClr w14:val="tx1"/>
            </w14:solidFill>
          </w14:textFill>
        </w:rPr>
        <w:t>显文字或计算错误进行书面澄清或说明。评标委员会不接受投标人主动提出的澄清、说</w:t>
      </w:r>
      <w:r>
        <w:rPr>
          <w:rFonts w:ascii="宋体" w:hAnsi="宋体" w:cs="宋体"/>
          <w:snapToGrid w:val="0"/>
          <w:color w:val="000000" w:themeColor="text1"/>
          <w:spacing w:val="-1"/>
          <w:kern w:val="0"/>
          <w:sz w:val="24"/>
          <w:highlight w:val="none"/>
          <w14:textFill>
            <w14:solidFill>
              <w14:schemeClr w14:val="tx1"/>
            </w14:solidFill>
          </w14:textFill>
        </w:rPr>
        <w:t>明。投标人不按评标委员会要求澄清或说明的，评标委员会应否决其投标。</w:t>
      </w:r>
    </w:p>
    <w:p w14:paraId="7BC54C59">
      <w:pPr>
        <w:widowControl/>
        <w:autoSpaceDE w:val="0"/>
        <w:autoSpaceDN w:val="0"/>
        <w:adjustRightInd w:val="0"/>
        <w:snapToGrid w:val="0"/>
        <w:spacing w:line="360" w:lineRule="auto"/>
        <w:ind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3.7.2  </w:t>
      </w:r>
      <w:r>
        <w:rPr>
          <w:rFonts w:ascii="宋体" w:hAnsi="宋体" w:cs="宋体"/>
          <w:snapToGrid w:val="0"/>
          <w:color w:val="000000" w:themeColor="text1"/>
          <w:kern w:val="0"/>
          <w:sz w:val="24"/>
          <w:highlight w:val="none"/>
          <w14:textFill>
            <w14:solidFill>
              <w14:schemeClr w14:val="tx1"/>
            </w14:solidFill>
          </w14:textFill>
        </w:rPr>
        <w:t>澄清和说明不得超出投标文件的范围或改变投标文件的</w:t>
      </w:r>
      <w:r>
        <w:rPr>
          <w:rFonts w:ascii="宋体" w:hAnsi="宋体" w:cs="宋体"/>
          <w:snapToGrid w:val="0"/>
          <w:color w:val="000000" w:themeColor="text1"/>
          <w:spacing w:val="-1"/>
          <w:kern w:val="0"/>
          <w:sz w:val="24"/>
          <w:highlight w:val="none"/>
          <w14:textFill>
            <w14:solidFill>
              <w14:schemeClr w14:val="tx1"/>
            </w14:solidFill>
          </w14:textFill>
        </w:rPr>
        <w:t>实质性内容（算术性错误的修正除外）。投标人的书面澄清、说明属于投标文件的组成部分。</w:t>
      </w:r>
    </w:p>
    <w:p w14:paraId="58BE067A">
      <w:pPr>
        <w:widowControl/>
        <w:autoSpaceDE w:val="0"/>
        <w:autoSpaceDN w:val="0"/>
        <w:adjustRightInd w:val="0"/>
        <w:snapToGrid w:val="0"/>
        <w:spacing w:line="360" w:lineRule="auto"/>
        <w:ind w:left="8"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3.7.3  </w:t>
      </w:r>
      <w:r>
        <w:rPr>
          <w:rFonts w:ascii="宋体" w:hAnsi="宋体" w:cs="宋体"/>
          <w:snapToGrid w:val="0"/>
          <w:color w:val="000000" w:themeColor="text1"/>
          <w:kern w:val="0"/>
          <w:sz w:val="24"/>
          <w:highlight w:val="none"/>
          <w14:textFill>
            <w14:solidFill>
              <w14:schemeClr w14:val="tx1"/>
            </w14:solidFill>
          </w14:textFill>
        </w:rPr>
        <w:t>评标委员会不得暗示或诱导投标人作出澄清、说明，对</w:t>
      </w:r>
      <w:r>
        <w:rPr>
          <w:rFonts w:ascii="宋体" w:hAnsi="宋体" w:cs="宋体"/>
          <w:snapToGrid w:val="0"/>
          <w:color w:val="000000" w:themeColor="text1"/>
          <w:spacing w:val="-1"/>
          <w:kern w:val="0"/>
          <w:sz w:val="24"/>
          <w:highlight w:val="none"/>
          <w14:textFill>
            <w14:solidFill>
              <w14:schemeClr w14:val="tx1"/>
            </w14:solidFill>
          </w14:textFill>
        </w:rPr>
        <w:t>投标人提交的澄清、说明</w:t>
      </w:r>
      <w:r>
        <w:rPr>
          <w:rFonts w:ascii="宋体" w:hAnsi="宋体" w:cs="宋体"/>
          <w:snapToGrid w:val="0"/>
          <w:color w:val="000000" w:themeColor="text1"/>
          <w:kern w:val="0"/>
          <w:sz w:val="24"/>
          <w:highlight w:val="none"/>
          <w14:textFill>
            <w14:solidFill>
              <w14:schemeClr w14:val="tx1"/>
            </w14:solidFill>
          </w14:textFill>
        </w:rPr>
        <w:t>有疑问的，可以要求投标人进一步澄清或说明，直</w:t>
      </w:r>
      <w:r>
        <w:rPr>
          <w:rFonts w:ascii="宋体" w:hAnsi="宋体" w:cs="宋体"/>
          <w:snapToGrid w:val="0"/>
          <w:color w:val="000000" w:themeColor="text1"/>
          <w:spacing w:val="-1"/>
          <w:kern w:val="0"/>
          <w:sz w:val="24"/>
          <w:highlight w:val="none"/>
          <w14:textFill>
            <w14:solidFill>
              <w14:schemeClr w14:val="tx1"/>
            </w14:solidFill>
          </w14:textFill>
        </w:rPr>
        <w:t>至满足评标委员会的要求。</w:t>
      </w:r>
    </w:p>
    <w:p w14:paraId="44ABBD41">
      <w:pPr>
        <w:widowControl/>
        <w:autoSpaceDE w:val="0"/>
        <w:autoSpaceDN w:val="0"/>
        <w:adjustRightInd w:val="0"/>
        <w:snapToGrid w:val="0"/>
        <w:spacing w:line="360" w:lineRule="auto"/>
        <w:ind w:left="7"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3.7.4  </w:t>
      </w:r>
      <w:r>
        <w:rPr>
          <w:rFonts w:ascii="宋体" w:hAnsi="宋体" w:cs="宋体"/>
          <w:snapToGrid w:val="0"/>
          <w:color w:val="000000" w:themeColor="text1"/>
          <w:kern w:val="0"/>
          <w:sz w:val="24"/>
          <w:highlight w:val="none"/>
          <w14:textFill>
            <w14:solidFill>
              <w14:schemeClr w14:val="tx1"/>
            </w14:solidFill>
          </w14:textFill>
        </w:rPr>
        <w:t>凡超出招标文件规定的或给发包人带来未曾要求的利益</w:t>
      </w:r>
      <w:r>
        <w:rPr>
          <w:rFonts w:ascii="宋体" w:hAnsi="宋体" w:cs="宋体"/>
          <w:snapToGrid w:val="0"/>
          <w:color w:val="000000" w:themeColor="text1"/>
          <w:spacing w:val="-1"/>
          <w:kern w:val="0"/>
          <w:sz w:val="24"/>
          <w:highlight w:val="none"/>
          <w14:textFill>
            <w14:solidFill>
              <w14:schemeClr w14:val="tx1"/>
            </w14:solidFill>
          </w14:textFill>
        </w:rPr>
        <w:t>的变化、偏差或其他因素在评标时不予考虑。</w:t>
      </w:r>
    </w:p>
    <w:p w14:paraId="3312B2AF">
      <w:pPr>
        <w:pStyle w:val="6"/>
        <w:spacing w:before="168" w:after="120"/>
        <w:rPr>
          <w:color w:val="000000" w:themeColor="text1"/>
          <w:highlight w:val="none"/>
          <w14:textFill>
            <w14:solidFill>
              <w14:schemeClr w14:val="tx1"/>
            </w14:solidFill>
          </w14:textFill>
        </w:rPr>
      </w:pPr>
      <w:bookmarkStart w:id="112" w:name="_Toc24396"/>
      <w:r>
        <w:rPr>
          <w:color w:val="000000" w:themeColor="text1"/>
          <w:highlight w:val="none"/>
          <w14:textFill>
            <w14:solidFill>
              <w14:schemeClr w14:val="tx1"/>
            </w14:solidFill>
          </w14:textFill>
        </w:rPr>
        <w:t>3.8 不得否决投标的情形</w:t>
      </w:r>
      <w:bookmarkEnd w:id="112"/>
    </w:p>
    <w:p w14:paraId="162724E1">
      <w:pPr>
        <w:widowControl/>
        <w:wordWrap w:val="0"/>
        <w:topLinePunct/>
        <w:adjustRightInd w:val="0"/>
        <w:snapToGrid w:val="0"/>
        <w:spacing w:line="360" w:lineRule="auto"/>
        <w:ind w:left="6"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投标文件存在第二章“投标人须知</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 xml:space="preserve">”第 </w:t>
      </w:r>
      <w:r>
        <w:rPr>
          <w:rFonts w:eastAsia="Times New Roman"/>
          <w:snapToGrid w:val="0"/>
          <w:color w:val="000000" w:themeColor="text1"/>
          <w:spacing w:val="-1"/>
          <w:kern w:val="0"/>
          <w:sz w:val="24"/>
          <w:highlight w:val="none"/>
          <w14:textFill>
            <w14:solidFill>
              <w14:schemeClr w14:val="tx1"/>
            </w14:solidFill>
          </w14:textFill>
        </w:rPr>
        <w:t xml:space="preserve">1.12.3 </w:t>
      </w:r>
      <w:r>
        <w:rPr>
          <w:rFonts w:ascii="宋体" w:hAnsi="宋体" w:cs="宋体"/>
          <w:snapToGrid w:val="0"/>
          <w:color w:val="000000" w:themeColor="text1"/>
          <w:spacing w:val="-1"/>
          <w:kern w:val="0"/>
          <w:sz w:val="24"/>
          <w:highlight w:val="none"/>
          <w14:textFill>
            <w14:solidFill>
              <w14:schemeClr w14:val="tx1"/>
            </w14:solidFill>
          </w14:textFill>
        </w:rPr>
        <w:t>项所列情形的，均视为细微偏差</w:t>
      </w:r>
      <w:r>
        <w:rPr>
          <w:rFonts w:ascii="宋体" w:hAnsi="宋体" w:cs="宋体"/>
          <w:snapToGrid w:val="0"/>
          <w:color w:val="000000" w:themeColor="text1"/>
          <w:spacing w:val="-2"/>
          <w:kern w:val="0"/>
          <w:sz w:val="24"/>
          <w:highlight w:val="none"/>
          <w14:textFill>
            <w14:solidFill>
              <w14:schemeClr w14:val="tx1"/>
            </w14:solidFill>
          </w14:textFill>
        </w:rPr>
        <w:t>，评标</w:t>
      </w:r>
      <w:r>
        <w:rPr>
          <w:rFonts w:ascii="宋体" w:hAnsi="宋体" w:cs="宋体"/>
          <w:snapToGrid w:val="0"/>
          <w:color w:val="000000" w:themeColor="text1"/>
          <w:spacing w:val="-1"/>
          <w:kern w:val="0"/>
          <w:sz w:val="24"/>
          <w:highlight w:val="none"/>
          <w14:textFill>
            <w14:solidFill>
              <w14:schemeClr w14:val="tx1"/>
            </w14:solidFill>
          </w14:textFill>
        </w:rPr>
        <w:t>委员会不得否决投标人的投标，应按照第二章“投标人须知</w:t>
      </w:r>
      <w:r>
        <w:rPr>
          <w:rFonts w:ascii="宋体" w:hAnsi="宋体" w:cs="宋体"/>
          <w:snapToGrid w:val="0"/>
          <w:color w:val="000000" w:themeColor="text1"/>
          <w:spacing w:val="-8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 xml:space="preserve">”第 </w:t>
      </w:r>
      <w:r>
        <w:rPr>
          <w:rFonts w:eastAsia="Times New Roman"/>
          <w:snapToGrid w:val="0"/>
          <w:color w:val="000000" w:themeColor="text1"/>
          <w:spacing w:val="-1"/>
          <w:kern w:val="0"/>
          <w:sz w:val="24"/>
          <w:highlight w:val="none"/>
          <w14:textFill>
            <w14:solidFill>
              <w14:schemeClr w14:val="tx1"/>
            </w14:solidFill>
          </w14:textFill>
        </w:rPr>
        <w:t xml:space="preserve">1.12.4 </w:t>
      </w:r>
      <w:r>
        <w:rPr>
          <w:rFonts w:ascii="宋体" w:hAnsi="宋体" w:cs="宋体"/>
          <w:snapToGrid w:val="0"/>
          <w:color w:val="000000" w:themeColor="text1"/>
          <w:spacing w:val="-1"/>
          <w:kern w:val="0"/>
          <w:sz w:val="24"/>
          <w:highlight w:val="none"/>
          <w14:textFill>
            <w14:solidFill>
              <w14:schemeClr w14:val="tx1"/>
            </w14:solidFill>
          </w14:textFill>
        </w:rPr>
        <w:t>项规定的原则</w:t>
      </w:r>
      <w:r>
        <w:rPr>
          <w:rFonts w:ascii="宋体" w:hAnsi="宋体" w:cs="宋体"/>
          <w:snapToGrid w:val="0"/>
          <w:color w:val="000000" w:themeColor="text1"/>
          <w:spacing w:val="-3"/>
          <w:kern w:val="0"/>
          <w:sz w:val="24"/>
          <w:highlight w:val="none"/>
          <w14:textFill>
            <w14:solidFill>
              <w14:schemeClr w14:val="tx1"/>
            </w14:solidFill>
          </w14:textFill>
        </w:rPr>
        <w:t>处理。</w:t>
      </w:r>
    </w:p>
    <w:p w14:paraId="15A8A79A">
      <w:pPr>
        <w:pStyle w:val="6"/>
        <w:spacing w:before="168" w:after="120"/>
        <w:rPr>
          <w:rFonts w:hint="eastAsia" w:ascii="黑体" w:hAnsi="黑体" w:eastAsia="黑体" w:cs="黑体"/>
          <w:snapToGrid w:val="0"/>
          <w:color w:val="000000" w:themeColor="text1"/>
          <w:kern w:val="0"/>
          <w:szCs w:val="24"/>
          <w:highlight w:val="none"/>
          <w14:textFill>
            <w14:solidFill>
              <w14:schemeClr w14:val="tx1"/>
            </w14:solidFill>
          </w14:textFill>
        </w:rPr>
      </w:pPr>
      <w:bookmarkStart w:id="113" w:name="_Toc14909"/>
      <w:r>
        <w:rPr>
          <w:color w:val="000000" w:themeColor="text1"/>
          <w:highlight w:val="none"/>
          <w14:textFill>
            <w14:solidFill>
              <w14:schemeClr w14:val="tx1"/>
            </w14:solidFill>
          </w14:textFill>
        </w:rPr>
        <w:t>3.9 评标结果</w:t>
      </w:r>
      <w:bookmarkEnd w:id="113"/>
    </w:p>
    <w:p w14:paraId="6BFD6E3B">
      <w:pPr>
        <w:widowControl/>
        <w:autoSpaceDE w:val="0"/>
        <w:autoSpaceDN w:val="0"/>
        <w:adjustRightInd w:val="0"/>
        <w:snapToGrid w:val="0"/>
        <w:spacing w:line="360" w:lineRule="auto"/>
        <w:ind w:left="7" w:right="99" w:firstLine="480"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3.9.1  </w:t>
      </w:r>
      <w:r>
        <w:rPr>
          <w:rFonts w:hint="eastAsia" w:ascii="宋体" w:hAnsi="宋体" w:cs="宋体"/>
          <w:snapToGrid w:val="0"/>
          <w:color w:val="000000" w:themeColor="text1"/>
          <w:kern w:val="0"/>
          <w:sz w:val="24"/>
          <w:highlight w:val="none"/>
          <w14:textFill>
            <w14:solidFill>
              <w14:schemeClr w14:val="tx1"/>
            </w14:solidFill>
          </w14:textFill>
        </w:rPr>
        <w:t>除第二章“投标人须知”前附表授权直接确定中标人外，评标委员会将得分前5名的投标人按要求作为定标候选人推荐给招标人（按企业统一社会信用代码后 4 位</w:t>
      </w:r>
      <w:r>
        <w:rPr>
          <w:rFonts w:hint="eastAsia" w:ascii="宋体" w:hAnsi="宋体" w:cs="宋体"/>
          <w:snapToGrid w:val="0"/>
          <w:color w:val="000000" w:themeColor="text1"/>
          <w:kern w:val="0"/>
          <w:sz w:val="24"/>
          <w:highlight w:val="none"/>
          <w:lang w:val="en-US" w:eastAsia="zh-CN"/>
          <w14:textFill>
            <w14:solidFill>
              <w14:schemeClr w14:val="tx1"/>
            </w14:solidFill>
          </w14:textFill>
        </w:rPr>
        <w:t>由</w:t>
      </w:r>
      <w:r>
        <w:rPr>
          <w:rFonts w:hint="eastAsia" w:ascii="宋体" w:hAnsi="宋体" w:cs="宋体"/>
          <w:snapToGrid w:val="0"/>
          <w:color w:val="000000" w:themeColor="text1"/>
          <w:kern w:val="0"/>
          <w:sz w:val="24"/>
          <w:highlight w:val="none"/>
          <w14:textFill>
            <w14:solidFill>
              <w14:schemeClr w14:val="tx1"/>
            </w14:solidFill>
          </w14:textFill>
        </w:rPr>
        <w:t>大</w:t>
      </w:r>
      <w:r>
        <w:rPr>
          <w:rFonts w:hint="eastAsia" w:ascii="宋体" w:hAnsi="宋体" w:cs="宋体"/>
          <w:snapToGrid w:val="0"/>
          <w:color w:val="000000" w:themeColor="text1"/>
          <w:kern w:val="0"/>
          <w:sz w:val="24"/>
          <w:highlight w:val="none"/>
          <w:lang w:val="en-US" w:eastAsia="zh-CN"/>
          <w14:textFill>
            <w14:solidFill>
              <w14:schemeClr w14:val="tx1"/>
            </w14:solidFill>
          </w14:textFill>
        </w:rPr>
        <w:t>到</w:t>
      </w:r>
      <w:r>
        <w:rPr>
          <w:rFonts w:hint="eastAsia" w:ascii="宋体" w:hAnsi="宋体" w:cs="宋体"/>
          <w:snapToGrid w:val="0"/>
          <w:color w:val="000000" w:themeColor="text1"/>
          <w:kern w:val="0"/>
          <w:sz w:val="24"/>
          <w:highlight w:val="none"/>
          <w14:textFill>
            <w14:solidFill>
              <w14:schemeClr w14:val="tx1"/>
            </w14:solidFill>
          </w14:textFill>
        </w:rPr>
        <w:t>小排位）。</w:t>
      </w:r>
    </w:p>
    <w:p w14:paraId="0AB97E6D">
      <w:pPr>
        <w:widowControl/>
        <w:autoSpaceDE w:val="0"/>
        <w:autoSpaceDN w:val="0"/>
        <w:adjustRightInd w:val="0"/>
        <w:snapToGrid w:val="0"/>
        <w:spacing w:line="360" w:lineRule="auto"/>
        <w:ind w:left="7" w:right="1" w:firstLine="480" w:firstLineChars="200"/>
        <w:jc w:val="left"/>
        <w:textAlignment w:val="baseline"/>
        <w:rPr>
          <w:rFonts w:hint="eastAsia" w:ascii="宋体" w:hAnsi="宋体" w:eastAsia="宋体" w:cs="宋体"/>
          <w:snapToGrid w:val="0"/>
          <w:color w:val="000000" w:themeColor="text1"/>
          <w:spacing w:val="-1"/>
          <w:kern w:val="0"/>
          <w:sz w:val="24"/>
          <w:szCs w:val="24"/>
          <w:highlight w:val="none"/>
          <w:lang w:val="en-US" w:eastAsia="zh-CN"/>
          <w14:textFill>
            <w14:solidFill>
              <w14:schemeClr w14:val="tx1"/>
            </w14:solidFill>
          </w14:textFill>
        </w:rPr>
      </w:pPr>
      <w:r>
        <w:rPr>
          <w:rFonts w:eastAsia="Times New Roman"/>
          <w:snapToGrid w:val="0"/>
          <w:color w:val="000000" w:themeColor="text1"/>
          <w:kern w:val="0"/>
          <w:sz w:val="24"/>
          <w:highlight w:val="none"/>
          <w14:textFill>
            <w14:solidFill>
              <w14:schemeClr w14:val="tx1"/>
            </w14:solidFill>
          </w14:textFill>
        </w:rPr>
        <w:t xml:space="preserve">3.9.2  </w:t>
      </w:r>
      <w:r>
        <w:rPr>
          <w:rFonts w:ascii="宋体" w:hAnsi="宋体" w:cs="宋体"/>
          <w:snapToGrid w:val="0"/>
          <w:color w:val="000000" w:themeColor="text1"/>
          <w:kern w:val="0"/>
          <w:sz w:val="24"/>
          <w:highlight w:val="none"/>
          <w14:textFill>
            <w14:solidFill>
              <w14:schemeClr w14:val="tx1"/>
            </w14:solidFill>
          </w14:textFill>
        </w:rPr>
        <w:t>评标委员会完成评标后，应向招</w:t>
      </w:r>
      <w:r>
        <w:rPr>
          <w:rFonts w:ascii="宋体" w:hAnsi="宋体" w:cs="宋体"/>
          <w:snapToGrid w:val="0"/>
          <w:color w:val="000000" w:themeColor="text1"/>
          <w:spacing w:val="-1"/>
          <w:kern w:val="0"/>
          <w:sz w:val="24"/>
          <w:highlight w:val="none"/>
          <w14:textFill>
            <w14:solidFill>
              <w14:schemeClr w14:val="tx1"/>
            </w14:solidFill>
          </w14:textFill>
        </w:rPr>
        <w:t>标人提交书面评标报告</w:t>
      </w:r>
      <w:r>
        <w:rPr>
          <w:rFonts w:hint="eastAsia" w:ascii="宋体" w:hAnsi="宋体" w:cs="宋体"/>
          <w:snapToGrid w:val="0"/>
          <w:color w:val="000000" w:themeColor="text1"/>
          <w:spacing w:val="-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spacing w:val="-1"/>
          <w:kern w:val="0"/>
          <w:sz w:val="24"/>
          <w:szCs w:val="24"/>
          <w:highlight w:val="none"/>
          <w:lang w:val="en-US" w:eastAsia="zh-CN"/>
          <w14:textFill>
            <w14:solidFill>
              <w14:schemeClr w14:val="tx1"/>
            </w14:solidFill>
          </w14:textFill>
        </w:rPr>
        <w:t>并在</w:t>
      </w:r>
      <w:r>
        <w:rPr>
          <w:rFonts w:ascii="宋体" w:hAnsi="宋体" w:eastAsia="宋体" w:cs="宋体"/>
          <w:snapToGrid w:val="0"/>
          <w:color w:val="000000" w:themeColor="text1"/>
          <w:spacing w:val="-1"/>
          <w:kern w:val="0"/>
          <w:sz w:val="24"/>
          <w:szCs w:val="24"/>
          <w:highlight w:val="none"/>
          <w:lang w:eastAsia="en-US"/>
          <w14:textFill>
            <w14:solidFill>
              <w14:schemeClr w14:val="tx1"/>
            </w14:solidFill>
          </w14:textFill>
        </w:rPr>
        <w:t>书面评标报告</w:t>
      </w:r>
      <w:r>
        <w:rPr>
          <w:rFonts w:hint="eastAsia" w:ascii="宋体" w:hAnsi="宋体" w:eastAsia="宋体" w:cs="宋体"/>
          <w:color w:val="000000" w:themeColor="text1"/>
          <w:sz w:val="24"/>
          <w:szCs w:val="24"/>
          <w:highlight w:val="none"/>
          <w14:textFill>
            <w14:solidFill>
              <w14:schemeClr w14:val="tx1"/>
            </w14:solidFill>
          </w14:textFill>
        </w:rPr>
        <w:t>对每个定标候选人的优势、风险等评审情况进行说明</w:t>
      </w:r>
      <w:r>
        <w:rPr>
          <w:rFonts w:hint="eastAsia" w:ascii="宋体" w:hAnsi="宋体" w:eastAsia="宋体" w:cs="宋体"/>
          <w:snapToGrid w:val="0"/>
          <w:color w:val="000000" w:themeColor="text1"/>
          <w:spacing w:val="-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spacing w:val="-1"/>
          <w:kern w:val="0"/>
          <w:sz w:val="24"/>
          <w:szCs w:val="24"/>
          <w:highlight w:val="none"/>
          <w:lang w:val="en-US" w:eastAsia="zh-CN"/>
          <w14:textFill>
            <w14:solidFill>
              <w14:schemeClr w14:val="tx1"/>
            </w14:solidFill>
          </w14:textFill>
        </w:rPr>
        <w:t>评标委员会所有成员应在评标报告上逐页签字。</w:t>
      </w:r>
    </w:p>
    <w:p w14:paraId="7896EC3B">
      <w:pPr>
        <w:widowControl/>
        <w:autoSpaceDE w:val="0"/>
        <w:autoSpaceDN w:val="0"/>
        <w:adjustRightInd w:val="0"/>
        <w:snapToGrid w:val="0"/>
        <w:spacing w:line="360" w:lineRule="auto"/>
        <w:ind w:left="7" w:right="1"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1"/>
          <w:kern w:val="0"/>
          <w:sz w:val="24"/>
          <w:highlight w:val="none"/>
          <w14:textFill>
            <w14:solidFill>
              <w14:schemeClr w14:val="tx1"/>
            </w14:solidFill>
          </w14:textFill>
        </w:rPr>
        <w:t xml:space="preserve">3.9.3  </w:t>
      </w:r>
      <w:r>
        <w:rPr>
          <w:rFonts w:ascii="宋体" w:hAnsi="宋体" w:cs="宋体"/>
          <w:snapToGrid w:val="0"/>
          <w:color w:val="000000" w:themeColor="text1"/>
          <w:spacing w:val="-1"/>
          <w:kern w:val="0"/>
          <w:sz w:val="24"/>
          <w:highlight w:val="none"/>
          <w14:textFill>
            <w14:solidFill>
              <w14:schemeClr w14:val="tx1"/>
            </w14:solidFill>
          </w14:textFill>
        </w:rPr>
        <w:t>通过第一个信封商务及技术文件评审的投标人少于</w:t>
      </w:r>
      <w:r>
        <w:rPr>
          <w:rFonts w:ascii="宋体" w:hAnsi="宋体" w:cs="宋体"/>
          <w:snapToGrid w:val="0"/>
          <w:color w:val="000000" w:themeColor="text1"/>
          <w:spacing w:val="-3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个的，评标委员会应当对投</w:t>
      </w:r>
      <w:r>
        <w:rPr>
          <w:rFonts w:ascii="宋体" w:hAnsi="宋体" w:cs="宋体"/>
          <w:snapToGrid w:val="0"/>
          <w:color w:val="000000" w:themeColor="text1"/>
          <w:spacing w:val="-2"/>
          <w:kern w:val="0"/>
          <w:sz w:val="24"/>
          <w:highlight w:val="none"/>
          <w14:textFill>
            <w14:solidFill>
              <w14:schemeClr w14:val="tx1"/>
            </w14:solidFill>
          </w14:textFill>
        </w:rPr>
        <w:t>标是否明显缺乏竞争和是否需要否决全部投标进行充分论证，并在评标报告中记载论证过程和结果；未否决全部投标的，评标委员会应当在评标报告中阐明理由，招标人应当按照招标文件规定的程序进行第二个信封报价文件开标，但评标委员会在进行报价文件评审时仍有权否决全部投标；评标委员会未在报价文件评审时否决全部投标的，应当在</w:t>
      </w:r>
      <w:r>
        <w:rPr>
          <w:rFonts w:ascii="宋体" w:hAnsi="宋体" w:cs="宋体"/>
          <w:snapToGrid w:val="0"/>
          <w:color w:val="000000" w:themeColor="text1"/>
          <w:spacing w:val="-1"/>
          <w:kern w:val="0"/>
          <w:sz w:val="24"/>
          <w:highlight w:val="none"/>
          <w14:textFill>
            <w14:solidFill>
              <w14:schemeClr w14:val="tx1"/>
            </w14:solidFill>
          </w14:textFill>
        </w:rPr>
        <w:t>评标报告中阐明理由并推荐</w:t>
      </w:r>
      <w:r>
        <w:rPr>
          <w:rFonts w:hint="eastAsia" w:ascii="宋体" w:hAnsi="宋体" w:cs="宋体"/>
          <w:snapToGrid w:val="0"/>
          <w:color w:val="000000" w:themeColor="text1"/>
          <w:spacing w:val="-1"/>
          <w:kern w:val="0"/>
          <w:sz w:val="24"/>
          <w:highlight w:val="none"/>
          <w:lang w:val="en-US" w:eastAsia="zh-CN"/>
          <w14:textFill>
            <w14:solidFill>
              <w14:schemeClr w14:val="tx1"/>
            </w14:solidFill>
          </w14:textFill>
        </w:rPr>
        <w:t>定</w:t>
      </w:r>
      <w:r>
        <w:rPr>
          <w:rFonts w:ascii="宋体" w:hAnsi="宋体" w:cs="宋体"/>
          <w:snapToGrid w:val="0"/>
          <w:color w:val="000000" w:themeColor="text1"/>
          <w:spacing w:val="-1"/>
          <w:kern w:val="0"/>
          <w:sz w:val="24"/>
          <w:highlight w:val="none"/>
          <w14:textFill>
            <w14:solidFill>
              <w14:schemeClr w14:val="tx1"/>
            </w14:solidFill>
          </w14:textFill>
        </w:rPr>
        <w:t>标候选人。</w:t>
      </w:r>
    </w:p>
    <w:p w14:paraId="557606E8">
      <w:pPr>
        <w:widowControl/>
        <w:autoSpaceDE w:val="0"/>
        <w:autoSpaceDN w:val="0"/>
        <w:adjustRightInd w:val="0"/>
        <w:snapToGrid w:val="0"/>
        <w:spacing w:line="360" w:lineRule="auto"/>
        <w:ind w:left="7" w:right="1" w:firstLine="468" w:firstLineChars="20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 xml:space="preserve">3.9.4 </w:t>
      </w:r>
      <w:r>
        <w:rPr>
          <w:rFonts w:ascii="宋体" w:hAnsi="宋体" w:cs="宋体"/>
          <w:snapToGrid w:val="0"/>
          <w:color w:val="000000" w:themeColor="text1"/>
          <w:spacing w:val="-3"/>
          <w:kern w:val="0"/>
          <w:sz w:val="24"/>
          <w:highlight w:val="none"/>
          <w14:textFill>
            <w14:solidFill>
              <w14:schemeClr w14:val="tx1"/>
            </w14:solidFill>
          </w14:textFill>
        </w:rPr>
        <w:t>通过第一个信封商务及技术文件评审的投标</w:t>
      </w:r>
      <w:r>
        <w:rPr>
          <w:rFonts w:ascii="宋体" w:hAnsi="宋体" w:cs="宋体"/>
          <w:snapToGrid w:val="0"/>
          <w:color w:val="000000" w:themeColor="text1"/>
          <w:spacing w:val="-4"/>
          <w:kern w:val="0"/>
          <w:sz w:val="24"/>
          <w:highlight w:val="none"/>
          <w14:textFill>
            <w14:solidFill>
              <w14:schemeClr w14:val="tx1"/>
            </w14:solidFill>
          </w14:textFill>
        </w:rPr>
        <w:t>人在</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3</w:t>
      </w:r>
      <w:r>
        <w:rPr>
          <w:rFonts w:ascii="宋体" w:hAnsi="宋体" w:cs="宋体"/>
          <w:snapToGrid w:val="0"/>
          <w:color w:val="000000" w:themeColor="text1"/>
          <w:spacing w:val="-50"/>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个及以上的，招标人应当按照招</w:t>
      </w:r>
      <w:r>
        <w:rPr>
          <w:rFonts w:ascii="宋体" w:hAnsi="宋体" w:cs="宋体"/>
          <w:snapToGrid w:val="0"/>
          <w:color w:val="000000" w:themeColor="text1"/>
          <w:spacing w:val="-2"/>
          <w:kern w:val="0"/>
          <w:sz w:val="24"/>
          <w:highlight w:val="none"/>
          <w14:textFill>
            <w14:solidFill>
              <w14:schemeClr w14:val="tx1"/>
            </w14:solidFill>
          </w14:textFill>
        </w:rPr>
        <w:t>标文件规定的程序进行第二个信封报价文件开标；在对报价文件进行评审后，有效投标不足</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3</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个的，评标委员会应当对投标是否明显缺乏竞争和是否需要否决全部</w:t>
      </w:r>
      <w:r>
        <w:rPr>
          <w:rFonts w:ascii="宋体" w:hAnsi="宋体" w:cs="宋体"/>
          <w:snapToGrid w:val="0"/>
          <w:color w:val="000000" w:themeColor="text1"/>
          <w:spacing w:val="-3"/>
          <w:kern w:val="0"/>
          <w:sz w:val="24"/>
          <w:highlight w:val="none"/>
          <w14:textFill>
            <w14:solidFill>
              <w14:schemeClr w14:val="tx1"/>
            </w14:solidFill>
          </w14:textFill>
        </w:rPr>
        <w:t>投标进行充</w:t>
      </w:r>
      <w:r>
        <w:rPr>
          <w:rFonts w:ascii="宋体" w:hAnsi="宋体" w:cs="宋体"/>
          <w:snapToGrid w:val="0"/>
          <w:color w:val="000000" w:themeColor="text1"/>
          <w:spacing w:val="-2"/>
          <w:kern w:val="0"/>
          <w:sz w:val="24"/>
          <w:highlight w:val="none"/>
          <w14:textFill>
            <w14:solidFill>
              <w14:schemeClr w14:val="tx1"/>
            </w14:solidFill>
          </w14:textFill>
        </w:rPr>
        <w:t>分论证，并在评标报告中记载论证过程和结果。未否决全部投标的，评标委员会应当在</w:t>
      </w:r>
      <w:r>
        <w:rPr>
          <w:rFonts w:ascii="宋体" w:hAnsi="宋体" w:cs="宋体"/>
          <w:snapToGrid w:val="0"/>
          <w:color w:val="000000" w:themeColor="text1"/>
          <w:spacing w:val="-1"/>
          <w:kern w:val="0"/>
          <w:sz w:val="24"/>
          <w:highlight w:val="none"/>
          <w14:textFill>
            <w14:solidFill>
              <w14:schemeClr w14:val="tx1"/>
            </w14:solidFill>
          </w14:textFill>
        </w:rPr>
        <w:t>评标报告中阐明理由并推荐中标候选人。</w:t>
      </w:r>
    </w:p>
    <w:p w14:paraId="58C202DD">
      <w:pPr>
        <w:widowControl/>
        <w:autoSpaceDE w:val="0"/>
        <w:autoSpaceDN w:val="0"/>
        <w:adjustRightInd w:val="0"/>
        <w:snapToGrid w:val="0"/>
        <w:spacing w:line="360" w:lineRule="auto"/>
        <w:ind w:left="9" w:right="1" w:firstLine="468"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eastAsia="Times New Roman"/>
          <w:snapToGrid w:val="0"/>
          <w:color w:val="000000" w:themeColor="text1"/>
          <w:spacing w:val="-3"/>
          <w:kern w:val="0"/>
          <w:sz w:val="24"/>
          <w:highlight w:val="none"/>
          <w14:textFill>
            <w14:solidFill>
              <w14:schemeClr w14:val="tx1"/>
            </w14:solidFill>
          </w14:textFill>
        </w:rPr>
        <w:t xml:space="preserve">3.9.5 </w:t>
      </w:r>
      <w:r>
        <w:rPr>
          <w:rFonts w:ascii="宋体" w:hAnsi="宋体" w:cs="宋体"/>
          <w:snapToGrid w:val="0"/>
          <w:color w:val="000000" w:themeColor="text1"/>
          <w:spacing w:val="-3"/>
          <w:kern w:val="0"/>
          <w:sz w:val="24"/>
          <w:highlight w:val="none"/>
          <w14:textFill>
            <w14:solidFill>
              <w14:schemeClr w14:val="tx1"/>
            </w14:solidFill>
          </w14:textFill>
        </w:rPr>
        <w:t>如果发生无法确定推荐中标候选人的其他意外情况，评标委员会可建议招标人重新</w:t>
      </w:r>
      <w:r>
        <w:rPr>
          <w:rFonts w:ascii="宋体" w:hAnsi="宋体" w:cs="宋体"/>
          <w:snapToGrid w:val="0"/>
          <w:color w:val="000000" w:themeColor="text1"/>
          <w:spacing w:val="-4"/>
          <w:kern w:val="0"/>
          <w:sz w:val="24"/>
          <w:highlight w:val="none"/>
          <w14:textFill>
            <w14:solidFill>
              <w14:schemeClr w14:val="tx1"/>
            </w14:solidFill>
          </w14:textFill>
        </w:rPr>
        <w:t>招标。</w:t>
      </w:r>
    </w:p>
    <w:p w14:paraId="13396618">
      <w:pPr>
        <w:widowControl/>
        <w:autoSpaceDE w:val="0"/>
        <w:autoSpaceDN w:val="0"/>
        <w:adjustRightInd w:val="0"/>
        <w:snapToGrid w:val="0"/>
        <w:spacing w:line="360" w:lineRule="auto"/>
        <w:ind w:left="9" w:firstLine="480" w:firstLineChars="200"/>
        <w:jc w:val="left"/>
        <w:textAlignment w:val="baseline"/>
        <w:rPr>
          <w:rFonts w:hint="eastAsia" w:ascii="宋体" w:hAnsi="宋体" w:cs="宋体"/>
          <w:snapToGrid w:val="0"/>
          <w:color w:val="000000" w:themeColor="text1"/>
          <w:kern w:val="0"/>
          <w:sz w:val="12"/>
          <w:szCs w:val="12"/>
          <w:highlight w:val="none"/>
          <w14:textFill>
            <w14:solidFill>
              <w14:schemeClr w14:val="tx1"/>
            </w14:solidFill>
          </w14:textFill>
        </w:rPr>
      </w:pPr>
      <w:r>
        <w:rPr>
          <w:rFonts w:eastAsia="Times New Roman"/>
          <w:snapToGrid w:val="0"/>
          <w:color w:val="000000" w:themeColor="text1"/>
          <w:kern w:val="0"/>
          <w:position w:val="4"/>
          <w:sz w:val="24"/>
          <w:highlight w:val="none"/>
          <w14:textFill>
            <w14:solidFill>
              <w14:schemeClr w14:val="tx1"/>
            </w14:solidFill>
          </w14:textFill>
        </w:rPr>
        <w:t xml:space="preserve">3.9.6 </w:t>
      </w:r>
      <w:r>
        <w:rPr>
          <w:rFonts w:ascii="宋体" w:hAnsi="宋体" w:cs="宋体"/>
          <w:snapToGrid w:val="0"/>
          <w:color w:val="000000" w:themeColor="text1"/>
          <w:kern w:val="0"/>
          <w:position w:val="4"/>
          <w:sz w:val="24"/>
          <w:highlight w:val="none"/>
          <w14:textFill>
            <w14:solidFill>
              <w14:schemeClr w14:val="tx1"/>
            </w14:solidFill>
          </w14:textFill>
        </w:rPr>
        <w:t>本招标文件规定的否决投标条</w:t>
      </w:r>
      <w:r>
        <w:rPr>
          <w:rFonts w:ascii="宋体" w:hAnsi="宋体" w:cs="宋体"/>
          <w:snapToGrid w:val="0"/>
          <w:color w:val="000000" w:themeColor="text1"/>
          <w:spacing w:val="-1"/>
          <w:kern w:val="0"/>
          <w:position w:val="4"/>
          <w:sz w:val="24"/>
          <w:highlight w:val="none"/>
          <w14:textFill>
            <w14:solidFill>
              <w14:schemeClr w14:val="tx1"/>
            </w14:solidFill>
          </w14:textFill>
        </w:rPr>
        <w:t>款包含在以下条款：</w:t>
      </w:r>
    </w:p>
    <w:p w14:paraId="62040EC8">
      <w:pPr>
        <w:widowControl/>
        <w:autoSpaceDE w:val="0"/>
        <w:autoSpaceDN w:val="0"/>
        <w:adjustRightInd w:val="0"/>
        <w:snapToGrid w:val="0"/>
        <w:spacing w:line="360" w:lineRule="auto"/>
        <w:ind w:firstLine="47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（1）投标人须知前附表后附录资格审查条件；</w:t>
      </w:r>
    </w:p>
    <w:p w14:paraId="161175E9">
      <w:pPr>
        <w:widowControl/>
        <w:tabs>
          <w:tab w:val="left" w:pos="135"/>
        </w:tabs>
        <w:autoSpaceDE w:val="0"/>
        <w:autoSpaceDN w:val="0"/>
        <w:adjustRightInd w:val="0"/>
        <w:snapToGrid w:val="0"/>
        <w:spacing w:line="360" w:lineRule="auto"/>
        <w:ind w:firstLine="45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6"/>
          <w:kern w:val="0"/>
          <w:sz w:val="24"/>
          <w:highlight w:val="none"/>
          <w14:textFill>
            <w14:solidFill>
              <w14:schemeClr w14:val="tx1"/>
            </w14:solidFill>
          </w14:textFill>
        </w:rPr>
        <w:t>（2）投标人须知</w:t>
      </w:r>
      <w:r>
        <w:rPr>
          <w:rFonts w:ascii="宋体" w:hAnsi="宋体" w:cs="宋体"/>
          <w:snapToGrid w:val="0"/>
          <w:color w:val="000000" w:themeColor="text1"/>
          <w:spacing w:val="-33"/>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1.4.3</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项、1.4.4</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项、1.4.5</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项、1.12.2</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项、3.4.2</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项、3.5</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项、3.6.1</w:t>
      </w:r>
      <w:r>
        <w:rPr>
          <w:rFonts w:ascii="宋体" w:hAnsi="宋体" w:cs="宋体"/>
          <w:snapToGrid w:val="0"/>
          <w:color w:val="000000" w:themeColor="text1"/>
          <w:spacing w:val="8"/>
          <w:kern w:val="0"/>
          <w:sz w:val="24"/>
          <w:highlight w:val="none"/>
          <w14:textFill>
            <w14:solidFill>
              <w14:schemeClr w14:val="tx1"/>
            </w14:solidFill>
          </w14:textFill>
        </w:rPr>
        <w:t>项；</w:t>
      </w:r>
    </w:p>
    <w:p w14:paraId="727325D0">
      <w:pPr>
        <w:widowControl/>
        <w:autoSpaceDE w:val="0"/>
        <w:autoSpaceDN w:val="0"/>
        <w:adjustRightInd w:val="0"/>
        <w:snapToGrid w:val="0"/>
        <w:spacing w:line="360" w:lineRule="auto"/>
        <w:ind w:left="20" w:firstLine="466" w:firstLineChars="20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bookmarkStart w:id="114" w:name="bookmark253"/>
      <w:bookmarkEnd w:id="114"/>
      <w:r>
        <w:rPr>
          <w:rFonts w:ascii="宋体" w:hAnsi="宋体" w:cs="宋体"/>
          <w:b/>
          <w:bCs/>
          <w:snapToGrid w:val="0"/>
          <w:color w:val="000000" w:themeColor="text1"/>
          <w:spacing w:val="-4"/>
          <w:kern w:val="0"/>
          <w:sz w:val="24"/>
          <w:highlight w:val="none"/>
          <w14:textFill>
            <w14:solidFill>
              <w14:schemeClr w14:val="tx1"/>
            </w14:solidFill>
          </w14:textFill>
        </w:rPr>
        <w:t>（3）本评标办法的否决条款。</w:t>
      </w:r>
    </w:p>
    <w:p w14:paraId="660B3FA8">
      <w:pPr>
        <w:rPr>
          <w:color w:val="000000" w:themeColor="text1"/>
          <w:highlight w:val="none"/>
          <w14:textFill>
            <w14:solidFill>
              <w14:schemeClr w14:val="tx1"/>
            </w14:solidFill>
          </w14:textFill>
        </w:rPr>
      </w:pPr>
    </w:p>
    <w:p w14:paraId="4876DD80">
      <w:pPr>
        <w:rPr>
          <w:color w:val="000000" w:themeColor="text1"/>
          <w:highlight w:val="none"/>
          <w14:textFill>
            <w14:solidFill>
              <w14:schemeClr w14:val="tx1"/>
            </w14:solidFill>
          </w14:textFill>
        </w:rPr>
      </w:pPr>
    </w:p>
    <w:p w14:paraId="36E77F5E">
      <w:pPr>
        <w:rPr>
          <w:color w:val="000000" w:themeColor="text1"/>
          <w:highlight w:val="none"/>
          <w14:textFill>
            <w14:solidFill>
              <w14:schemeClr w14:val="tx1"/>
            </w14:solidFill>
          </w14:textFill>
        </w:rPr>
      </w:pPr>
    </w:p>
    <w:p w14:paraId="47318B9E">
      <w:pPr>
        <w:rPr>
          <w:color w:val="000000" w:themeColor="text1"/>
          <w:highlight w:val="none"/>
          <w14:textFill>
            <w14:solidFill>
              <w14:schemeClr w14:val="tx1"/>
            </w14:solidFill>
          </w14:textFill>
        </w:rPr>
      </w:pPr>
    </w:p>
    <w:p w14:paraId="0EC6ACEA">
      <w:pPr>
        <w:rPr>
          <w:color w:val="000000" w:themeColor="text1"/>
          <w:highlight w:val="none"/>
          <w14:textFill>
            <w14:solidFill>
              <w14:schemeClr w14:val="tx1"/>
            </w14:solidFill>
          </w14:textFill>
        </w:rPr>
      </w:pPr>
    </w:p>
    <w:p w14:paraId="1CF1D5C7">
      <w:pPr>
        <w:rPr>
          <w:color w:val="000000" w:themeColor="text1"/>
          <w:highlight w:val="none"/>
          <w14:textFill>
            <w14:solidFill>
              <w14:schemeClr w14:val="tx1"/>
            </w14:solidFill>
          </w14:textFill>
        </w:rPr>
      </w:pPr>
    </w:p>
    <w:p w14:paraId="59BA6272">
      <w:pPr>
        <w:rPr>
          <w:color w:val="000000" w:themeColor="text1"/>
          <w:highlight w:val="none"/>
          <w14:textFill>
            <w14:solidFill>
              <w14:schemeClr w14:val="tx1"/>
            </w14:solidFill>
          </w14:textFill>
        </w:rPr>
      </w:pPr>
    </w:p>
    <w:p w14:paraId="60D90B61">
      <w:pPr>
        <w:rPr>
          <w:color w:val="000000" w:themeColor="text1"/>
          <w:highlight w:val="none"/>
          <w14:textFill>
            <w14:solidFill>
              <w14:schemeClr w14:val="tx1"/>
            </w14:solidFill>
          </w14:textFill>
        </w:rPr>
      </w:pPr>
    </w:p>
    <w:p w14:paraId="00857446">
      <w:pPr>
        <w:pStyle w:val="2"/>
        <w:rPr>
          <w:color w:val="000000" w:themeColor="text1"/>
          <w:highlight w:val="none"/>
          <w14:textFill>
            <w14:solidFill>
              <w14:schemeClr w14:val="tx1"/>
            </w14:solidFill>
          </w14:textFill>
        </w:rPr>
      </w:pPr>
    </w:p>
    <w:p w14:paraId="20E72E8F">
      <w:pPr>
        <w:pStyle w:val="2"/>
        <w:rPr>
          <w:color w:val="000000" w:themeColor="text1"/>
          <w:highlight w:val="none"/>
          <w14:textFill>
            <w14:solidFill>
              <w14:schemeClr w14:val="tx1"/>
            </w14:solidFill>
          </w14:textFill>
        </w:rPr>
      </w:pPr>
    </w:p>
    <w:p w14:paraId="4DB6A318">
      <w:pPr>
        <w:pStyle w:val="2"/>
        <w:rPr>
          <w:color w:val="000000" w:themeColor="text1"/>
          <w:highlight w:val="none"/>
          <w14:textFill>
            <w14:solidFill>
              <w14:schemeClr w14:val="tx1"/>
            </w14:solidFill>
          </w14:textFill>
        </w:rPr>
      </w:pPr>
    </w:p>
    <w:p w14:paraId="57340866">
      <w:pPr>
        <w:rPr>
          <w:color w:val="000000" w:themeColor="text1"/>
          <w:highlight w:val="none"/>
          <w14:textFill>
            <w14:solidFill>
              <w14:schemeClr w14:val="tx1"/>
            </w14:solidFill>
          </w14:textFill>
        </w:rPr>
      </w:pPr>
    </w:p>
    <w:p w14:paraId="02D5031E">
      <w:pPr>
        <w:rPr>
          <w:color w:val="000000" w:themeColor="text1"/>
          <w:highlight w:val="none"/>
          <w14:textFill>
            <w14:solidFill>
              <w14:schemeClr w14:val="tx1"/>
            </w14:solidFill>
          </w14:textFill>
        </w:rPr>
      </w:pPr>
    </w:p>
    <w:p w14:paraId="3C20C6D7">
      <w:pPr>
        <w:rPr>
          <w:color w:val="000000" w:themeColor="text1"/>
          <w:highlight w:val="none"/>
          <w14:textFill>
            <w14:solidFill>
              <w14:schemeClr w14:val="tx1"/>
            </w14:solidFill>
          </w14:textFill>
        </w:rPr>
      </w:pPr>
    </w:p>
    <w:p w14:paraId="6F245F72">
      <w:pPr>
        <w:pStyle w:val="5"/>
        <w:rPr>
          <w:rFonts w:hint="eastAsia" w:eastAsia="宋体" w:cs="Times New Roman"/>
          <w:color w:val="000000" w:themeColor="text1"/>
          <w:highlight w:val="none"/>
          <w:lang w:val="en-US" w:eastAsia="zh-CN"/>
          <w14:textFill>
            <w14:solidFill>
              <w14:schemeClr w14:val="tx1"/>
            </w14:solidFill>
          </w14:textFill>
        </w:rPr>
      </w:pPr>
      <w:bookmarkStart w:id="115" w:name="_Toc28554"/>
      <w:r>
        <w:rPr>
          <w:rFonts w:hint="eastAsia" w:eastAsia="宋体" w:cs="Times New Roman"/>
          <w:color w:val="000000" w:themeColor="text1"/>
          <w:highlight w:val="none"/>
          <w:lang w:val="en-US" w:eastAsia="zh-CN"/>
          <w14:textFill>
            <w14:solidFill>
              <w14:schemeClr w14:val="tx1"/>
            </w14:solidFill>
          </w14:textFill>
        </w:rPr>
        <w:t>4. 定标办法</w:t>
      </w:r>
      <w:bookmarkEnd w:id="115"/>
    </w:p>
    <w:p w14:paraId="4F7D3DCA">
      <w:pPr>
        <w:rPr>
          <w:rFonts w:hint="eastAsia"/>
          <w:color w:val="000000" w:themeColor="text1"/>
          <w:highlight w:val="none"/>
          <w:lang w:val="en-US" w:eastAsia="zh-CN"/>
          <w14:textFill>
            <w14:solidFill>
              <w14:schemeClr w14:val="tx1"/>
            </w14:solidFill>
          </w14:textFill>
        </w:rPr>
      </w:pPr>
    </w:p>
    <w:p w14:paraId="1FAAE70C">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票决数量法</w:t>
      </w:r>
    </w:p>
    <w:p w14:paraId="48C6E07F">
      <w:pPr>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lang w:val="en-US" w:eastAsia="zh-CN"/>
          <w14:textFill>
            <w14:solidFill>
              <w14:schemeClr w14:val="tx1"/>
            </w14:solidFill>
          </w14:textFill>
        </w:rPr>
        <w:t>定标</w:t>
      </w:r>
      <w:r>
        <w:rPr>
          <w:rFonts w:hint="eastAsia" w:ascii="宋体" w:hAnsi="宋体" w:cs="宋体"/>
          <w:b/>
          <w:bCs/>
          <w:color w:val="000000" w:themeColor="text1"/>
          <w:sz w:val="24"/>
          <w:highlight w:val="none"/>
          <w14:textFill>
            <w14:solidFill>
              <w14:schemeClr w14:val="tx1"/>
            </w14:solidFill>
          </w14:textFill>
        </w:rPr>
        <w:t>办法前附表</w:t>
      </w:r>
    </w:p>
    <w:tbl>
      <w:tblPr>
        <w:tblStyle w:val="45"/>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50"/>
        <w:gridCol w:w="7506"/>
      </w:tblGrid>
      <w:tr w14:paraId="788B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7" w:type="dxa"/>
            <w:gridSpan w:val="2"/>
            <w:noWrap w:val="0"/>
            <w:vAlign w:val="center"/>
          </w:tcPr>
          <w:p w14:paraId="507989BC">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条款号</w:t>
            </w:r>
          </w:p>
        </w:tc>
        <w:tc>
          <w:tcPr>
            <w:tcW w:w="7506" w:type="dxa"/>
            <w:noWrap w:val="0"/>
            <w:vAlign w:val="center"/>
          </w:tcPr>
          <w:p w14:paraId="53EBBFEF">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lang w:eastAsia="zh-CN"/>
                <w14:textFill>
                  <w14:solidFill>
                    <w14:schemeClr w14:val="tx1"/>
                  </w14:solidFill>
                </w14:textFill>
              </w:rPr>
              <w:t>定标</w:t>
            </w:r>
            <w:r>
              <w:rPr>
                <w:rFonts w:hint="eastAsia" w:ascii="宋体" w:hAnsi="宋体" w:cs="宋体"/>
                <w:b/>
                <w:color w:val="000000" w:themeColor="text1"/>
                <w:sz w:val="24"/>
                <w:highlight w:val="none"/>
                <w14:textFill>
                  <w14:solidFill>
                    <w14:schemeClr w14:val="tx1"/>
                  </w14:solidFill>
                </w14:textFill>
              </w:rPr>
              <w:t>因素与</w:t>
            </w:r>
            <w:r>
              <w:rPr>
                <w:rFonts w:hint="eastAsia" w:ascii="宋体" w:hAnsi="宋体" w:cs="宋体"/>
                <w:b/>
                <w:color w:val="000000" w:themeColor="text1"/>
                <w:sz w:val="24"/>
                <w:highlight w:val="none"/>
                <w:lang w:eastAsia="zh-CN"/>
                <w14:textFill>
                  <w14:solidFill>
                    <w14:schemeClr w14:val="tx1"/>
                  </w14:solidFill>
                </w14:textFill>
              </w:rPr>
              <w:t>定标</w:t>
            </w:r>
            <w:r>
              <w:rPr>
                <w:rFonts w:hint="eastAsia" w:ascii="宋体" w:hAnsi="宋体" w:cs="宋体"/>
                <w:b/>
                <w:color w:val="000000" w:themeColor="text1"/>
                <w:sz w:val="24"/>
                <w:highlight w:val="none"/>
                <w14:textFill>
                  <w14:solidFill>
                    <w14:schemeClr w14:val="tx1"/>
                  </w14:solidFill>
                </w14:textFill>
              </w:rPr>
              <w:t>标准</w:t>
            </w:r>
          </w:p>
        </w:tc>
      </w:tr>
      <w:tr w14:paraId="2523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50F254F">
            <w:pPr>
              <w:pStyle w:val="99"/>
              <w:tabs>
                <w:tab w:val="left" w:pos="804"/>
              </w:tabs>
              <w:kinsoku w:val="0"/>
              <w:overflowPunct w:val="0"/>
              <w:jc w:val="center"/>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1</w:t>
            </w:r>
          </w:p>
        </w:tc>
        <w:tc>
          <w:tcPr>
            <w:tcW w:w="1550" w:type="dxa"/>
            <w:noWrap w:val="0"/>
            <w:vAlign w:val="center"/>
          </w:tcPr>
          <w:p w14:paraId="1FA6427D">
            <w:pPr>
              <w:pStyle w:val="99"/>
              <w:keepNext w:val="0"/>
              <w:keepLines w:val="0"/>
              <w:pageBreakBefore w:val="0"/>
              <w:widowControl w:val="0"/>
              <w:tabs>
                <w:tab w:val="left" w:pos="804"/>
              </w:tabs>
              <w:kinsoku w:val="0"/>
              <w:wordWrap/>
              <w:overflowPunct w:val="0"/>
              <w:topLinePunct w:val="0"/>
              <w:autoSpaceDE/>
              <w:autoSpaceDN/>
              <w:bidi w:val="0"/>
              <w:adjustRightInd/>
              <w:snapToGrid/>
              <w:spacing w:line="240" w:lineRule="auto"/>
              <w:jc w:val="center"/>
              <w:textAlignment w:val="auto"/>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lang w:val="en-US" w:eastAsia="zh-CN"/>
                <w14:textFill>
                  <w14:solidFill>
                    <w14:schemeClr w14:val="tx1"/>
                  </w14:solidFill>
                </w14:textFill>
              </w:rPr>
              <w:t>定标</w:t>
            </w:r>
            <w:r>
              <w:rPr>
                <w:rFonts w:hint="eastAsia" w:ascii="宋体" w:hAnsi="宋体" w:cs="宋体"/>
                <w:color w:val="000000" w:themeColor="text1"/>
                <w:spacing w:val="-1"/>
                <w:sz w:val="24"/>
                <w:highlight w:val="none"/>
                <w14:textFill>
                  <w14:solidFill>
                    <w14:schemeClr w14:val="tx1"/>
                  </w14:solidFill>
                </w14:textFill>
              </w:rPr>
              <w:t>方法</w:t>
            </w:r>
          </w:p>
        </w:tc>
        <w:tc>
          <w:tcPr>
            <w:tcW w:w="7506" w:type="dxa"/>
            <w:noWrap w:val="0"/>
            <w:vAlign w:val="top"/>
          </w:tcPr>
          <w:p w14:paraId="03615093">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得票最高的即为中标人）。若第一轮投票中前三名中标候选人有得票相同且影响中标候选人排序确定的，由定标委员会对总票数相同的单位进行再次票决确定排序，直至选出排序的前三名中标候选人。票决采用记名方式并注明投票理由。</w:t>
            </w:r>
          </w:p>
        </w:tc>
      </w:tr>
      <w:tr w14:paraId="1C82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291FA64">
            <w:pPr>
              <w:pStyle w:val="99"/>
              <w:kinsoku w:val="0"/>
              <w:overflowPunct w:val="0"/>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pacing w:val="-1"/>
                <w:sz w:val="24"/>
                <w:highlight w:val="none"/>
                <w:lang w:val="en-US" w:eastAsia="zh-CN"/>
                <w14:textFill>
                  <w14:solidFill>
                    <w14:schemeClr w14:val="tx1"/>
                  </w14:solidFill>
                </w14:textFill>
              </w:rPr>
              <w:t>2</w:t>
            </w:r>
          </w:p>
        </w:tc>
        <w:tc>
          <w:tcPr>
            <w:tcW w:w="1550" w:type="dxa"/>
            <w:noWrap w:val="0"/>
            <w:vAlign w:val="center"/>
          </w:tcPr>
          <w:p w14:paraId="4CE4983E">
            <w:pPr>
              <w:pStyle w:val="99"/>
              <w:kinsoku w:val="0"/>
              <w:overflowPunct w:val="0"/>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定标评审标准</w:t>
            </w:r>
          </w:p>
        </w:tc>
        <w:tc>
          <w:tcPr>
            <w:tcW w:w="7506" w:type="dxa"/>
            <w:noWrap w:val="0"/>
            <w:vAlign w:val="top"/>
          </w:tcPr>
          <w:p w14:paraId="0AC0C74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1.企业实力</w:t>
            </w:r>
          </w:p>
          <w:p w14:paraId="0A9BAD8D">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企业实力强的定标候选人优于企业实力一般的定标候选人（提供相关佐证）。</w:t>
            </w:r>
          </w:p>
          <w:p w14:paraId="6AC8237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2.技术方案</w:t>
            </w:r>
          </w:p>
          <w:p w14:paraId="05B6619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技术方案好的定标候选人优于技术方案一般的定标候选人。</w:t>
            </w:r>
          </w:p>
          <w:p w14:paraId="3EC99E04">
            <w:pPr>
              <w:pageBreakBefore w:val="0"/>
              <w:widowControl w:val="0"/>
              <w:kinsoku/>
              <w:wordWrap/>
              <w:overflowPunct/>
              <w:topLinePunct w:val="0"/>
              <w:bidi w:val="0"/>
              <w:snapToGrid/>
              <w:spacing w:line="440" w:lineRule="exact"/>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拟派团队管理能力与水平（履约能力）</w:t>
            </w:r>
          </w:p>
          <w:p w14:paraId="33ECD711">
            <w:pPr>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相对标准：拟派团队管理能力与水平（履约能力）强的定标候选人优于拟派团队管理能力与水平（履约能力）一般的定标候选人。以拟派团队人员配备、类似工作经历和人员技术水平或荣誉等情况进行综合比较。</w:t>
            </w:r>
          </w:p>
          <w:p w14:paraId="72A9622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4.评标报告</w:t>
            </w:r>
          </w:p>
          <w:p w14:paraId="0791FFA8">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评标委员会评审意见为具有优势风险低的定标候选人优于评标委员会评审意见为没有优势风险高的定标候选人（综合考虑评标委员会的评审意见，对各定标候选人的优势、风险等评审情况进行评审比较）。</w:t>
            </w:r>
          </w:p>
          <w:p w14:paraId="419AB86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5.农民工工资保障情况</w:t>
            </w:r>
          </w:p>
          <w:p w14:paraId="4A509AC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农民工工资保障情况好的定标候选人优于农民工工资保障情况差的定标候选人（提供佐证材料，招标人结合定标候选人提交的证明材料和招标人查询的材料进行评审）。</w:t>
            </w:r>
          </w:p>
        </w:tc>
      </w:tr>
    </w:tbl>
    <w:p w14:paraId="72483760">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5E83CC3D">
      <w:pPr>
        <w:rPr>
          <w:color w:val="000000" w:themeColor="text1"/>
          <w:highlight w:val="none"/>
          <w14:textFill>
            <w14:solidFill>
              <w14:schemeClr w14:val="tx1"/>
            </w14:solidFill>
          </w14:textFill>
        </w:rPr>
      </w:pPr>
    </w:p>
    <w:p w14:paraId="440F9F8A">
      <w:pPr>
        <w:pStyle w:val="6"/>
        <w:pageBreakBefore w:val="0"/>
        <w:kinsoku/>
        <w:wordWrap/>
        <w:overflowPunct/>
        <w:topLinePunct w:val="0"/>
        <w:autoSpaceDE/>
        <w:autoSpaceDN/>
        <w:bidi w:val="0"/>
        <w:adjustRightInd/>
        <w:snapToGrid/>
        <w:spacing w:before="156" w:beforeLines="50" w:after="0" w:line="360" w:lineRule="auto"/>
        <w:textAlignment w:val="auto"/>
        <w:outlineLvl w:val="2"/>
        <w:rPr>
          <w:rFonts w:hint="default" w:ascii="宋体" w:hAnsi="宋体" w:eastAsia="宋体" w:cs="宋体"/>
          <w:color w:val="000000" w:themeColor="text1"/>
          <w:sz w:val="24"/>
          <w:highlight w:val="none"/>
          <w:lang w:val="en-US" w:eastAsia="zh-CN"/>
          <w14:textFill>
            <w14:solidFill>
              <w14:schemeClr w14:val="tx1"/>
            </w14:solidFill>
          </w14:textFill>
        </w:rPr>
      </w:pPr>
      <w:bookmarkStart w:id="116" w:name="_Toc18678"/>
      <w:bookmarkStart w:id="117" w:name="_Toc9234"/>
      <w:bookmarkStart w:id="118" w:name="_Toc26073"/>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1定标方法</w:t>
      </w:r>
      <w:bookmarkEnd w:id="116"/>
      <w:bookmarkEnd w:id="117"/>
      <w:bookmarkEnd w:id="118"/>
    </w:p>
    <w:p w14:paraId="4295ADF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本次定标采用</w:t>
      </w:r>
      <w:r>
        <w:rPr>
          <w:rFonts w:hint="default" w:ascii="宋体" w:hAnsi="宋体" w:eastAsia="宋体" w:cs="宋体"/>
          <w:color w:val="000000" w:themeColor="text1"/>
          <w:sz w:val="24"/>
          <w:highlight w:val="none"/>
          <w:lang w:val="en-US" w:eastAsia="zh-CN"/>
          <w14:textFill>
            <w14:solidFill>
              <w14:schemeClr w14:val="tx1"/>
            </w14:solidFill>
          </w14:textFill>
        </w:rPr>
        <w:t>采用票决数量法</w:t>
      </w:r>
      <w:r>
        <w:rPr>
          <w:rFonts w:hint="eastAsia" w:ascii="宋体" w:hAnsi="宋体" w:eastAsia="宋体" w:cs="宋体"/>
          <w:color w:val="000000" w:themeColor="text1"/>
          <w:sz w:val="24"/>
          <w:highlight w:val="none"/>
          <w:lang w:val="en-US" w:eastAsia="zh-CN"/>
          <w14:textFill>
            <w14:solidFill>
              <w14:schemeClr w14:val="tx1"/>
            </w14:solidFill>
          </w14:textFill>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得票最高的即为中标人）。若第一轮投票中前三名中标候选人有得票相同且影响中标候选人排序确定的，由定标委员会对总票数相同的单位进行再次票决确定排序，直至选出排序的前三名中标候选人。票决采用记名方式并注明投票理由。</w:t>
      </w:r>
    </w:p>
    <w:p w14:paraId="24475D2F">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p>
    <w:p w14:paraId="11759EC6">
      <w:pPr>
        <w:pStyle w:val="6"/>
        <w:pageBreakBefore w:val="0"/>
        <w:numPr>
          <w:ilvl w:val="0"/>
          <w:numId w:val="0"/>
        </w:numPr>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color w:val="000000" w:themeColor="text1"/>
          <w:sz w:val="24"/>
          <w:highlight w:val="none"/>
          <w:lang w:val="en-US" w:eastAsia="zh-CN"/>
          <w14:textFill>
            <w14:solidFill>
              <w14:schemeClr w14:val="tx1"/>
            </w14:solidFill>
          </w14:textFill>
        </w:rPr>
      </w:pPr>
      <w:bookmarkStart w:id="119" w:name="_Toc11691"/>
      <w:bookmarkStart w:id="120" w:name="_Toc29244"/>
      <w:bookmarkStart w:id="121" w:name="_Toc20557"/>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2定标委员会</w:t>
      </w:r>
      <w:bookmarkEnd w:id="119"/>
      <w:bookmarkEnd w:id="120"/>
      <w:bookmarkEnd w:id="121"/>
    </w:p>
    <w:p w14:paraId="0216C519">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2.1</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定标委员会由招标人组建并确定定标组长。定标委员会开始定标前，首先听取招标人或招标代理机构关于工程情况，并认真研读招标文件，了解和熟悉招标文件规定的定标方法、定标因素等。</w:t>
      </w:r>
    </w:p>
    <w:p w14:paraId="420FCD7A">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4.2</w:t>
      </w:r>
      <w:r>
        <w:rPr>
          <w:rFonts w:hint="eastAsia" w:ascii="宋体" w:hAnsi="宋体" w:eastAsia="宋体" w:cs="宋体"/>
          <w:color w:val="000000" w:themeColor="text1"/>
          <w:sz w:val="24"/>
          <w:highlight w:val="none"/>
          <w:lang w:val="en-US" w:eastAsia="zh-CN"/>
          <w14:textFill>
            <w14:solidFill>
              <w14:schemeClr w14:val="tx1"/>
            </w14:solidFill>
          </w14:textFill>
        </w:rPr>
        <w:t>.2 参与定标会议的工作人员不参与定标的决策，无表决权，只协助定标委员会进行资料整理等事务性工作。</w:t>
      </w:r>
    </w:p>
    <w:p w14:paraId="1F4C3015">
      <w:pPr>
        <w:pStyle w:val="6"/>
        <w:pageBreakBefore w:val="0"/>
        <w:numPr>
          <w:ilvl w:val="0"/>
          <w:numId w:val="0"/>
        </w:numPr>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color w:val="000000" w:themeColor="text1"/>
          <w:sz w:val="24"/>
          <w:highlight w:val="none"/>
          <w:lang w:val="en-US" w:eastAsia="zh-CN"/>
          <w14:textFill>
            <w14:solidFill>
              <w14:schemeClr w14:val="tx1"/>
            </w14:solidFill>
          </w14:textFill>
        </w:rPr>
      </w:pPr>
      <w:bookmarkStart w:id="122" w:name="_Toc21971"/>
      <w:bookmarkStart w:id="123" w:name="_Toc429"/>
      <w:bookmarkStart w:id="124" w:name="_Toc7450"/>
      <w:r>
        <w:rPr>
          <w:rFonts w:hint="eastAsia" w:ascii="宋体" w:hAnsi="宋体" w:cs="宋体"/>
          <w:color w:val="000000" w:themeColor="text1"/>
          <w:sz w:val="24"/>
          <w:highlight w:val="none"/>
          <w:lang w:val="en-US" w:eastAsia="zh-CN"/>
          <w14:textFill>
            <w14:solidFill>
              <w14:schemeClr w14:val="tx1"/>
            </w14:solidFill>
          </w14:textFill>
        </w:rPr>
        <w:t>4.3</w:t>
      </w:r>
      <w:r>
        <w:rPr>
          <w:rFonts w:hint="eastAsia" w:ascii="宋体" w:hAnsi="宋体" w:eastAsia="宋体" w:cs="宋体"/>
          <w:color w:val="000000" w:themeColor="text1"/>
          <w:sz w:val="24"/>
          <w:highlight w:val="none"/>
          <w:lang w:val="en-US" w:eastAsia="zh-CN"/>
          <w14:textFill>
            <w14:solidFill>
              <w14:schemeClr w14:val="tx1"/>
            </w14:solidFill>
          </w14:textFill>
        </w:rPr>
        <w:t>定标评审标准：见定标办法前附表</w:t>
      </w:r>
      <w:bookmarkEnd w:id="122"/>
      <w:bookmarkEnd w:id="123"/>
      <w:bookmarkEnd w:id="124"/>
    </w:p>
    <w:p w14:paraId="4880B5BE">
      <w:pPr>
        <w:pStyle w:val="6"/>
        <w:pageBreakBefore w:val="0"/>
        <w:numPr>
          <w:ilvl w:val="0"/>
          <w:numId w:val="0"/>
        </w:numPr>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color w:val="000000" w:themeColor="text1"/>
          <w:sz w:val="24"/>
          <w:highlight w:val="none"/>
          <w:lang w:val="en-US" w:eastAsia="zh-CN"/>
          <w14:textFill>
            <w14:solidFill>
              <w14:schemeClr w14:val="tx1"/>
            </w14:solidFill>
          </w14:textFill>
        </w:rPr>
      </w:pPr>
      <w:bookmarkStart w:id="125" w:name="_Toc15613"/>
      <w:bookmarkStart w:id="126" w:name="_Toc10856"/>
      <w:bookmarkStart w:id="127" w:name="_Toc7927"/>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4定标程序</w:t>
      </w:r>
      <w:bookmarkEnd w:id="125"/>
      <w:bookmarkEnd w:id="126"/>
      <w:bookmarkEnd w:id="127"/>
    </w:p>
    <w:p w14:paraId="732BD3F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（1）项目情况介绍</w:t>
      </w:r>
    </w:p>
    <w:p w14:paraId="33B47B2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招标人代表介绍项目的概况、招标要求和评标情况，以及定标方法与定标工作规则等，不得发表具有倾向性的言论。</w:t>
      </w:r>
    </w:p>
    <w:p w14:paraId="3085BB6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（2）审阅定标资料</w:t>
      </w:r>
    </w:p>
    <w:p w14:paraId="4EA5EAB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定标委员会成员按定标因素对各定标候选人的定标佐证资料进行审阅，审阅内容主要是定标工作规则所规定的定标因素，聚焦于项目需求与候选人能力的匹配度。</w:t>
      </w:r>
    </w:p>
    <w:p w14:paraId="37903C0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（3）疑问澄清</w:t>
      </w:r>
    </w:p>
    <w:p w14:paraId="618040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定标委员会有疑问的，可以向招标人代表进行提问。招标人代表向定标委员会反馈的信息中不得有明示或暗示中标单位的内容。定标委员会的提问应在定标会议现场提出，招标人代表应在定标会议现场作出答复，由招标人或招标代理机构做好书面记录，并由提问和答复双方在书面记录上签字。提问和答复不得改变招标文件、投标文件和评标的实质性内容。</w:t>
      </w:r>
    </w:p>
    <w:p w14:paraId="735C985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（4）投票，收票，点票和汇总</w:t>
      </w:r>
    </w:p>
    <w:p w14:paraId="3FC8580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人确定的，可由定标委员会对总票数相同的单位进行再次票决确定排序。</w:t>
      </w:r>
    </w:p>
    <w:p w14:paraId="127DEDF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（5）公布结果和出具定标报告</w:t>
      </w:r>
    </w:p>
    <w:p w14:paraId="47DD3B4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点票工作完成后，定标委员会组长汇总定标结果，编制定标报告，确定中标人，全体成员签名。</w:t>
      </w:r>
    </w:p>
    <w:p w14:paraId="28C76C3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（6）全程监督</w:t>
      </w:r>
    </w:p>
    <w:p w14:paraId="0B94E3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招标监督小组对集体议定的全过程进行监督，确保程序合规、讨论充分、记录完整，结论形成过程公正、透明。</w:t>
      </w:r>
    </w:p>
    <w:p w14:paraId="0A79706B">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p>
    <w:p w14:paraId="7C6275E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p>
    <w:p w14:paraId="4876EA18">
      <w:pPr>
        <w:rPr>
          <w:rFonts w:hint="default"/>
          <w:color w:val="000000" w:themeColor="text1"/>
          <w:highlight w:val="none"/>
          <w:lang w:val="en-US" w:eastAsia="zh-CN"/>
          <w14:textFill>
            <w14:solidFill>
              <w14:schemeClr w14:val="tx1"/>
            </w14:solidFill>
          </w14:textFill>
        </w:rPr>
        <w:sectPr>
          <w:headerReference r:id="rId19" w:type="default"/>
          <w:footerReference r:id="rId20" w:type="default"/>
          <w:pgSz w:w="11905" w:h="16840"/>
          <w:pgMar w:top="1182" w:right="1416" w:bottom="1171" w:left="1416" w:header="849" w:footer="937" w:gutter="0"/>
          <w:pgNumType w:fmt="decimal"/>
          <w:cols w:space="720" w:num="1"/>
        </w:sectPr>
      </w:pPr>
    </w:p>
    <w:p w14:paraId="644AFE58">
      <w:pPr>
        <w:rPr>
          <w:color w:val="000000" w:themeColor="text1"/>
          <w:highlight w:val="none"/>
          <w14:textFill>
            <w14:solidFill>
              <w14:schemeClr w14:val="tx1"/>
            </w14:solidFill>
          </w14:textFill>
        </w:rPr>
      </w:pPr>
    </w:p>
    <w:p w14:paraId="1BCED14B">
      <w:pPr>
        <w:rPr>
          <w:color w:val="000000" w:themeColor="text1"/>
          <w:highlight w:val="none"/>
          <w14:textFill>
            <w14:solidFill>
              <w14:schemeClr w14:val="tx1"/>
            </w14:solidFill>
          </w14:textFill>
        </w:rPr>
      </w:pPr>
    </w:p>
    <w:p w14:paraId="4526F8DF">
      <w:pPr>
        <w:rPr>
          <w:color w:val="000000" w:themeColor="text1"/>
          <w:highlight w:val="none"/>
          <w14:textFill>
            <w14:solidFill>
              <w14:schemeClr w14:val="tx1"/>
            </w14:solidFill>
          </w14:textFill>
        </w:rPr>
      </w:pPr>
    </w:p>
    <w:p w14:paraId="2DD98BCC">
      <w:pPr>
        <w:rPr>
          <w:color w:val="000000" w:themeColor="text1"/>
          <w:highlight w:val="none"/>
          <w14:textFill>
            <w14:solidFill>
              <w14:schemeClr w14:val="tx1"/>
            </w14:solidFill>
          </w14:textFill>
        </w:rPr>
      </w:pPr>
    </w:p>
    <w:p w14:paraId="360A8DDF">
      <w:pPr>
        <w:rPr>
          <w:color w:val="000000" w:themeColor="text1"/>
          <w:highlight w:val="none"/>
          <w14:textFill>
            <w14:solidFill>
              <w14:schemeClr w14:val="tx1"/>
            </w14:solidFill>
          </w14:textFill>
        </w:rPr>
      </w:pPr>
    </w:p>
    <w:bookmarkEnd w:id="87"/>
    <w:p w14:paraId="4EBE52FA">
      <w:pPr>
        <w:adjustRightInd w:val="0"/>
        <w:snapToGrid w:val="0"/>
        <w:spacing w:line="360" w:lineRule="auto"/>
        <w:ind w:firstLine="420" w:firstLineChars="200"/>
        <w:rPr>
          <w:rFonts w:ascii="宋体"/>
          <w:color w:val="000000" w:themeColor="text1"/>
          <w:highlight w:val="none"/>
          <w14:textFill>
            <w14:solidFill>
              <w14:schemeClr w14:val="tx1"/>
            </w14:solidFill>
          </w14:textFill>
        </w:rPr>
      </w:pPr>
    </w:p>
    <w:p w14:paraId="6B94D8F1">
      <w:pPr>
        <w:adjustRightInd w:val="0"/>
        <w:snapToGrid w:val="0"/>
        <w:spacing w:line="360" w:lineRule="auto"/>
        <w:ind w:firstLine="420" w:firstLineChars="200"/>
        <w:rPr>
          <w:rFonts w:ascii="宋体"/>
          <w:color w:val="000000" w:themeColor="text1"/>
          <w:highlight w:val="none"/>
          <w14:textFill>
            <w14:solidFill>
              <w14:schemeClr w14:val="tx1"/>
            </w14:solidFill>
          </w14:textFill>
        </w:rPr>
      </w:pPr>
    </w:p>
    <w:p w14:paraId="0D20EAF1">
      <w:pPr>
        <w:pStyle w:val="70"/>
        <w:rPr>
          <w:rFonts w:ascii="宋体"/>
          <w:color w:val="000000" w:themeColor="text1"/>
          <w:highlight w:val="none"/>
          <w14:textFill>
            <w14:solidFill>
              <w14:schemeClr w14:val="tx1"/>
            </w14:solidFill>
          </w14:textFill>
        </w:rPr>
      </w:pPr>
    </w:p>
    <w:p w14:paraId="60100FF3">
      <w:pPr>
        <w:rPr>
          <w:rFonts w:ascii="宋体"/>
          <w:color w:val="000000" w:themeColor="text1"/>
          <w:highlight w:val="none"/>
          <w14:textFill>
            <w14:solidFill>
              <w14:schemeClr w14:val="tx1"/>
            </w14:solidFill>
          </w14:textFill>
        </w:rPr>
      </w:pPr>
    </w:p>
    <w:p w14:paraId="206A9C5E">
      <w:pPr>
        <w:pStyle w:val="70"/>
        <w:rPr>
          <w:color w:val="000000" w:themeColor="text1"/>
          <w:highlight w:val="none"/>
          <w14:textFill>
            <w14:solidFill>
              <w14:schemeClr w14:val="tx1"/>
            </w14:solidFill>
          </w14:textFill>
        </w:rPr>
      </w:pPr>
    </w:p>
    <w:p w14:paraId="621B7702">
      <w:pPr>
        <w:rPr>
          <w:color w:val="000000" w:themeColor="text1"/>
          <w:highlight w:val="none"/>
          <w14:textFill>
            <w14:solidFill>
              <w14:schemeClr w14:val="tx1"/>
            </w14:solidFill>
          </w14:textFill>
        </w:rPr>
      </w:pPr>
    </w:p>
    <w:p w14:paraId="7AB9D08D">
      <w:pPr>
        <w:rPr>
          <w:color w:val="000000" w:themeColor="text1"/>
          <w:highlight w:val="none"/>
          <w14:textFill>
            <w14:solidFill>
              <w14:schemeClr w14:val="tx1"/>
            </w14:solidFill>
          </w14:textFill>
        </w:rPr>
      </w:pPr>
    </w:p>
    <w:p w14:paraId="5F98D1ED">
      <w:pPr>
        <w:rPr>
          <w:color w:val="000000" w:themeColor="text1"/>
          <w:highlight w:val="none"/>
          <w14:textFill>
            <w14:solidFill>
              <w14:schemeClr w14:val="tx1"/>
            </w14:solidFill>
          </w14:textFill>
        </w:rPr>
      </w:pPr>
    </w:p>
    <w:p w14:paraId="62FC6089">
      <w:pPr>
        <w:rPr>
          <w:color w:val="000000" w:themeColor="text1"/>
          <w:highlight w:val="none"/>
          <w14:textFill>
            <w14:solidFill>
              <w14:schemeClr w14:val="tx1"/>
            </w14:solidFill>
          </w14:textFill>
        </w:rPr>
      </w:pPr>
    </w:p>
    <w:p w14:paraId="071B7767">
      <w:pPr>
        <w:pStyle w:val="4"/>
        <w:jc w:val="center"/>
        <w:rPr>
          <w:color w:val="000000" w:themeColor="text1"/>
          <w:highlight w:val="none"/>
          <w14:textFill>
            <w14:solidFill>
              <w14:schemeClr w14:val="tx1"/>
            </w14:solidFill>
          </w14:textFill>
        </w:rPr>
      </w:pPr>
      <w:bookmarkStart w:id="128" w:name="_Toc29026"/>
      <w:r>
        <w:rPr>
          <w:rFonts w:hint="eastAsia"/>
          <w:color w:val="000000" w:themeColor="text1"/>
          <w:highlight w:val="none"/>
          <w14:textFill>
            <w14:solidFill>
              <w14:schemeClr w14:val="tx1"/>
            </w14:solidFill>
          </w14:textFill>
        </w:rPr>
        <w:t>第四章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合同条款及格式</w:t>
      </w:r>
      <w:bookmarkEnd w:id="128"/>
    </w:p>
    <w:p w14:paraId="5F8B59AA">
      <w:pPr>
        <w:jc w:val="center"/>
        <w:rPr>
          <w:rFonts w:ascii="宋体"/>
          <w:color w:val="000000" w:themeColor="text1"/>
          <w:sz w:val="72"/>
          <w:szCs w:val="72"/>
          <w:highlight w:val="none"/>
          <w14:textFill>
            <w14:solidFill>
              <w14:schemeClr w14:val="tx1"/>
            </w14:solidFill>
          </w14:textFill>
        </w:rPr>
      </w:pPr>
      <w:r>
        <w:rPr>
          <w:rFonts w:ascii="宋体"/>
          <w:color w:val="000000" w:themeColor="text1"/>
          <w:sz w:val="72"/>
          <w:szCs w:val="72"/>
          <w:highlight w:val="none"/>
          <w14:textFill>
            <w14:solidFill>
              <w14:schemeClr w14:val="tx1"/>
            </w14:solidFill>
          </w14:textFill>
        </w:rPr>
        <w:br w:type="page"/>
      </w:r>
    </w:p>
    <w:p w14:paraId="32C83BF3">
      <w:pPr>
        <w:pStyle w:val="4"/>
        <w:jc w:val="center"/>
        <w:rPr>
          <w:color w:val="000000" w:themeColor="text1"/>
          <w:highlight w:val="none"/>
          <w14:textFill>
            <w14:solidFill>
              <w14:schemeClr w14:val="tx1"/>
            </w14:solidFill>
          </w14:textFill>
        </w:rPr>
      </w:pPr>
      <w:bookmarkStart w:id="129" w:name="_Toc26318"/>
      <w:bookmarkStart w:id="130" w:name="_Toc22662"/>
      <w:bookmarkStart w:id="131" w:name="_Toc505844394"/>
      <w:r>
        <w:rPr>
          <w:rFonts w:hint="eastAsia"/>
          <w:color w:val="000000" w:themeColor="text1"/>
          <w:highlight w:val="none"/>
          <w14:textFill>
            <w14:solidFill>
              <w14:schemeClr w14:val="tx1"/>
            </w14:solidFill>
          </w14:textFill>
        </w:rPr>
        <w:t>第一节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通用合同条款</w:t>
      </w:r>
      <w:bookmarkEnd w:id="129"/>
      <w:bookmarkEnd w:id="130"/>
      <w:bookmarkEnd w:id="131"/>
    </w:p>
    <w:p w14:paraId="7780206F">
      <w:pPr>
        <w:spacing w:line="400" w:lineRule="exact"/>
        <w:jc w:val="center"/>
        <w:rPr>
          <w:rFonts w:ascii="宋体" w:cs="宋体"/>
          <w:b/>
          <w:bCs/>
          <w:color w:val="000000" w:themeColor="text1"/>
          <w:sz w:val="28"/>
          <w:szCs w:val="36"/>
          <w:highlight w:val="none"/>
          <w14:textFill>
            <w14:solidFill>
              <w14:schemeClr w14:val="tx1"/>
            </w14:solidFill>
          </w14:textFill>
        </w:rPr>
      </w:pPr>
      <w:bookmarkStart w:id="132" w:name="_Toc11065"/>
      <w:bookmarkStart w:id="133" w:name="_Toc505844395"/>
      <w:r>
        <w:rPr>
          <w:rFonts w:hint="eastAsia" w:ascii="宋体" w:hAnsi="宋体" w:cs="宋体"/>
          <w:b/>
          <w:bCs/>
          <w:color w:val="000000" w:themeColor="text1"/>
          <w:sz w:val="28"/>
          <w:szCs w:val="36"/>
          <w:highlight w:val="none"/>
          <w14:textFill>
            <w14:solidFill>
              <w14:schemeClr w14:val="tx1"/>
            </w14:solidFill>
          </w14:textFill>
        </w:rPr>
        <w:t>详见《标准施工招标文件》（2007 版）的通用合同条款内容。</w:t>
      </w:r>
    </w:p>
    <w:p w14:paraId="03975A5E">
      <w:pPr>
        <w:spacing w:line="400" w:lineRule="exact"/>
        <w:jc w:val="center"/>
        <w:rPr>
          <w:rFonts w:ascii="宋体" w:cs="宋体"/>
          <w:color w:val="000000" w:themeColor="text1"/>
          <w:sz w:val="30"/>
          <w:szCs w:val="30"/>
          <w:highlight w:val="none"/>
          <w14:textFill>
            <w14:solidFill>
              <w14:schemeClr w14:val="tx1"/>
            </w14:solidFill>
          </w14:textFill>
        </w:rPr>
      </w:pPr>
    </w:p>
    <w:p w14:paraId="66CAE309">
      <w:pPr>
        <w:spacing w:line="400" w:lineRule="exact"/>
        <w:ind w:firstLine="480" w:firstLineChars="200"/>
        <w:rPr>
          <w:rFonts w:ascii="宋体" w:cs="宋体"/>
          <w:color w:val="000000" w:themeColor="text1"/>
          <w:sz w:val="24"/>
          <w:highlight w:val="none"/>
          <w14:textFill>
            <w14:solidFill>
              <w14:schemeClr w14:val="tx1"/>
            </w14:solidFill>
          </w14:textFill>
        </w:rPr>
      </w:pPr>
    </w:p>
    <w:p w14:paraId="6E735B76">
      <w:pPr>
        <w:rPr>
          <w:color w:val="000000" w:themeColor="text1"/>
          <w:highlight w:val="none"/>
          <w14:textFill>
            <w14:solidFill>
              <w14:schemeClr w14:val="tx1"/>
            </w14:solidFill>
          </w14:textFill>
        </w:rPr>
        <w:sectPr>
          <w:headerReference r:id="rId21" w:type="default"/>
          <w:footerReference r:id="rId22" w:type="default"/>
          <w:pgSz w:w="11906" w:h="16839"/>
          <w:pgMar w:top="1182" w:right="1416" w:bottom="1168" w:left="1417" w:header="849" w:footer="934" w:gutter="0"/>
          <w:cols w:space="720" w:num="1"/>
        </w:sectPr>
      </w:pPr>
      <w:bookmarkStart w:id="134" w:name="_Toc247527798"/>
      <w:bookmarkStart w:id="135" w:name="_Toc184635122"/>
      <w:bookmarkStart w:id="136" w:name="_Toc247514197"/>
      <w:bookmarkStart w:id="137" w:name="_Toc426012248"/>
      <w:bookmarkStart w:id="138" w:name="_Toc11537"/>
    </w:p>
    <w:bookmarkEnd w:id="134"/>
    <w:bookmarkEnd w:id="135"/>
    <w:bookmarkEnd w:id="136"/>
    <w:bookmarkEnd w:id="137"/>
    <w:bookmarkEnd w:id="138"/>
    <w:p w14:paraId="6ABB6F48">
      <w:pPr>
        <w:pStyle w:val="4"/>
        <w:jc w:val="center"/>
        <w:rPr>
          <w:color w:val="000000" w:themeColor="text1"/>
          <w:highlight w:val="none"/>
          <w14:textFill>
            <w14:solidFill>
              <w14:schemeClr w14:val="tx1"/>
            </w14:solidFill>
          </w14:textFill>
        </w:rPr>
      </w:pPr>
      <w:bookmarkStart w:id="139" w:name="_Toc4126"/>
      <w:r>
        <w:rPr>
          <w:rFonts w:hint="eastAsia"/>
          <w:color w:val="000000" w:themeColor="text1"/>
          <w:highlight w:val="none"/>
          <w14:textFill>
            <w14:solidFill>
              <w14:schemeClr w14:val="tx1"/>
            </w14:solidFill>
          </w14:textFill>
        </w:rPr>
        <w:t>第二节 专用合同条款</w:t>
      </w:r>
      <w:bookmarkEnd w:id="139"/>
    </w:p>
    <w:p w14:paraId="5F1C78F4">
      <w:pPr>
        <w:spacing w:line="360" w:lineRule="auto"/>
        <w:rPr>
          <w:rFonts w:hint="eastAsia" w:ascii="宋体" w:hAnsi="宋体" w:cs="宋体"/>
          <w:b/>
          <w:bCs/>
          <w:color w:val="000000" w:themeColor="text1"/>
          <w:sz w:val="28"/>
          <w:szCs w:val="28"/>
          <w:highlight w:val="none"/>
          <w14:textFill>
            <w14:solidFill>
              <w14:schemeClr w14:val="tx1"/>
            </w14:solidFill>
          </w14:textFill>
        </w:rPr>
      </w:pPr>
    </w:p>
    <w:p w14:paraId="2FCD8829">
      <w:pPr>
        <w:spacing w:line="360" w:lineRule="auto"/>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包括：</w:t>
      </w:r>
    </w:p>
    <w:p w14:paraId="11BA6A2E">
      <w:pPr>
        <w:spacing w:line="432" w:lineRule="auto"/>
        <w:ind w:left="858"/>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A</w:t>
      </w:r>
      <w:r>
        <w:rPr>
          <w:rFonts w:hint="eastAsia" w:ascii="宋体" w:hAnsi="宋体" w:cs="宋体"/>
          <w:b/>
          <w:bCs/>
          <w:color w:val="000000" w:themeColor="text1"/>
          <w:spacing w:val="1"/>
          <w:sz w:val="28"/>
          <w:szCs w:val="28"/>
          <w:highlight w:val="none"/>
          <w14:textFill>
            <w14:solidFill>
              <w14:schemeClr w14:val="tx1"/>
            </w14:solidFill>
          </w14:textFill>
        </w:rPr>
        <w:t xml:space="preserve"> 公路工程专用合同条款详见《公路工程标准施工招标文件》 （2018 版）的第四章第二节</w:t>
      </w:r>
    </w:p>
    <w:p w14:paraId="5A04AC1F">
      <w:pPr>
        <w:spacing w:line="432" w:lineRule="auto"/>
        <w:ind w:left="565"/>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B</w:t>
      </w:r>
      <w:r>
        <w:rPr>
          <w:rFonts w:hint="eastAsia" w:ascii="宋体" w:hAnsi="宋体" w:cs="宋体"/>
          <w:b/>
          <w:bCs/>
          <w:color w:val="000000" w:themeColor="text1"/>
          <w:spacing w:val="1"/>
          <w:sz w:val="28"/>
          <w:szCs w:val="28"/>
          <w:highlight w:val="none"/>
          <w14:textFill>
            <w14:solidFill>
              <w14:schemeClr w14:val="tx1"/>
            </w14:solidFill>
          </w14:textFill>
        </w:rPr>
        <w:t xml:space="preserve">  项目专用</w:t>
      </w:r>
      <w:r>
        <w:rPr>
          <w:rFonts w:hint="eastAsia" w:ascii="宋体" w:hAnsi="宋体" w:cs="宋体"/>
          <w:b/>
          <w:bCs/>
          <w:color w:val="000000" w:themeColor="text1"/>
          <w:sz w:val="28"/>
          <w:szCs w:val="28"/>
          <w:highlight w:val="none"/>
          <w14:textFill>
            <w14:solidFill>
              <w14:schemeClr w14:val="tx1"/>
            </w14:solidFill>
          </w14:textFill>
        </w:rPr>
        <w:t>合同条款</w:t>
      </w:r>
    </w:p>
    <w:p w14:paraId="65A79C3A">
      <w:pPr>
        <w:pStyle w:val="55"/>
        <w:rPr>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  </w:t>
      </w:r>
    </w:p>
    <w:p w14:paraId="35A4DDD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bookmarkEnd w:id="132"/>
    <w:bookmarkEnd w:id="133"/>
    <w:p w14:paraId="1BD5707B">
      <w:pPr>
        <w:pStyle w:val="4"/>
        <w:jc w:val="center"/>
        <w:rPr>
          <w:color w:val="000000" w:themeColor="text1"/>
          <w:highlight w:val="none"/>
          <w14:textFill>
            <w14:solidFill>
              <w14:schemeClr w14:val="tx1"/>
            </w14:solidFill>
          </w14:textFill>
        </w:rPr>
      </w:pPr>
      <w:bookmarkStart w:id="140" w:name="_Toc18877"/>
      <w:r>
        <w:rPr>
          <w:color w:val="000000" w:themeColor="text1"/>
          <w:highlight w:val="none"/>
          <w14:textFill>
            <w14:solidFill>
              <w14:schemeClr w14:val="tx1"/>
            </w14:solidFill>
          </w14:textFill>
        </w:rPr>
        <w:t>A.</w:t>
      </w:r>
      <w:r>
        <w:rPr>
          <w:rFonts w:hint="eastAsia"/>
          <w:color w:val="000000" w:themeColor="text1"/>
          <w:highlight w:val="none"/>
          <w14:textFill>
            <w14:solidFill>
              <w14:schemeClr w14:val="tx1"/>
            </w14:solidFill>
          </w14:textFill>
        </w:rPr>
        <w:t>公路工程专用合同条款</w:t>
      </w:r>
      <w:bookmarkEnd w:id="140"/>
    </w:p>
    <w:p w14:paraId="65337106">
      <w:pPr>
        <w:rPr>
          <w:rFonts w:ascii="宋体" w:cs="宋体"/>
          <w:color w:val="000000" w:themeColor="text1"/>
          <w:highlight w:val="none"/>
          <w14:textFill>
            <w14:solidFill>
              <w14:schemeClr w14:val="tx1"/>
            </w14:solidFill>
          </w14:textFill>
        </w:rPr>
      </w:pPr>
    </w:p>
    <w:p w14:paraId="73D0EF99">
      <w:pPr>
        <w:ind w:firstLine="562" w:firstLineChars="200"/>
        <w:rPr>
          <w:rFonts w:ascii="宋体" w:cs="宋体"/>
          <w:b/>
          <w:color w:val="000000" w:themeColor="text1"/>
          <w:sz w:val="28"/>
          <w:szCs w:val="28"/>
          <w:highlight w:val="none"/>
          <w14:textFill>
            <w14:solidFill>
              <w14:schemeClr w14:val="tx1"/>
            </w14:solidFill>
          </w14:textFill>
        </w:rPr>
      </w:pPr>
      <w:r>
        <w:rPr>
          <w:rFonts w:ascii="宋体" w:hAnsi="宋体" w:cs="宋体"/>
          <w:b/>
          <w:color w:val="000000" w:themeColor="text1"/>
          <w:sz w:val="28"/>
          <w:szCs w:val="28"/>
          <w:highlight w:val="none"/>
          <w14:textFill>
            <w14:solidFill>
              <w14:schemeClr w14:val="tx1"/>
            </w14:solidFill>
          </w14:textFill>
        </w:rPr>
        <w:t>(</w:t>
      </w:r>
      <w:r>
        <w:rPr>
          <w:rFonts w:hint="eastAsia" w:ascii="宋体" w:hAnsi="宋体" w:cs="宋体"/>
          <w:b/>
          <w:color w:val="000000" w:themeColor="text1"/>
          <w:sz w:val="28"/>
          <w:szCs w:val="28"/>
          <w:highlight w:val="none"/>
          <w14:textFill>
            <w14:solidFill>
              <w14:schemeClr w14:val="tx1"/>
            </w14:solidFill>
          </w14:textFill>
        </w:rPr>
        <w:t>公路工程专用合同条款详见《公路工程标准施工招标文件》 （2018 版）的第四章第二节</w:t>
      </w:r>
      <w:r>
        <w:rPr>
          <w:rFonts w:ascii="宋体" w:hAnsi="宋体" w:cs="宋体"/>
          <w:b/>
          <w:color w:val="000000" w:themeColor="text1"/>
          <w:sz w:val="28"/>
          <w:szCs w:val="28"/>
          <w:highlight w:val="none"/>
          <w14:textFill>
            <w14:solidFill>
              <w14:schemeClr w14:val="tx1"/>
            </w14:solidFill>
          </w14:textFill>
        </w:rPr>
        <w:t>)</w:t>
      </w:r>
    </w:p>
    <w:p w14:paraId="36F95A1F">
      <w:pPr>
        <w:rPr>
          <w:rFonts w:ascii="宋体" w:cs="宋体"/>
          <w:color w:val="000000" w:themeColor="text1"/>
          <w:highlight w:val="none"/>
          <w14:textFill>
            <w14:solidFill>
              <w14:schemeClr w14:val="tx1"/>
            </w14:solidFill>
          </w14:textFill>
        </w:rPr>
      </w:pPr>
    </w:p>
    <w:p w14:paraId="2A1ABF1F">
      <w:pPr>
        <w:tabs>
          <w:tab w:val="left" w:pos="3193"/>
        </w:tabs>
        <w:spacing w:line="400" w:lineRule="exact"/>
        <w:ind w:firstLine="480" w:firstLineChars="200"/>
        <w:rPr>
          <w:rFonts w:ascii="宋体" w:cs="宋体"/>
          <w:color w:val="000000" w:themeColor="text1"/>
          <w:sz w:val="24"/>
          <w:highlight w:val="none"/>
          <w14:textFill>
            <w14:solidFill>
              <w14:schemeClr w14:val="tx1"/>
            </w14:solidFill>
          </w14:textFill>
        </w:rPr>
      </w:pPr>
      <w:r>
        <w:rPr>
          <w:rFonts w:ascii="宋体" w:cs="宋体"/>
          <w:color w:val="000000" w:themeColor="text1"/>
          <w:sz w:val="24"/>
          <w:highlight w:val="none"/>
          <w14:textFill>
            <w14:solidFill>
              <w14:schemeClr w14:val="tx1"/>
            </w14:solidFill>
          </w14:textFill>
        </w:rPr>
        <w:br w:type="page"/>
      </w:r>
    </w:p>
    <w:p w14:paraId="70EAC83F">
      <w:pPr>
        <w:pStyle w:val="4"/>
        <w:jc w:val="center"/>
        <w:rPr>
          <w:color w:val="000000" w:themeColor="text1"/>
          <w:highlight w:val="none"/>
          <w14:textFill>
            <w14:solidFill>
              <w14:schemeClr w14:val="tx1"/>
            </w14:solidFill>
          </w14:textFill>
        </w:rPr>
      </w:pPr>
      <w:bookmarkStart w:id="141" w:name="_Toc17755"/>
      <w:r>
        <w:rPr>
          <w:color w:val="000000" w:themeColor="text1"/>
          <w:highlight w:val="none"/>
          <w14:textFill>
            <w14:solidFill>
              <w14:schemeClr w14:val="tx1"/>
            </w14:solidFill>
          </w14:textFill>
        </w:rPr>
        <w:t>B.</w:t>
      </w:r>
      <w:r>
        <w:rPr>
          <w:rFonts w:hint="eastAsia"/>
          <w:color w:val="000000" w:themeColor="text1"/>
          <w:highlight w:val="none"/>
          <w14:textFill>
            <w14:solidFill>
              <w14:schemeClr w14:val="tx1"/>
            </w14:solidFill>
          </w14:textFill>
        </w:rPr>
        <w:t>项目专用合同条款</w:t>
      </w:r>
      <w:bookmarkEnd w:id="141"/>
    </w:p>
    <w:p w14:paraId="57D211F7">
      <w:pPr>
        <w:spacing w:before="78" w:line="219" w:lineRule="auto"/>
        <w:ind w:left="11"/>
        <w:rPr>
          <w:rFonts w:hint="eastAsia" w:ascii="宋体" w:hAnsi="宋体" w:cs="宋体"/>
          <w:color w:val="000000" w:themeColor="text1"/>
          <w:sz w:val="24"/>
          <w:highlight w:val="none"/>
          <w14:textFill>
            <w14:solidFill>
              <w14:schemeClr w14:val="tx1"/>
            </w14:solidFill>
          </w14:textFill>
        </w:rPr>
      </w:pPr>
      <w:bookmarkStart w:id="142" w:name="_Toc505844493"/>
      <w:r>
        <w:rPr>
          <w:rFonts w:ascii="宋体" w:hAnsi="宋体" w:cs="宋体"/>
          <w:color w:val="000000" w:themeColor="text1"/>
          <w:spacing w:val="-15"/>
          <w:sz w:val="24"/>
          <w:highlight w:val="none"/>
          <w14:textFill>
            <w14:solidFill>
              <w14:schemeClr w14:val="tx1"/>
            </w14:solidFill>
          </w14:textFill>
        </w:rPr>
        <w:t>说</w:t>
      </w:r>
      <w:r>
        <w:rPr>
          <w:rFonts w:ascii="宋体" w:hAnsi="宋体" w:cs="宋体"/>
          <w:color w:val="000000" w:themeColor="text1"/>
          <w:spacing w:val="15"/>
          <w:sz w:val="24"/>
          <w:highlight w:val="none"/>
          <w14:textFill>
            <w14:solidFill>
              <w14:schemeClr w14:val="tx1"/>
            </w14:solidFill>
          </w14:textFill>
        </w:rPr>
        <w:t xml:space="preserve">  </w:t>
      </w:r>
      <w:r>
        <w:rPr>
          <w:rFonts w:ascii="宋体" w:hAnsi="宋体" w:cs="宋体"/>
          <w:color w:val="000000" w:themeColor="text1"/>
          <w:spacing w:val="-15"/>
          <w:sz w:val="24"/>
          <w:highlight w:val="none"/>
          <w14:textFill>
            <w14:solidFill>
              <w14:schemeClr w14:val="tx1"/>
            </w14:solidFill>
          </w14:textFill>
        </w:rPr>
        <w:t>明：</w:t>
      </w:r>
    </w:p>
    <w:p w14:paraId="65436328">
      <w:pPr>
        <w:spacing w:line="360" w:lineRule="auto"/>
        <w:ind w:left="7"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 招标人在根据本范本编制项目招标文件中的“项目专用合同条款</w:t>
      </w:r>
      <w:r>
        <w:rPr>
          <w:rFonts w:ascii="宋体" w:hAnsi="宋体" w:cs="宋体"/>
          <w:color w:val="000000" w:themeColor="text1"/>
          <w:spacing w:val="-7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”时，可根据</w:t>
      </w:r>
      <w:r>
        <w:rPr>
          <w:rFonts w:ascii="宋体" w:hAnsi="宋体" w:cs="宋体"/>
          <w:color w:val="000000" w:themeColor="text1"/>
          <w:spacing w:val="-3"/>
          <w:sz w:val="24"/>
          <w:highlight w:val="none"/>
          <w14:textFill>
            <w14:solidFill>
              <w14:schemeClr w14:val="tx1"/>
            </w14:solidFill>
          </w14:textFill>
        </w:rPr>
        <w:t>招标项目的具体特点和实际需要，对“通用合同条款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”及“公路工程</w:t>
      </w:r>
      <w:r>
        <w:rPr>
          <w:rFonts w:ascii="宋体" w:hAnsi="宋体" w:cs="宋体"/>
          <w:color w:val="000000" w:themeColor="text1"/>
          <w:spacing w:val="-4"/>
          <w:sz w:val="24"/>
          <w:highlight w:val="none"/>
          <w14:textFill>
            <w14:solidFill>
              <w14:schemeClr w14:val="tx1"/>
            </w14:solidFill>
          </w14:textFill>
        </w:rPr>
        <w:t>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”进</w:t>
      </w:r>
      <w:r>
        <w:rPr>
          <w:rFonts w:ascii="宋体" w:hAnsi="宋体" w:cs="宋体"/>
          <w:color w:val="000000" w:themeColor="text1"/>
          <w:spacing w:val="-3"/>
          <w:sz w:val="24"/>
          <w:highlight w:val="none"/>
          <w14:textFill>
            <w14:solidFill>
              <w14:schemeClr w14:val="tx1"/>
            </w14:solidFill>
          </w14:textFill>
        </w:rPr>
        <w:t>行补充和细化，除“通用合同条款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”明确“专用合同条款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”可做出不</w:t>
      </w:r>
      <w:r>
        <w:rPr>
          <w:rFonts w:ascii="宋体" w:hAnsi="宋体" w:cs="宋体"/>
          <w:color w:val="000000" w:themeColor="text1"/>
          <w:spacing w:val="-4"/>
          <w:sz w:val="24"/>
          <w:highlight w:val="none"/>
          <w14:textFill>
            <w14:solidFill>
              <w14:schemeClr w14:val="tx1"/>
            </w14:solidFill>
          </w14:textFill>
        </w:rPr>
        <w:t>同约定及“公路工</w:t>
      </w:r>
      <w:r>
        <w:rPr>
          <w:rFonts w:ascii="宋体" w:hAnsi="宋体" w:cs="宋体"/>
          <w:color w:val="000000" w:themeColor="text1"/>
          <w:sz w:val="24"/>
          <w:highlight w:val="none"/>
          <w14:textFill>
            <w14:solidFill>
              <w14:schemeClr w14:val="tx1"/>
            </w14:solidFill>
          </w14:textFill>
        </w:rPr>
        <w:t>程专用合同条款</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”明确“项目专用合同条款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 可做出不同约定外，补充和细</w:t>
      </w:r>
      <w:r>
        <w:rPr>
          <w:rFonts w:ascii="宋体" w:hAnsi="宋体" w:cs="宋体"/>
          <w:color w:val="000000" w:themeColor="text1"/>
          <w:spacing w:val="-1"/>
          <w:sz w:val="24"/>
          <w:highlight w:val="none"/>
          <w14:textFill>
            <w14:solidFill>
              <w14:schemeClr w14:val="tx1"/>
            </w14:solidFill>
          </w14:textFill>
        </w:rPr>
        <w:t>化的内容</w:t>
      </w:r>
      <w:r>
        <w:rPr>
          <w:rFonts w:ascii="宋体" w:hAnsi="宋体" w:cs="宋体"/>
          <w:color w:val="000000" w:themeColor="text1"/>
          <w:spacing w:val="-7"/>
          <w:sz w:val="24"/>
          <w:highlight w:val="none"/>
          <w14:textFill>
            <w14:solidFill>
              <w14:schemeClr w14:val="tx1"/>
            </w14:solidFill>
          </w14:textFill>
        </w:rPr>
        <w:t>不得与“通用合同条款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”及“公路工程专用合同条款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”强制性规定相</w:t>
      </w:r>
      <w:r>
        <w:rPr>
          <w:rFonts w:ascii="宋体" w:hAnsi="宋体" w:cs="宋体"/>
          <w:color w:val="000000" w:themeColor="text1"/>
          <w:spacing w:val="-8"/>
          <w:sz w:val="24"/>
          <w:highlight w:val="none"/>
          <w14:textFill>
            <w14:solidFill>
              <w14:schemeClr w14:val="tx1"/>
            </w14:solidFill>
          </w14:textFill>
        </w:rPr>
        <w:t>抵触。同时，补充、</w:t>
      </w:r>
      <w:r>
        <w:rPr>
          <w:rFonts w:ascii="宋体" w:hAnsi="宋体" w:cs="宋体"/>
          <w:color w:val="000000" w:themeColor="text1"/>
          <w:spacing w:val="-2"/>
          <w:sz w:val="24"/>
          <w:highlight w:val="none"/>
          <w14:textFill>
            <w14:solidFill>
              <w14:schemeClr w14:val="tx1"/>
            </w14:solidFill>
          </w14:textFill>
        </w:rPr>
        <w:t>细化或约定的不同内容，不得违反法律、行政法规的强制性规定和平等、自愿、公平和诚实信用原则。</w:t>
      </w:r>
    </w:p>
    <w:p w14:paraId="6239590C">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 项目专用合同条款的编号应与通用合同条款</w:t>
      </w:r>
      <w:r>
        <w:rPr>
          <w:rFonts w:ascii="宋体" w:hAnsi="宋体" w:cs="宋体"/>
          <w:color w:val="000000" w:themeColor="text1"/>
          <w:spacing w:val="-1"/>
          <w:sz w:val="24"/>
          <w:highlight w:val="none"/>
          <w14:textFill>
            <w14:solidFill>
              <w14:schemeClr w14:val="tx1"/>
            </w14:solidFill>
          </w14:textFill>
        </w:rPr>
        <w:t>和公路工程专用合同条款一致。</w:t>
      </w:r>
    </w:p>
    <w:p w14:paraId="7BC850C9">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 项目专用合同条款可对下列内容进行补充和细化：</w:t>
      </w:r>
    </w:p>
    <w:p w14:paraId="4FDDD635">
      <w:pPr>
        <w:spacing w:line="360" w:lineRule="auto"/>
        <w:ind w:left="8" w:right="80"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(1)“通用合同条款</w:t>
      </w:r>
      <w:r>
        <w:rPr>
          <w:rFonts w:ascii="宋体" w:hAnsi="宋体" w:cs="宋体"/>
          <w:color w:val="000000" w:themeColor="text1"/>
          <w:spacing w:val="-8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”中明确指出“专用合同条款</w:t>
      </w:r>
      <w:r>
        <w:rPr>
          <w:rFonts w:ascii="宋体" w:hAnsi="宋体" w:cs="宋体"/>
          <w:color w:val="000000" w:themeColor="text1"/>
          <w:spacing w:val="-8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可对“通用合同条款</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”进行修</w:t>
      </w:r>
      <w:r>
        <w:rPr>
          <w:rFonts w:ascii="宋体" w:hAnsi="宋体" w:cs="宋体"/>
          <w:color w:val="000000" w:themeColor="text1"/>
          <w:spacing w:val="-7"/>
          <w:sz w:val="24"/>
          <w:highlight w:val="none"/>
          <w14:textFill>
            <w14:solidFill>
              <w14:schemeClr w14:val="tx1"/>
            </w14:solidFill>
          </w14:textFill>
        </w:rPr>
        <w:t>改的内容(在“通用合同条款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”中用“应按合同约定</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”、“应按专用合同条款约定</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8"/>
          <w:sz w:val="24"/>
          <w:highlight w:val="none"/>
          <w14:textFill>
            <w14:solidFill>
              <w14:schemeClr w14:val="tx1"/>
            </w14:solidFill>
          </w14:textFill>
        </w:rPr>
        <w:t>“除</w:t>
      </w:r>
      <w:r>
        <w:rPr>
          <w:rFonts w:ascii="宋体" w:hAnsi="宋体" w:cs="宋体"/>
          <w:color w:val="000000" w:themeColor="text1"/>
          <w:spacing w:val="-4"/>
          <w:sz w:val="24"/>
          <w:highlight w:val="none"/>
          <w14:textFill>
            <w14:solidFill>
              <w14:schemeClr w14:val="tx1"/>
            </w14:solidFill>
          </w14:textFill>
        </w:rPr>
        <w:t>合同另有约定外</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”、“除专用合同条款另有约定外</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”、“在专用合同条款中约定</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”等多</w:t>
      </w:r>
      <w:r>
        <w:rPr>
          <w:rFonts w:ascii="宋体" w:hAnsi="宋体" w:cs="宋体"/>
          <w:color w:val="000000" w:themeColor="text1"/>
          <w:spacing w:val="-2"/>
          <w:sz w:val="24"/>
          <w:highlight w:val="none"/>
          <w14:textFill>
            <w14:solidFill>
              <w14:schemeClr w14:val="tx1"/>
            </w14:solidFill>
          </w14:textFill>
        </w:rPr>
        <w:t>种文字形式表达)；</w:t>
      </w:r>
    </w:p>
    <w:p w14:paraId="29C156CE">
      <w:pPr>
        <w:spacing w:line="360" w:lineRule="auto"/>
        <w:ind w:left="8" w:right="80"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(2)“公路工程专用合同条款</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”中明确指出“项目专</w:t>
      </w:r>
      <w:r>
        <w:rPr>
          <w:rFonts w:ascii="宋体" w:hAnsi="宋体" w:cs="宋体"/>
          <w:color w:val="000000" w:themeColor="text1"/>
          <w:spacing w:val="-2"/>
          <w:sz w:val="24"/>
          <w:highlight w:val="none"/>
          <w14:textFill>
            <w14:solidFill>
              <w14:schemeClr w14:val="tx1"/>
            </w14:solidFill>
          </w14:textFill>
        </w:rPr>
        <w:t>用合同条款</w:t>
      </w:r>
      <w:r>
        <w:rPr>
          <w:rFonts w:ascii="宋体" w:hAnsi="宋体" w:cs="宋体"/>
          <w:color w:val="000000" w:themeColor="text1"/>
          <w:spacing w:val="-8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”可对“公路工程</w:t>
      </w:r>
      <w:r>
        <w:rPr>
          <w:rFonts w:ascii="宋体" w:hAnsi="宋体" w:cs="宋体"/>
          <w:color w:val="000000" w:themeColor="text1"/>
          <w:spacing w:val="-3"/>
          <w:sz w:val="24"/>
          <w:highlight w:val="none"/>
          <w14:textFill>
            <w14:solidFill>
              <w14:schemeClr w14:val="tx1"/>
            </w14:solidFill>
          </w14:textFill>
        </w:rPr>
        <w:t>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”进行修改的内容（在“公路工程专用合同条款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”中</w:t>
      </w:r>
      <w:r>
        <w:rPr>
          <w:rFonts w:ascii="宋体" w:hAnsi="宋体" w:cs="宋体"/>
          <w:color w:val="000000" w:themeColor="text1"/>
          <w:spacing w:val="-4"/>
          <w:sz w:val="24"/>
          <w:highlight w:val="none"/>
          <w14:textFill>
            <w14:solidFill>
              <w14:schemeClr w14:val="tx1"/>
            </w14:solidFill>
          </w14:textFill>
        </w:rPr>
        <w:t>用“除项目专用合同</w:t>
      </w:r>
      <w:r>
        <w:rPr>
          <w:rFonts w:ascii="宋体" w:hAnsi="宋体" w:cs="宋体"/>
          <w:color w:val="000000" w:themeColor="text1"/>
          <w:spacing w:val="-3"/>
          <w:sz w:val="24"/>
          <w:highlight w:val="none"/>
          <w14:textFill>
            <w14:solidFill>
              <w14:schemeClr w14:val="tx1"/>
            </w14:solidFill>
          </w14:textFill>
        </w:rPr>
        <w:t>条款另有约定外</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”、“项目专用合同条款可能约定的</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”、“项目专</w:t>
      </w:r>
      <w:r>
        <w:rPr>
          <w:rFonts w:ascii="宋体" w:hAnsi="宋体" w:cs="宋体"/>
          <w:color w:val="000000" w:themeColor="text1"/>
          <w:spacing w:val="-4"/>
          <w:sz w:val="24"/>
          <w:highlight w:val="none"/>
          <w14:textFill>
            <w14:solidFill>
              <w14:schemeClr w14:val="tx1"/>
            </w14:solidFill>
          </w14:textFill>
        </w:rPr>
        <w:t>用合同条款约定的其他情形</w:t>
      </w:r>
      <w:r>
        <w:rPr>
          <w:rFonts w:ascii="宋体" w:hAnsi="宋体" w:cs="宋体"/>
          <w:color w:val="000000" w:themeColor="text1"/>
          <w:spacing w:val="-8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”等多种文字形式表达</w:t>
      </w:r>
      <w:r>
        <w:rPr>
          <w:rFonts w:ascii="宋体" w:hAnsi="宋体" w:cs="宋体"/>
          <w:color w:val="000000" w:themeColor="text1"/>
          <w:spacing w:val="4"/>
          <w:sz w:val="24"/>
          <w:highlight w:val="none"/>
          <w14:textFill>
            <w14:solidFill>
              <w14:schemeClr w14:val="tx1"/>
            </w14:solidFill>
          </w14:textFill>
        </w:rPr>
        <w:t>）；</w:t>
      </w:r>
    </w:p>
    <w:p w14:paraId="1732CF9B">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(3)其他需要补充、细化的内容。</w:t>
      </w:r>
    </w:p>
    <w:p w14:paraId="4292042C">
      <w:pPr>
        <w:pStyle w:val="5"/>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43" w:name="_Toc15359"/>
      <w:r>
        <w:rPr>
          <w:rFonts w:hint="eastAsia"/>
          <w:color w:val="000000" w:themeColor="text1"/>
          <w:sz w:val="36"/>
          <w:szCs w:val="44"/>
          <w:highlight w:val="none"/>
          <w14:textFill>
            <w14:solidFill>
              <w14:schemeClr w14:val="tx1"/>
            </w14:solidFill>
          </w14:textFill>
        </w:rPr>
        <w:t>项目专用条款数据表</w:t>
      </w:r>
      <w:bookmarkEnd w:id="142"/>
      <w:bookmarkEnd w:id="143"/>
    </w:p>
    <w:p w14:paraId="1F84CE88">
      <w:pPr>
        <w:rPr>
          <w:color w:val="000000" w:themeColor="text1"/>
          <w:highlight w:val="none"/>
          <w14:textFill>
            <w14:solidFill>
              <w14:schemeClr w14:val="tx1"/>
            </w14:solidFill>
          </w14:textFill>
        </w:rPr>
      </w:pPr>
    </w:p>
    <w:p w14:paraId="4A446D65">
      <w:pPr>
        <w:spacing w:line="360" w:lineRule="auto"/>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说明：本数据表是项目专用合同条款中适用于本项目的信息和数据的归纳与提示，是项目专用合同条款的组成部分。第九章“招标文件格式”的投标函附录中的数据（供投标人确认）与本表所列有重复。编写招标文件的单位应仔细校核，不使数据出现差错或不一致。</w:t>
      </w:r>
    </w:p>
    <w:tbl>
      <w:tblPr>
        <w:tblStyle w:val="45"/>
        <w:tblW w:w="96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1"/>
        <w:gridCol w:w="1262"/>
        <w:gridCol w:w="7426"/>
      </w:tblGrid>
      <w:tr w14:paraId="2C9D8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951" w:type="dxa"/>
            <w:tcBorders>
              <w:top w:val="single" w:color="auto" w:sz="12" w:space="0"/>
              <w:left w:val="single" w:color="auto" w:sz="12" w:space="0"/>
              <w:bottom w:val="single" w:color="auto" w:sz="6" w:space="0"/>
              <w:right w:val="single" w:color="auto" w:sz="6" w:space="0"/>
            </w:tcBorders>
            <w:vAlign w:val="center"/>
          </w:tcPr>
          <w:p w14:paraId="4D3FEBAA">
            <w:pPr>
              <w:jc w:val="center"/>
              <w:rPr>
                <w:rFonts w:hint="eastAsia" w:ascii="宋体" w:hAnsi="宋体" w:cs="宋体"/>
                <w:b/>
                <w:color w:val="000000" w:themeColor="text1"/>
                <w:szCs w:val="21"/>
                <w:highlight w:val="none"/>
                <w14:textFill>
                  <w14:solidFill>
                    <w14:schemeClr w14:val="tx1"/>
                  </w14:solidFill>
                </w14:textFill>
              </w:rPr>
            </w:pPr>
            <w:bookmarkStart w:id="144" w:name="_Toc505844494"/>
            <w:r>
              <w:rPr>
                <w:rFonts w:hint="eastAsia" w:ascii="宋体" w:hAnsi="宋体" w:cs="宋体"/>
                <w:b/>
                <w:color w:val="000000" w:themeColor="text1"/>
                <w:szCs w:val="21"/>
                <w:highlight w:val="none"/>
                <w14:textFill>
                  <w14:solidFill>
                    <w14:schemeClr w14:val="tx1"/>
                  </w14:solidFill>
                </w14:textFill>
              </w:rPr>
              <w:t>序号</w:t>
            </w:r>
          </w:p>
        </w:tc>
        <w:tc>
          <w:tcPr>
            <w:tcW w:w="1262" w:type="dxa"/>
            <w:tcBorders>
              <w:top w:val="single" w:color="auto" w:sz="12" w:space="0"/>
              <w:left w:val="single" w:color="auto" w:sz="6" w:space="0"/>
              <w:bottom w:val="single" w:color="auto" w:sz="6" w:space="0"/>
              <w:right w:val="single" w:color="auto" w:sz="6" w:space="0"/>
            </w:tcBorders>
            <w:vAlign w:val="center"/>
          </w:tcPr>
          <w:p w14:paraId="5C785163">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7426" w:type="dxa"/>
            <w:tcBorders>
              <w:top w:val="single" w:color="auto" w:sz="12" w:space="0"/>
              <w:left w:val="single" w:color="auto" w:sz="6" w:space="0"/>
              <w:bottom w:val="single" w:color="auto" w:sz="6" w:space="0"/>
              <w:right w:val="single" w:color="auto" w:sz="12" w:space="0"/>
            </w:tcBorders>
            <w:vAlign w:val="center"/>
          </w:tcPr>
          <w:p w14:paraId="7C710BFC">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信息或数据</w:t>
            </w:r>
          </w:p>
        </w:tc>
      </w:tr>
      <w:tr w14:paraId="75565D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651E88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262" w:type="dxa"/>
            <w:tcBorders>
              <w:top w:val="single" w:color="auto" w:sz="6" w:space="0"/>
              <w:left w:val="single" w:color="auto" w:sz="6" w:space="0"/>
              <w:bottom w:val="single" w:color="auto" w:sz="6" w:space="0"/>
              <w:right w:val="single" w:color="auto" w:sz="6" w:space="0"/>
            </w:tcBorders>
            <w:vAlign w:val="center"/>
          </w:tcPr>
          <w:p w14:paraId="6137853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1.1.2.2</w:t>
            </w:r>
          </w:p>
        </w:tc>
        <w:tc>
          <w:tcPr>
            <w:tcW w:w="7426" w:type="dxa"/>
            <w:tcBorders>
              <w:top w:val="single" w:color="auto" w:sz="6" w:space="0"/>
              <w:left w:val="single" w:color="auto" w:sz="6" w:space="0"/>
              <w:bottom w:val="single" w:color="auto" w:sz="6" w:space="0"/>
              <w:right w:val="single" w:color="auto" w:sz="12" w:space="0"/>
            </w:tcBorders>
            <w:vAlign w:val="center"/>
          </w:tcPr>
          <w:p w14:paraId="1B4C8073">
            <w:pPr>
              <w:pStyle w:val="68"/>
              <w:widowControl/>
              <w:snapToGrid w:val="0"/>
              <w:spacing w:line="400" w:lineRule="exact"/>
              <w:jc w:val="left"/>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发包人：乳源瑶族自治县地方公路事务中心</w:t>
            </w:r>
          </w:p>
          <w:p w14:paraId="20CA60E4">
            <w:pPr>
              <w:pStyle w:val="68"/>
              <w:widowControl/>
              <w:snapToGrid w:val="0"/>
              <w:spacing w:line="400" w:lineRule="exact"/>
              <w:jc w:val="left"/>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 xml:space="preserve">地址：韶关市乳源瑶族自治县滨江中路县交通运输局3楼       </w:t>
            </w:r>
          </w:p>
          <w:p w14:paraId="2DCE7CBB">
            <w:pPr>
              <w:pStyle w:val="68"/>
              <w:widowControl/>
              <w:snapToGrid w:val="0"/>
              <w:spacing w:line="400" w:lineRule="exact"/>
              <w:jc w:val="left"/>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邮政编码：512700</w:t>
            </w:r>
          </w:p>
        </w:tc>
      </w:tr>
      <w:tr w14:paraId="7C8658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FD9E0F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262" w:type="dxa"/>
            <w:tcBorders>
              <w:top w:val="single" w:color="auto" w:sz="6" w:space="0"/>
              <w:left w:val="single" w:color="auto" w:sz="6" w:space="0"/>
              <w:bottom w:val="single" w:color="auto" w:sz="6" w:space="0"/>
              <w:right w:val="single" w:color="auto" w:sz="6" w:space="0"/>
            </w:tcBorders>
            <w:vAlign w:val="center"/>
          </w:tcPr>
          <w:p w14:paraId="0E68633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1.1.2.6</w:t>
            </w:r>
          </w:p>
        </w:tc>
        <w:tc>
          <w:tcPr>
            <w:tcW w:w="7426" w:type="dxa"/>
            <w:tcBorders>
              <w:top w:val="single" w:color="auto" w:sz="6" w:space="0"/>
              <w:left w:val="single" w:color="auto" w:sz="6" w:space="0"/>
              <w:bottom w:val="single" w:color="auto" w:sz="6" w:space="0"/>
              <w:right w:val="single" w:color="auto" w:sz="12" w:space="0"/>
            </w:tcBorders>
            <w:vAlign w:val="center"/>
          </w:tcPr>
          <w:p w14:paraId="0B175EB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监 理 人：/</w:t>
            </w:r>
          </w:p>
          <w:p w14:paraId="39E2BF8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                       邮政编码：/</w:t>
            </w:r>
          </w:p>
        </w:tc>
      </w:tr>
      <w:tr w14:paraId="2C42CC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9355DC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262" w:type="dxa"/>
            <w:tcBorders>
              <w:top w:val="single" w:color="auto" w:sz="6" w:space="0"/>
              <w:left w:val="single" w:color="auto" w:sz="6" w:space="0"/>
              <w:bottom w:val="single" w:color="auto" w:sz="6" w:space="0"/>
              <w:right w:val="single" w:color="auto" w:sz="6" w:space="0"/>
            </w:tcBorders>
            <w:vAlign w:val="center"/>
          </w:tcPr>
          <w:p w14:paraId="60FB22F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1.1.2.10</w:t>
            </w:r>
          </w:p>
        </w:tc>
        <w:tc>
          <w:tcPr>
            <w:tcW w:w="7426" w:type="dxa"/>
            <w:tcBorders>
              <w:top w:val="single" w:color="auto" w:sz="6" w:space="0"/>
              <w:left w:val="single" w:color="auto" w:sz="6" w:space="0"/>
              <w:bottom w:val="single" w:color="auto" w:sz="6" w:space="0"/>
              <w:right w:val="single" w:color="auto" w:sz="12" w:space="0"/>
            </w:tcBorders>
            <w:vAlign w:val="center"/>
          </w:tcPr>
          <w:p w14:paraId="54431BC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试验</w:t>
            </w:r>
            <w:r>
              <w:rPr>
                <w:rFonts w:hint="eastAsia" w:ascii="宋体" w:hAnsi="宋体" w:cs="宋体"/>
                <w:color w:val="000000" w:themeColor="text1"/>
                <w:szCs w:val="21"/>
                <w:highlight w:val="none"/>
                <w14:textFill>
                  <w14:solidFill>
                    <w14:schemeClr w14:val="tx1"/>
                  </w14:solidFill>
                </w14:textFill>
              </w:rPr>
              <w:t>人：/</w:t>
            </w:r>
          </w:p>
          <w:p w14:paraId="1781C46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pacing w:val="-1"/>
                <w:szCs w:val="21"/>
                <w:highlight w:val="none"/>
                <w14:textFill>
                  <w14:solidFill>
                    <w14:schemeClr w14:val="tx1"/>
                  </w14:solidFill>
                </w14:textFill>
              </w:rPr>
              <w:t>邮政</w:t>
            </w:r>
            <w:r>
              <w:rPr>
                <w:rFonts w:hint="eastAsia" w:ascii="宋体" w:hAnsi="宋体" w:cs="宋体"/>
                <w:color w:val="000000" w:themeColor="text1"/>
                <w:szCs w:val="21"/>
                <w:highlight w:val="none"/>
                <w14:textFill>
                  <w14:solidFill>
                    <w14:schemeClr w14:val="tx1"/>
                  </w14:solidFill>
                </w14:textFill>
              </w:rPr>
              <w:t>编码：/</w:t>
            </w:r>
          </w:p>
        </w:tc>
      </w:tr>
      <w:tr w14:paraId="6AB29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79BE58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1262" w:type="dxa"/>
            <w:tcBorders>
              <w:top w:val="single" w:color="auto" w:sz="6" w:space="0"/>
              <w:left w:val="single" w:color="auto" w:sz="6" w:space="0"/>
              <w:bottom w:val="single" w:color="auto" w:sz="6" w:space="0"/>
              <w:right w:val="single" w:color="auto" w:sz="6" w:space="0"/>
            </w:tcBorders>
            <w:vAlign w:val="center"/>
          </w:tcPr>
          <w:p w14:paraId="75D5442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1.1.4.5</w:t>
            </w:r>
          </w:p>
        </w:tc>
        <w:tc>
          <w:tcPr>
            <w:tcW w:w="7426" w:type="dxa"/>
            <w:tcBorders>
              <w:top w:val="single" w:color="auto" w:sz="6" w:space="0"/>
              <w:left w:val="single" w:color="auto" w:sz="6" w:space="0"/>
              <w:bottom w:val="single" w:color="auto" w:sz="6" w:space="0"/>
              <w:right w:val="single" w:color="auto" w:sz="12" w:space="0"/>
            </w:tcBorders>
            <w:vAlign w:val="center"/>
          </w:tcPr>
          <w:p w14:paraId="34D8F2E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缺陷责任期：自实际交工日期起计算</w:t>
            </w:r>
            <w:r>
              <w:rPr>
                <w:rFonts w:hint="eastAsia" w:ascii="宋体" w:hAnsi="宋体" w:cs="宋体"/>
                <w:color w:val="000000" w:themeColor="text1"/>
                <w:szCs w:val="21"/>
                <w:highlight w:val="none"/>
                <w:u w:val="single"/>
                <w14:textFill>
                  <w14:solidFill>
                    <w14:schemeClr w14:val="tx1"/>
                  </w14:solidFill>
                </w14:textFill>
              </w:rPr>
              <w:t xml:space="preserve"> 1 </w:t>
            </w:r>
            <w:r>
              <w:rPr>
                <w:rFonts w:hint="eastAsia" w:ascii="宋体" w:hAnsi="宋体" w:cs="宋体"/>
                <w:color w:val="000000" w:themeColor="text1"/>
                <w:szCs w:val="21"/>
                <w:highlight w:val="none"/>
                <w14:textFill>
                  <w14:solidFill>
                    <w14:schemeClr w14:val="tx1"/>
                  </w14:solidFill>
                </w14:textFill>
              </w:rPr>
              <w:t>年，其中绿化工程自实际交工日期起计算</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个月。</w:t>
            </w:r>
          </w:p>
        </w:tc>
      </w:tr>
      <w:tr w14:paraId="2823BD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92E761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1262" w:type="dxa"/>
            <w:tcBorders>
              <w:top w:val="single" w:color="auto" w:sz="6" w:space="0"/>
              <w:left w:val="single" w:color="auto" w:sz="6" w:space="0"/>
              <w:bottom w:val="single" w:color="auto" w:sz="6" w:space="0"/>
              <w:right w:val="single" w:color="auto" w:sz="6" w:space="0"/>
            </w:tcBorders>
            <w:vAlign w:val="center"/>
          </w:tcPr>
          <w:p w14:paraId="6F464EB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w:t>
            </w:r>
          </w:p>
        </w:tc>
        <w:tc>
          <w:tcPr>
            <w:tcW w:w="7426" w:type="dxa"/>
            <w:tcBorders>
              <w:top w:val="single" w:color="auto" w:sz="6" w:space="0"/>
              <w:left w:val="single" w:color="auto" w:sz="6" w:space="0"/>
              <w:bottom w:val="single" w:color="auto" w:sz="6" w:space="0"/>
              <w:right w:val="single" w:color="auto" w:sz="12" w:space="0"/>
            </w:tcBorders>
            <w:vAlign w:val="center"/>
          </w:tcPr>
          <w:p w14:paraId="366904E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图纸需要修改和补充的，应由监理人取得发包人同意后，在该项工程或工程相应部位施工前</w:t>
            </w:r>
            <w:r>
              <w:rPr>
                <w:rFonts w:hint="eastAsia" w:ascii="宋体" w:hAnsi="宋体" w:cs="宋体"/>
                <w:color w:val="000000" w:themeColor="text1"/>
                <w:szCs w:val="21"/>
                <w:highlight w:val="none"/>
                <w:u w:val="single"/>
                <w14:textFill>
                  <w14:solidFill>
                    <w14:schemeClr w14:val="tx1"/>
                  </w14:solidFill>
                </w14:textFill>
              </w:rPr>
              <w:t xml:space="preserve"> 10 </w:t>
            </w:r>
            <w:r>
              <w:rPr>
                <w:rFonts w:hint="eastAsia" w:ascii="宋体" w:hAnsi="宋体" w:cs="宋体"/>
                <w:color w:val="000000" w:themeColor="text1"/>
                <w:szCs w:val="21"/>
                <w:highlight w:val="none"/>
                <w14:textFill>
                  <w14:solidFill>
                    <w14:schemeClr w14:val="tx1"/>
                  </w14:solidFill>
                </w14:textFill>
              </w:rPr>
              <w:t>天签发图纸修改图给承包人</w:t>
            </w:r>
          </w:p>
        </w:tc>
      </w:tr>
      <w:tr w14:paraId="61805C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1D9A5C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1262" w:type="dxa"/>
            <w:tcBorders>
              <w:top w:val="single" w:color="auto" w:sz="6" w:space="0"/>
              <w:left w:val="single" w:color="auto" w:sz="6" w:space="0"/>
              <w:bottom w:val="single" w:color="auto" w:sz="6" w:space="0"/>
              <w:right w:val="single" w:color="auto" w:sz="6" w:space="0"/>
            </w:tcBorders>
            <w:vAlign w:val="center"/>
          </w:tcPr>
          <w:p w14:paraId="4C51303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3.1.1</w:t>
            </w:r>
          </w:p>
        </w:tc>
        <w:tc>
          <w:tcPr>
            <w:tcW w:w="7426" w:type="dxa"/>
            <w:tcBorders>
              <w:top w:val="single" w:color="auto" w:sz="6" w:space="0"/>
              <w:left w:val="single" w:color="auto" w:sz="6" w:space="0"/>
              <w:bottom w:val="single" w:color="auto" w:sz="6" w:space="0"/>
              <w:right w:val="single" w:color="auto" w:sz="12" w:space="0"/>
            </w:tcBorders>
            <w:vAlign w:val="center"/>
          </w:tcPr>
          <w:p w14:paraId="00A79F9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监理人在行使下列权力前需要经发包人事先批准：</w:t>
            </w:r>
          </w:p>
          <w:p w14:paraId="73EAE8B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（6）根据第15.3款发出的变更指示，均需要经发包人事先批准</w:t>
            </w:r>
          </w:p>
        </w:tc>
      </w:tr>
      <w:tr w14:paraId="21D7D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C5557A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tc>
        <w:tc>
          <w:tcPr>
            <w:tcW w:w="1262" w:type="dxa"/>
            <w:tcBorders>
              <w:top w:val="single" w:color="auto" w:sz="6" w:space="0"/>
              <w:left w:val="single" w:color="auto" w:sz="6" w:space="0"/>
              <w:bottom w:val="single" w:color="auto" w:sz="6" w:space="0"/>
              <w:right w:val="single" w:color="auto" w:sz="6" w:space="0"/>
            </w:tcBorders>
            <w:vAlign w:val="center"/>
          </w:tcPr>
          <w:p w14:paraId="4BCD803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4.6.3(1)</w:t>
            </w:r>
          </w:p>
        </w:tc>
        <w:tc>
          <w:tcPr>
            <w:tcW w:w="7426" w:type="dxa"/>
            <w:tcBorders>
              <w:top w:val="single" w:color="auto" w:sz="6" w:space="0"/>
              <w:left w:val="single" w:color="auto" w:sz="6" w:space="0"/>
              <w:bottom w:val="single" w:color="auto" w:sz="6" w:space="0"/>
              <w:right w:val="single" w:color="auto" w:sz="12" w:space="0"/>
            </w:tcBorders>
          </w:tcPr>
          <w:p w14:paraId="5A49DC6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需缴纳违约金金额：项目经理0.6万元/人次，总工程师0.5万元/人次，其他主要管理人员0.3万元/人次。</w:t>
            </w:r>
          </w:p>
        </w:tc>
      </w:tr>
      <w:tr w14:paraId="63A51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AED3CA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1262" w:type="dxa"/>
            <w:tcBorders>
              <w:top w:val="single" w:color="auto" w:sz="6" w:space="0"/>
              <w:left w:val="single" w:color="auto" w:sz="6" w:space="0"/>
              <w:bottom w:val="single" w:color="auto" w:sz="6" w:space="0"/>
              <w:right w:val="single" w:color="auto" w:sz="6" w:space="0"/>
            </w:tcBorders>
            <w:vAlign w:val="center"/>
          </w:tcPr>
          <w:p w14:paraId="3F19437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5.2.1</w:t>
            </w:r>
          </w:p>
        </w:tc>
        <w:tc>
          <w:tcPr>
            <w:tcW w:w="7426" w:type="dxa"/>
            <w:tcBorders>
              <w:top w:val="single" w:color="auto" w:sz="6" w:space="0"/>
              <w:left w:val="single" w:color="auto" w:sz="6" w:space="0"/>
              <w:bottom w:val="single" w:color="auto" w:sz="6" w:space="0"/>
              <w:right w:val="single" w:color="auto" w:sz="12" w:space="0"/>
            </w:tcBorders>
            <w:vAlign w:val="center"/>
          </w:tcPr>
          <w:p w14:paraId="355A6619">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发包人是否提供材料或工程设备：</w:t>
            </w:r>
            <w:r>
              <w:rPr>
                <w:rFonts w:hint="eastAsia" w:ascii="宋体" w:hAnsi="宋体" w:cs="宋体"/>
                <w:color w:val="000000" w:themeColor="text1"/>
                <w:szCs w:val="21"/>
                <w:highlight w:val="none"/>
                <w:u w:val="single"/>
                <w14:textFill>
                  <w14:solidFill>
                    <w14:schemeClr w14:val="tx1"/>
                  </w14:solidFill>
                </w14:textFill>
              </w:rPr>
              <w:t>否</w:t>
            </w:r>
          </w:p>
          <w:p w14:paraId="0B9F4D9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如发包人负责提供部分材料或工程设备，相关规定如下：</w:t>
            </w:r>
            <w:r>
              <w:rPr>
                <w:rFonts w:hint="eastAsia" w:ascii="宋体" w:hAnsi="宋体" w:cs="宋体"/>
                <w:color w:val="000000" w:themeColor="text1"/>
                <w:szCs w:val="21"/>
                <w:highlight w:val="none"/>
                <w:u w:val="single"/>
                <w14:textFill>
                  <w14:solidFill>
                    <w14:schemeClr w14:val="tx1"/>
                  </w14:solidFill>
                </w14:textFill>
              </w:rPr>
              <w:t xml:space="preserve">    /       </w:t>
            </w:r>
          </w:p>
        </w:tc>
      </w:tr>
      <w:tr w14:paraId="7DE6B7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E74DE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p>
        </w:tc>
        <w:tc>
          <w:tcPr>
            <w:tcW w:w="1262" w:type="dxa"/>
            <w:tcBorders>
              <w:top w:val="single" w:color="auto" w:sz="6" w:space="0"/>
              <w:left w:val="single" w:color="auto" w:sz="6" w:space="0"/>
              <w:bottom w:val="single" w:color="auto" w:sz="6" w:space="0"/>
              <w:right w:val="single" w:color="auto" w:sz="6" w:space="0"/>
            </w:tcBorders>
            <w:vAlign w:val="center"/>
          </w:tcPr>
          <w:p w14:paraId="073EE7C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7426" w:type="dxa"/>
            <w:tcBorders>
              <w:top w:val="single" w:color="auto" w:sz="6" w:space="0"/>
              <w:left w:val="single" w:color="auto" w:sz="6" w:space="0"/>
              <w:bottom w:val="single" w:color="auto" w:sz="6" w:space="0"/>
              <w:right w:val="single" w:color="auto" w:sz="12" w:space="0"/>
            </w:tcBorders>
            <w:vAlign w:val="center"/>
          </w:tcPr>
          <w:p w14:paraId="6F84CAC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发包人是否提供施工设备和临时设施：</w:t>
            </w:r>
            <w:r>
              <w:rPr>
                <w:rFonts w:hint="eastAsia" w:ascii="宋体" w:hAnsi="宋体" w:cs="宋体"/>
                <w:color w:val="000000" w:themeColor="text1"/>
                <w:szCs w:val="21"/>
                <w:highlight w:val="none"/>
                <w:u w:val="single"/>
                <w14:textFill>
                  <w14:solidFill>
                    <w14:schemeClr w14:val="tx1"/>
                  </w14:solidFill>
                </w14:textFill>
              </w:rPr>
              <w:t>否</w:t>
            </w:r>
          </w:p>
          <w:p w14:paraId="1BEAD06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如发包人负责提供部分施工设备和临时设施，相关规定如下：</w:t>
            </w:r>
            <w:r>
              <w:rPr>
                <w:rFonts w:hint="eastAsia" w:ascii="宋体" w:hAnsi="宋体" w:cs="宋体"/>
                <w:color w:val="000000" w:themeColor="text1"/>
                <w:szCs w:val="21"/>
                <w:highlight w:val="none"/>
                <w:u w:val="single"/>
                <w14:textFill>
                  <w14:solidFill>
                    <w14:schemeClr w14:val="tx1"/>
                  </w14:solidFill>
                </w14:textFill>
              </w:rPr>
              <w:t xml:space="preserve">    /    </w:t>
            </w:r>
          </w:p>
        </w:tc>
      </w:tr>
      <w:tr w14:paraId="706F2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12D9CE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1262" w:type="dxa"/>
            <w:tcBorders>
              <w:top w:val="single" w:color="auto" w:sz="6" w:space="0"/>
              <w:left w:val="single" w:color="auto" w:sz="6" w:space="0"/>
              <w:bottom w:val="single" w:color="auto" w:sz="6" w:space="0"/>
              <w:right w:val="single" w:color="auto" w:sz="6" w:space="0"/>
            </w:tcBorders>
            <w:vAlign w:val="center"/>
          </w:tcPr>
          <w:p w14:paraId="4D9DCB1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8.1.1</w:t>
            </w:r>
          </w:p>
        </w:tc>
        <w:tc>
          <w:tcPr>
            <w:tcW w:w="7426" w:type="dxa"/>
            <w:tcBorders>
              <w:top w:val="single" w:color="auto" w:sz="6" w:space="0"/>
              <w:left w:val="single" w:color="auto" w:sz="6" w:space="0"/>
              <w:bottom w:val="single" w:color="auto" w:sz="6" w:space="0"/>
              <w:right w:val="single" w:color="auto" w:sz="12" w:space="0"/>
            </w:tcBorders>
            <w:vAlign w:val="center"/>
          </w:tcPr>
          <w:p w14:paraId="32FF861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发包人提供测量基准点、基准线和水准点及其书面资料的期限：</w:t>
            </w:r>
            <w:r>
              <w:rPr>
                <w:rFonts w:hint="eastAsia" w:ascii="宋体" w:hAnsi="宋体" w:cs="宋体"/>
                <w:color w:val="000000" w:themeColor="text1"/>
                <w:szCs w:val="21"/>
                <w:highlight w:val="none"/>
                <w:u w:val="single"/>
                <w14:textFill>
                  <w14:solidFill>
                    <w14:schemeClr w14:val="tx1"/>
                  </w14:solidFill>
                </w14:textFill>
              </w:rPr>
              <w:t>在签订施工承包合同后一个月内</w:t>
            </w:r>
          </w:p>
          <w:p w14:paraId="567E633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承包人将施工控制网资料报送监理人审批的期限：</w:t>
            </w:r>
            <w:r>
              <w:rPr>
                <w:rFonts w:hint="eastAsia" w:ascii="宋体" w:hAnsi="宋体" w:cs="宋体"/>
                <w:color w:val="000000" w:themeColor="text1"/>
                <w:szCs w:val="21"/>
                <w:highlight w:val="none"/>
                <w:u w:val="single"/>
                <w14:textFill>
                  <w14:solidFill>
                    <w14:schemeClr w14:val="tx1"/>
                  </w14:solidFill>
                </w14:textFill>
              </w:rPr>
              <w:t>在收到发包人提供的上述资料一个月内</w:t>
            </w:r>
          </w:p>
        </w:tc>
      </w:tr>
      <w:tr w14:paraId="4F0598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B15C63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1262" w:type="dxa"/>
            <w:tcBorders>
              <w:top w:val="single" w:color="auto" w:sz="6" w:space="0"/>
              <w:left w:val="single" w:color="auto" w:sz="6" w:space="0"/>
              <w:bottom w:val="single" w:color="auto" w:sz="6" w:space="0"/>
              <w:right w:val="single" w:color="auto" w:sz="6" w:space="0"/>
            </w:tcBorders>
            <w:vAlign w:val="center"/>
          </w:tcPr>
          <w:p w14:paraId="2095EE5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11.3 (2)</w:t>
            </w:r>
          </w:p>
        </w:tc>
        <w:tc>
          <w:tcPr>
            <w:tcW w:w="7426" w:type="dxa"/>
            <w:tcBorders>
              <w:top w:val="single" w:color="auto" w:sz="6" w:space="0"/>
              <w:left w:val="single" w:color="auto" w:sz="6" w:space="0"/>
              <w:bottom w:val="single" w:color="auto" w:sz="6" w:space="0"/>
              <w:right w:val="single" w:color="auto" w:sz="12" w:space="0"/>
            </w:tcBorders>
            <w:vAlign w:val="center"/>
          </w:tcPr>
          <w:p w14:paraId="2671153A">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如顺延合同工期在</w:t>
            </w:r>
            <w:r>
              <w:rPr>
                <w:rFonts w:hint="eastAsia" w:ascii="宋体" w:hAnsi="宋体" w:cs="宋体"/>
                <w:color w:val="000000" w:themeColor="text1"/>
                <w:szCs w:val="21"/>
                <w:highlight w:val="none"/>
                <w:u w:val="single"/>
                <w14:textFill>
                  <w14:solidFill>
                    <w14:schemeClr w14:val="tx1"/>
                  </w14:solidFill>
                </w14:textFill>
              </w:rPr>
              <w:t xml:space="preserve"> 9 </w:t>
            </w:r>
            <w:r>
              <w:rPr>
                <w:rFonts w:hint="eastAsia" w:ascii="宋体" w:hAnsi="宋体" w:cs="宋体"/>
                <w:color w:val="000000" w:themeColor="text1"/>
                <w:szCs w:val="21"/>
                <w:highlight w:val="none"/>
                <w14:textFill>
                  <w14:solidFill>
                    <w14:schemeClr w14:val="tx1"/>
                  </w14:solidFill>
                </w14:textFill>
              </w:rPr>
              <w:t>个月及以内的，发包人将不予增加费用；</w:t>
            </w:r>
          </w:p>
          <w:p w14:paraId="7D1CE714">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如顺延合同工期在</w:t>
            </w:r>
            <w:r>
              <w:rPr>
                <w:rFonts w:hint="eastAsia" w:ascii="宋体" w:hAnsi="宋体" w:cs="宋体"/>
                <w:color w:val="000000" w:themeColor="text1"/>
                <w:szCs w:val="21"/>
                <w:highlight w:val="none"/>
                <w:u w:val="single"/>
                <w14:textFill>
                  <w14:solidFill>
                    <w14:schemeClr w14:val="tx1"/>
                  </w14:solidFill>
                </w14:textFill>
              </w:rPr>
              <w:t xml:space="preserve"> 9 </w:t>
            </w:r>
            <w:r>
              <w:rPr>
                <w:rFonts w:hint="eastAsia" w:ascii="宋体" w:hAnsi="宋体" w:cs="宋体"/>
                <w:color w:val="000000" w:themeColor="text1"/>
                <w:szCs w:val="21"/>
                <w:highlight w:val="none"/>
                <w14:textFill>
                  <w14:solidFill>
                    <w14:schemeClr w14:val="tx1"/>
                  </w14:solidFill>
                </w14:textFill>
              </w:rPr>
              <w:t>个月以上的，发包人将按如下原则给予补偿：</w:t>
            </w:r>
            <w:r>
              <w:rPr>
                <w:rFonts w:hint="eastAsia" w:ascii="宋体" w:hAnsi="宋体" w:cs="宋体"/>
                <w:color w:val="000000" w:themeColor="text1"/>
                <w:szCs w:val="21"/>
                <w:highlight w:val="none"/>
                <w:u w:val="single"/>
                <w14:textFill>
                  <w14:solidFill>
                    <w14:schemeClr w14:val="tx1"/>
                  </w14:solidFill>
                </w14:textFill>
              </w:rPr>
              <w:t>详见专用合同条款</w:t>
            </w:r>
            <w:r>
              <w:rPr>
                <w:rFonts w:hint="eastAsia" w:ascii="宋体" w:hAnsi="宋体" w:cs="宋体"/>
                <w:color w:val="000000" w:themeColor="text1"/>
                <w:szCs w:val="21"/>
                <w:highlight w:val="none"/>
                <w14:textFill>
                  <w14:solidFill>
                    <w14:schemeClr w14:val="tx1"/>
                  </w14:solidFill>
                </w14:textFill>
              </w:rPr>
              <w:t>。</w:t>
            </w:r>
          </w:p>
        </w:tc>
      </w:tr>
      <w:tr w14:paraId="5DF42B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40FCB2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p>
        </w:tc>
        <w:tc>
          <w:tcPr>
            <w:tcW w:w="1262" w:type="dxa"/>
            <w:tcBorders>
              <w:top w:val="single" w:color="auto" w:sz="6" w:space="0"/>
              <w:left w:val="single" w:color="auto" w:sz="6" w:space="0"/>
              <w:bottom w:val="single" w:color="auto" w:sz="6" w:space="0"/>
              <w:right w:val="single" w:color="auto" w:sz="6" w:space="0"/>
            </w:tcBorders>
            <w:vAlign w:val="center"/>
          </w:tcPr>
          <w:p w14:paraId="1257E34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11.3 (2) 4)</w:t>
            </w:r>
          </w:p>
        </w:tc>
        <w:tc>
          <w:tcPr>
            <w:tcW w:w="7426" w:type="dxa"/>
            <w:tcBorders>
              <w:top w:val="single" w:color="auto" w:sz="6" w:space="0"/>
              <w:left w:val="single" w:color="auto" w:sz="6" w:space="0"/>
              <w:bottom w:val="single" w:color="auto" w:sz="6" w:space="0"/>
              <w:right w:val="single" w:color="auto" w:sz="12" w:space="0"/>
            </w:tcBorders>
            <w:vAlign w:val="center"/>
          </w:tcPr>
          <w:p w14:paraId="652364ED">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仅对超出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9 </w:t>
            </w:r>
            <w:r>
              <w:rPr>
                <w:rFonts w:hint="eastAsia" w:ascii="宋体" w:hAnsi="宋体" w:cs="宋体"/>
                <w:color w:val="000000" w:themeColor="text1"/>
                <w:szCs w:val="21"/>
                <w:highlight w:val="none"/>
                <w14:textFill>
                  <w14:solidFill>
                    <w14:schemeClr w14:val="tx1"/>
                  </w14:solidFill>
                </w14:textFill>
              </w:rPr>
              <w:t>个月以上部分进行补偿。</w:t>
            </w:r>
          </w:p>
        </w:tc>
      </w:tr>
      <w:tr w14:paraId="72438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803616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p>
        </w:tc>
        <w:tc>
          <w:tcPr>
            <w:tcW w:w="1262" w:type="dxa"/>
            <w:tcBorders>
              <w:top w:val="single" w:color="auto" w:sz="6" w:space="0"/>
              <w:left w:val="single" w:color="auto" w:sz="6" w:space="0"/>
              <w:bottom w:val="single" w:color="auto" w:sz="6" w:space="0"/>
              <w:right w:val="single" w:color="auto" w:sz="6" w:space="0"/>
            </w:tcBorders>
            <w:vAlign w:val="center"/>
          </w:tcPr>
          <w:p w14:paraId="1CBDDB8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11.5（3）</w:t>
            </w:r>
          </w:p>
        </w:tc>
        <w:tc>
          <w:tcPr>
            <w:tcW w:w="7426" w:type="dxa"/>
            <w:tcBorders>
              <w:top w:val="single" w:color="auto" w:sz="6" w:space="0"/>
              <w:left w:val="single" w:color="auto" w:sz="6" w:space="0"/>
              <w:bottom w:val="single" w:color="auto" w:sz="6" w:space="0"/>
              <w:right w:val="single" w:color="auto" w:sz="12" w:space="0"/>
            </w:tcBorders>
            <w:vAlign w:val="center"/>
          </w:tcPr>
          <w:p w14:paraId="0DF60C1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逾期交工违约金：</w:t>
            </w:r>
            <w:r>
              <w:rPr>
                <w:rFonts w:hint="eastAsia" w:ascii="宋体" w:hAnsi="宋体" w:cs="宋体"/>
                <w:color w:val="000000" w:themeColor="text1"/>
                <w:szCs w:val="21"/>
                <w:highlight w:val="none"/>
                <w:u w:val="single"/>
                <w14:textFill>
                  <w14:solidFill>
                    <w14:schemeClr w14:val="tx1"/>
                  </w14:solidFill>
                </w14:textFill>
              </w:rPr>
              <w:t>1000元/天</w:t>
            </w:r>
          </w:p>
        </w:tc>
      </w:tr>
      <w:tr w14:paraId="2569CE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C11F2D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p>
        </w:tc>
        <w:tc>
          <w:tcPr>
            <w:tcW w:w="1262" w:type="dxa"/>
            <w:tcBorders>
              <w:top w:val="single" w:color="auto" w:sz="6" w:space="0"/>
              <w:left w:val="single" w:color="auto" w:sz="6" w:space="0"/>
              <w:bottom w:val="single" w:color="auto" w:sz="6" w:space="0"/>
              <w:right w:val="single" w:color="auto" w:sz="6" w:space="0"/>
            </w:tcBorders>
            <w:vAlign w:val="center"/>
          </w:tcPr>
          <w:p w14:paraId="1AE03EC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11.5（3）</w:t>
            </w:r>
          </w:p>
        </w:tc>
        <w:tc>
          <w:tcPr>
            <w:tcW w:w="7426" w:type="dxa"/>
            <w:tcBorders>
              <w:top w:val="single" w:color="auto" w:sz="6" w:space="0"/>
              <w:left w:val="single" w:color="auto" w:sz="6" w:space="0"/>
              <w:bottom w:val="single" w:color="auto" w:sz="6" w:space="0"/>
              <w:right w:val="single" w:color="auto" w:sz="12" w:space="0"/>
            </w:tcBorders>
            <w:vAlign w:val="center"/>
          </w:tcPr>
          <w:p w14:paraId="1F8D6CF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逾期交工违约金限额：</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%签约合同价</w:t>
            </w:r>
          </w:p>
        </w:tc>
      </w:tr>
      <w:tr w14:paraId="18CAF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CDCE74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262" w:type="dxa"/>
            <w:tcBorders>
              <w:top w:val="single" w:color="auto" w:sz="6" w:space="0"/>
              <w:left w:val="single" w:color="auto" w:sz="6" w:space="0"/>
              <w:bottom w:val="single" w:color="auto" w:sz="6" w:space="0"/>
              <w:right w:val="single" w:color="auto" w:sz="6" w:space="0"/>
            </w:tcBorders>
            <w:vAlign w:val="center"/>
          </w:tcPr>
          <w:p w14:paraId="3DD786A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11.6</w:t>
            </w:r>
          </w:p>
        </w:tc>
        <w:tc>
          <w:tcPr>
            <w:tcW w:w="7426" w:type="dxa"/>
            <w:tcBorders>
              <w:top w:val="single" w:color="auto" w:sz="6" w:space="0"/>
              <w:left w:val="single" w:color="auto" w:sz="6" w:space="0"/>
              <w:bottom w:val="single" w:color="auto" w:sz="6" w:space="0"/>
              <w:right w:val="single" w:color="auto" w:sz="12" w:space="0"/>
            </w:tcBorders>
            <w:vAlign w:val="center"/>
          </w:tcPr>
          <w:p w14:paraId="6267EBA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提前交工的奖金：</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元/天</w:t>
            </w:r>
          </w:p>
        </w:tc>
      </w:tr>
      <w:tr w14:paraId="4BE32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702CDC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p>
        </w:tc>
        <w:tc>
          <w:tcPr>
            <w:tcW w:w="1262" w:type="dxa"/>
            <w:tcBorders>
              <w:top w:val="single" w:color="auto" w:sz="6" w:space="0"/>
              <w:left w:val="single" w:color="auto" w:sz="6" w:space="0"/>
              <w:bottom w:val="single" w:color="auto" w:sz="6" w:space="0"/>
              <w:right w:val="single" w:color="auto" w:sz="6" w:space="0"/>
            </w:tcBorders>
            <w:vAlign w:val="center"/>
          </w:tcPr>
          <w:p w14:paraId="177F48F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11.6</w:t>
            </w:r>
          </w:p>
        </w:tc>
        <w:tc>
          <w:tcPr>
            <w:tcW w:w="7426" w:type="dxa"/>
            <w:tcBorders>
              <w:top w:val="single" w:color="auto" w:sz="6" w:space="0"/>
              <w:left w:val="single" w:color="auto" w:sz="6" w:space="0"/>
              <w:bottom w:val="single" w:color="auto" w:sz="6" w:space="0"/>
              <w:right w:val="single" w:color="auto" w:sz="12" w:space="0"/>
            </w:tcBorders>
            <w:vAlign w:val="center"/>
          </w:tcPr>
          <w:p w14:paraId="4EC6003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提前交工的奖金限额：</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%签约合同价</w:t>
            </w:r>
          </w:p>
        </w:tc>
      </w:tr>
      <w:tr w14:paraId="77B8AD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915D67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w:t>
            </w:r>
          </w:p>
        </w:tc>
        <w:tc>
          <w:tcPr>
            <w:tcW w:w="1262" w:type="dxa"/>
            <w:tcBorders>
              <w:top w:val="single" w:color="auto" w:sz="6" w:space="0"/>
              <w:left w:val="single" w:color="auto" w:sz="6" w:space="0"/>
              <w:bottom w:val="single" w:color="auto" w:sz="6" w:space="0"/>
              <w:right w:val="single" w:color="auto" w:sz="6" w:space="0"/>
            </w:tcBorders>
            <w:vAlign w:val="center"/>
          </w:tcPr>
          <w:p w14:paraId="5B835D4D">
            <w:pPr>
              <w:spacing w:line="192"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13.11</w:t>
            </w:r>
          </w:p>
        </w:tc>
        <w:tc>
          <w:tcPr>
            <w:tcW w:w="7426" w:type="dxa"/>
            <w:tcBorders>
              <w:top w:val="single" w:color="auto" w:sz="6" w:space="0"/>
              <w:left w:val="single" w:color="auto" w:sz="6" w:space="0"/>
              <w:bottom w:val="single" w:color="auto" w:sz="6" w:space="0"/>
              <w:right w:val="single" w:color="auto" w:sz="12" w:space="0"/>
            </w:tcBorders>
            <w:vAlign w:val="center"/>
          </w:tcPr>
          <w:p w14:paraId="49E7A0F2">
            <w:pPr>
              <w:spacing w:line="243"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优质优价价款：合同工程量清单第200章~900章合计金额的</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 (含税金)</w:t>
            </w:r>
          </w:p>
        </w:tc>
      </w:tr>
      <w:tr w14:paraId="06EC6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DC3E45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p>
        </w:tc>
        <w:tc>
          <w:tcPr>
            <w:tcW w:w="1262" w:type="dxa"/>
            <w:tcBorders>
              <w:top w:val="single" w:color="auto" w:sz="6" w:space="0"/>
              <w:left w:val="single" w:color="auto" w:sz="6" w:space="0"/>
              <w:bottom w:val="single" w:color="auto" w:sz="6" w:space="0"/>
              <w:right w:val="single" w:color="auto" w:sz="6" w:space="0"/>
            </w:tcBorders>
            <w:vAlign w:val="center"/>
          </w:tcPr>
          <w:p w14:paraId="7D6E820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15.4.4.2</w:t>
            </w:r>
          </w:p>
        </w:tc>
        <w:tc>
          <w:tcPr>
            <w:tcW w:w="7426" w:type="dxa"/>
            <w:tcBorders>
              <w:top w:val="single" w:color="auto" w:sz="6" w:space="0"/>
              <w:left w:val="single" w:color="auto" w:sz="6" w:space="0"/>
              <w:bottom w:val="single" w:color="auto" w:sz="6" w:space="0"/>
              <w:right w:val="single" w:color="auto" w:sz="12" w:space="0"/>
            </w:tcBorders>
          </w:tcPr>
          <w:p w14:paraId="105A288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应急抢险工程变更金额确定原则：</w:t>
            </w:r>
          </w:p>
          <w:p w14:paraId="75B424E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□变更金额=审批的变更预算</w:t>
            </w:r>
          </w:p>
          <w:p w14:paraId="7530F5B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sym w:font="Wingdings 2" w:char="0052"/>
            </w:r>
            <w:r>
              <w:rPr>
                <w:rFonts w:hint="eastAsia" w:ascii="宋体" w:hAnsi="宋体" w:cs="宋体"/>
                <w:color w:val="000000" w:themeColor="text1"/>
                <w:szCs w:val="21"/>
                <w:highlight w:val="none"/>
                <w14:textFill>
                  <w14:solidFill>
                    <w14:schemeClr w14:val="tx1"/>
                  </w14:solidFill>
                </w14:textFill>
              </w:rPr>
              <w:t>变更金额=审批的变更预算× (1-中标下浮率)</w:t>
            </w:r>
          </w:p>
        </w:tc>
      </w:tr>
      <w:tr w14:paraId="24DBE2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2A94D6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w:t>
            </w:r>
          </w:p>
        </w:tc>
        <w:tc>
          <w:tcPr>
            <w:tcW w:w="1262" w:type="dxa"/>
            <w:tcBorders>
              <w:top w:val="single" w:color="auto" w:sz="6" w:space="0"/>
              <w:left w:val="single" w:color="auto" w:sz="6" w:space="0"/>
              <w:bottom w:val="single" w:color="auto" w:sz="6" w:space="0"/>
              <w:right w:val="single" w:color="auto" w:sz="6" w:space="0"/>
            </w:tcBorders>
            <w:vAlign w:val="center"/>
          </w:tcPr>
          <w:p w14:paraId="7AA8450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15.5.2</w:t>
            </w:r>
          </w:p>
        </w:tc>
        <w:tc>
          <w:tcPr>
            <w:tcW w:w="7426" w:type="dxa"/>
            <w:tcBorders>
              <w:top w:val="single" w:color="auto" w:sz="6" w:space="0"/>
              <w:left w:val="single" w:color="auto" w:sz="6" w:space="0"/>
              <w:bottom w:val="single" w:color="auto" w:sz="6" w:space="0"/>
              <w:right w:val="single" w:color="auto" w:sz="12" w:space="0"/>
            </w:tcBorders>
            <w:vAlign w:val="center"/>
          </w:tcPr>
          <w:p w14:paraId="4F26DDC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承包人提出的合理化建议降低了合同价格或者提高了工程经济效益的，发包人按所节约成本的</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%或增加收益的</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%给予奖励</w:t>
            </w:r>
          </w:p>
        </w:tc>
      </w:tr>
      <w:tr w14:paraId="643C5A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690D25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p>
        </w:tc>
        <w:tc>
          <w:tcPr>
            <w:tcW w:w="1262" w:type="dxa"/>
            <w:tcBorders>
              <w:top w:val="single" w:color="auto" w:sz="6" w:space="0"/>
              <w:left w:val="single" w:color="auto" w:sz="6" w:space="0"/>
              <w:bottom w:val="single" w:color="auto" w:sz="6" w:space="0"/>
              <w:right w:val="single" w:color="auto" w:sz="6" w:space="0"/>
            </w:tcBorders>
            <w:vAlign w:val="center"/>
          </w:tcPr>
          <w:p w14:paraId="47BC740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w:t>
            </w:r>
          </w:p>
        </w:tc>
        <w:tc>
          <w:tcPr>
            <w:tcW w:w="7426" w:type="dxa"/>
            <w:tcBorders>
              <w:top w:val="single" w:color="auto" w:sz="6" w:space="0"/>
              <w:left w:val="single" w:color="auto" w:sz="6" w:space="0"/>
              <w:bottom w:val="single" w:color="auto" w:sz="6" w:space="0"/>
              <w:right w:val="single" w:color="auto" w:sz="12" w:space="0"/>
            </w:tcBorders>
            <w:vAlign w:val="center"/>
          </w:tcPr>
          <w:p w14:paraId="4375F93B">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sym w:font="Wingdings 2" w:char="00A3"/>
            </w:r>
            <w:r>
              <w:rPr>
                <w:rFonts w:hint="eastAsia" w:ascii="宋体" w:hAnsi="宋体" w:cs="宋体"/>
                <w:color w:val="000000" w:themeColor="text1"/>
                <w:szCs w:val="21"/>
                <w:highlight w:val="none"/>
                <w14:textFill>
                  <w14:solidFill>
                    <w14:schemeClr w14:val="tx1"/>
                  </w14:solidFill>
                </w14:textFill>
              </w:rPr>
              <w:t>因物价波动引起的价格调整按照</w:t>
            </w:r>
            <w:r>
              <w:rPr>
                <w:rFonts w:hint="eastAsia" w:ascii="宋体" w:hAnsi="宋体" w:cs="宋体"/>
                <w:color w:val="000000" w:themeColor="text1"/>
                <w:szCs w:val="21"/>
                <w:highlight w:val="none"/>
                <w:u w:val="single"/>
                <w14:textFill>
                  <w14:solidFill>
                    <w14:schemeClr w14:val="tx1"/>
                  </w14:solidFill>
                </w14:textFill>
              </w:rPr>
              <w:t>第16.1.1</w:t>
            </w:r>
            <w:r>
              <w:rPr>
                <w:rFonts w:hint="eastAsia" w:ascii="宋体" w:hAnsi="宋体" w:cs="宋体"/>
                <w:color w:val="000000" w:themeColor="text1"/>
                <w:szCs w:val="21"/>
                <w:highlight w:val="none"/>
                <w14:textFill>
                  <w14:solidFill>
                    <w14:schemeClr w14:val="tx1"/>
                  </w14:solidFill>
                </w14:textFill>
              </w:rPr>
              <w:t>项约定的原则处理</w:t>
            </w:r>
          </w:p>
          <w:p w14:paraId="1C1EFAF0">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合同期内不调价</w:t>
            </w:r>
          </w:p>
        </w:tc>
      </w:tr>
      <w:tr w14:paraId="4084E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C680B1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p>
        </w:tc>
        <w:tc>
          <w:tcPr>
            <w:tcW w:w="1262" w:type="dxa"/>
            <w:tcBorders>
              <w:top w:val="single" w:color="auto" w:sz="6" w:space="0"/>
              <w:left w:val="single" w:color="auto" w:sz="6" w:space="0"/>
              <w:bottom w:val="single" w:color="auto" w:sz="6" w:space="0"/>
              <w:right w:val="single" w:color="auto" w:sz="6" w:space="0"/>
            </w:tcBorders>
            <w:vAlign w:val="center"/>
          </w:tcPr>
          <w:p w14:paraId="1220C78D">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17.1.7</w:t>
            </w:r>
          </w:p>
        </w:tc>
        <w:tc>
          <w:tcPr>
            <w:tcW w:w="7426" w:type="dxa"/>
            <w:tcBorders>
              <w:top w:val="single" w:color="auto" w:sz="6" w:space="0"/>
              <w:left w:val="single" w:color="auto" w:sz="6" w:space="0"/>
              <w:bottom w:val="single" w:color="auto" w:sz="6" w:space="0"/>
              <w:right w:val="single" w:color="auto" w:sz="12" w:space="0"/>
            </w:tcBorders>
          </w:tcPr>
          <w:p w14:paraId="1B01DF53">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路面备料款的暂定计量和支付：</w:t>
            </w:r>
          </w:p>
          <w:p w14:paraId="506BB507">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计量数量： 以承包人实际进场并经监理人和发包人代表验收确认数量的</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%计。</w:t>
            </w:r>
          </w:p>
        </w:tc>
      </w:tr>
      <w:tr w14:paraId="7E0838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35DFB9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w:t>
            </w:r>
          </w:p>
        </w:tc>
        <w:tc>
          <w:tcPr>
            <w:tcW w:w="1262" w:type="dxa"/>
            <w:tcBorders>
              <w:top w:val="single" w:color="auto" w:sz="6" w:space="0"/>
              <w:left w:val="single" w:color="auto" w:sz="6" w:space="0"/>
              <w:bottom w:val="single" w:color="auto" w:sz="6" w:space="0"/>
              <w:right w:val="single" w:color="auto" w:sz="6" w:space="0"/>
            </w:tcBorders>
            <w:vAlign w:val="center"/>
          </w:tcPr>
          <w:p w14:paraId="76BD322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17.2.1（1）</w:t>
            </w:r>
          </w:p>
        </w:tc>
        <w:tc>
          <w:tcPr>
            <w:tcW w:w="7426" w:type="dxa"/>
            <w:tcBorders>
              <w:top w:val="single" w:color="auto" w:sz="6" w:space="0"/>
              <w:left w:val="single" w:color="auto" w:sz="6" w:space="0"/>
              <w:bottom w:val="single" w:color="auto" w:sz="6" w:space="0"/>
              <w:right w:val="single" w:color="auto" w:sz="12" w:space="0"/>
            </w:tcBorders>
            <w:vAlign w:val="center"/>
          </w:tcPr>
          <w:p w14:paraId="4FEA235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开工预付款金额：</w:t>
            </w:r>
            <w:r>
              <w:rPr>
                <w:rFonts w:hint="eastAsia" w:ascii="宋体" w:hAnsi="宋体" w:cs="宋体"/>
                <w:color w:val="000000" w:themeColor="text1"/>
                <w:szCs w:val="21"/>
                <w:highlight w:val="none"/>
                <w:u w:val="single"/>
                <w14:textFill>
                  <w14:solidFill>
                    <w14:schemeClr w14:val="tx1"/>
                  </w14:solidFill>
                </w14:textFill>
              </w:rPr>
              <w:t xml:space="preserve"> 10 </w:t>
            </w:r>
            <w:r>
              <w:rPr>
                <w:rFonts w:hint="eastAsia" w:ascii="宋体" w:hAnsi="宋体" w:cs="宋体"/>
                <w:color w:val="000000" w:themeColor="text1"/>
                <w:szCs w:val="21"/>
                <w:highlight w:val="none"/>
                <w14:textFill>
                  <w14:solidFill>
                    <w14:schemeClr w14:val="tx1"/>
                  </w14:solidFill>
                </w14:textFill>
              </w:rPr>
              <w:t>%签约合同价。</w:t>
            </w:r>
          </w:p>
        </w:tc>
      </w:tr>
      <w:tr w14:paraId="658F95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060BB8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w:t>
            </w:r>
          </w:p>
        </w:tc>
        <w:tc>
          <w:tcPr>
            <w:tcW w:w="1262" w:type="dxa"/>
            <w:tcBorders>
              <w:top w:val="single" w:color="auto" w:sz="6" w:space="0"/>
              <w:left w:val="single" w:color="auto" w:sz="6" w:space="0"/>
              <w:bottom w:val="single" w:color="auto" w:sz="6" w:space="0"/>
              <w:right w:val="single" w:color="auto" w:sz="6" w:space="0"/>
            </w:tcBorders>
            <w:vAlign w:val="center"/>
          </w:tcPr>
          <w:p w14:paraId="7E44104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17.2.1（2）</w:t>
            </w:r>
          </w:p>
        </w:tc>
        <w:tc>
          <w:tcPr>
            <w:tcW w:w="7426" w:type="dxa"/>
            <w:tcBorders>
              <w:top w:val="single" w:color="auto" w:sz="6" w:space="0"/>
              <w:left w:val="single" w:color="auto" w:sz="6" w:space="0"/>
              <w:bottom w:val="single" w:color="auto" w:sz="6" w:space="0"/>
              <w:right w:val="single" w:color="auto" w:sz="12" w:space="0"/>
            </w:tcBorders>
            <w:vAlign w:val="center"/>
          </w:tcPr>
          <w:p w14:paraId="4D61609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材料、设备预付款比例：</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等主要材料、设备单据所列费用的</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tc>
      </w:tr>
      <w:tr w14:paraId="330F50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B235F9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w:t>
            </w:r>
          </w:p>
        </w:tc>
        <w:tc>
          <w:tcPr>
            <w:tcW w:w="1262" w:type="dxa"/>
            <w:tcBorders>
              <w:top w:val="single" w:color="auto" w:sz="6" w:space="0"/>
              <w:left w:val="single" w:color="auto" w:sz="6" w:space="0"/>
              <w:bottom w:val="single" w:color="auto" w:sz="6" w:space="0"/>
              <w:right w:val="single" w:color="auto" w:sz="6" w:space="0"/>
            </w:tcBorders>
            <w:vAlign w:val="center"/>
          </w:tcPr>
          <w:p w14:paraId="150D859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17.3.2</w:t>
            </w:r>
          </w:p>
        </w:tc>
        <w:tc>
          <w:tcPr>
            <w:tcW w:w="7426" w:type="dxa"/>
            <w:tcBorders>
              <w:top w:val="single" w:color="auto" w:sz="6" w:space="0"/>
              <w:left w:val="single" w:color="auto" w:sz="6" w:space="0"/>
              <w:bottom w:val="single" w:color="auto" w:sz="6" w:space="0"/>
              <w:right w:val="single" w:color="auto" w:sz="12" w:space="0"/>
            </w:tcBorders>
            <w:vAlign w:val="center"/>
          </w:tcPr>
          <w:p w14:paraId="54CCEAC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承包人在每个付款周期末向监理人提交进度付款申请单的份数：</w:t>
            </w:r>
            <w:r>
              <w:rPr>
                <w:rFonts w:hint="eastAsia" w:ascii="宋体" w:hAnsi="宋体" w:cs="宋体"/>
                <w:color w:val="000000" w:themeColor="text1"/>
                <w:szCs w:val="21"/>
                <w:highlight w:val="none"/>
                <w:u w:val="single"/>
                <w14:textFill>
                  <w14:solidFill>
                    <w14:schemeClr w14:val="tx1"/>
                  </w14:solidFill>
                </w14:textFill>
              </w:rPr>
              <w:t xml:space="preserve">  6  </w:t>
            </w:r>
            <w:r>
              <w:rPr>
                <w:rFonts w:hint="eastAsia" w:ascii="宋体" w:hAnsi="宋体" w:cs="宋体"/>
                <w:color w:val="000000" w:themeColor="text1"/>
                <w:szCs w:val="21"/>
                <w:highlight w:val="none"/>
                <w14:textFill>
                  <w14:solidFill>
                    <w14:schemeClr w14:val="tx1"/>
                  </w14:solidFill>
                </w14:textFill>
              </w:rPr>
              <w:t>份</w:t>
            </w:r>
          </w:p>
        </w:tc>
      </w:tr>
      <w:tr w14:paraId="21A02A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02BA2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w:t>
            </w:r>
          </w:p>
        </w:tc>
        <w:tc>
          <w:tcPr>
            <w:tcW w:w="1262" w:type="dxa"/>
            <w:tcBorders>
              <w:top w:val="single" w:color="auto" w:sz="6" w:space="0"/>
              <w:left w:val="single" w:color="auto" w:sz="6" w:space="0"/>
              <w:bottom w:val="single" w:color="auto" w:sz="6" w:space="0"/>
              <w:right w:val="single" w:color="auto" w:sz="6" w:space="0"/>
            </w:tcBorders>
            <w:vAlign w:val="center"/>
          </w:tcPr>
          <w:p w14:paraId="5651BE9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17.3.3（1）</w:t>
            </w:r>
          </w:p>
        </w:tc>
        <w:tc>
          <w:tcPr>
            <w:tcW w:w="7426" w:type="dxa"/>
            <w:tcBorders>
              <w:top w:val="single" w:color="auto" w:sz="6" w:space="0"/>
              <w:left w:val="single" w:color="auto" w:sz="6" w:space="0"/>
              <w:bottom w:val="single" w:color="auto" w:sz="6" w:space="0"/>
              <w:right w:val="single" w:color="auto" w:sz="12" w:space="0"/>
            </w:tcBorders>
            <w:vAlign w:val="center"/>
          </w:tcPr>
          <w:p w14:paraId="23E9B22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进度付款证书最低限额</w:t>
            </w:r>
            <w:r>
              <w:rPr>
                <w:rFonts w:hint="eastAsia" w:ascii="宋体" w:hAnsi="宋体" w:cs="宋体"/>
                <w:color w:val="000000" w:themeColor="text1"/>
                <w:szCs w:val="21"/>
                <w:highlight w:val="none"/>
                <w:u w:val="single"/>
                <w14:textFill>
                  <w14:solidFill>
                    <w14:schemeClr w14:val="tx1"/>
                  </w14:solidFill>
                </w14:textFill>
              </w:rPr>
              <w:t xml:space="preserve">  50  </w:t>
            </w:r>
            <w:r>
              <w:rPr>
                <w:rFonts w:hint="eastAsia" w:ascii="宋体" w:hAnsi="宋体" w:cs="宋体"/>
                <w:color w:val="000000" w:themeColor="text1"/>
                <w:szCs w:val="21"/>
                <w:highlight w:val="none"/>
                <w14:textFill>
                  <w14:solidFill>
                    <w14:schemeClr w14:val="tx1"/>
                  </w14:solidFill>
                </w14:textFill>
              </w:rPr>
              <w:t>万元（承包人申请进度款的最低额度是50万元）</w:t>
            </w:r>
          </w:p>
        </w:tc>
      </w:tr>
      <w:tr w14:paraId="3CA2C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C7023F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w:t>
            </w:r>
          </w:p>
        </w:tc>
        <w:tc>
          <w:tcPr>
            <w:tcW w:w="1262" w:type="dxa"/>
            <w:tcBorders>
              <w:top w:val="single" w:color="auto" w:sz="6" w:space="0"/>
              <w:left w:val="single" w:color="auto" w:sz="6" w:space="0"/>
              <w:bottom w:val="single" w:color="auto" w:sz="6" w:space="0"/>
              <w:right w:val="single" w:color="auto" w:sz="6" w:space="0"/>
            </w:tcBorders>
            <w:vAlign w:val="center"/>
          </w:tcPr>
          <w:p w14:paraId="40DAEAB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17.3.3（2）</w:t>
            </w:r>
          </w:p>
        </w:tc>
        <w:tc>
          <w:tcPr>
            <w:tcW w:w="7426" w:type="dxa"/>
            <w:tcBorders>
              <w:top w:val="single" w:color="auto" w:sz="6" w:space="0"/>
              <w:left w:val="single" w:color="auto" w:sz="6" w:space="0"/>
              <w:bottom w:val="single" w:color="auto" w:sz="6" w:space="0"/>
              <w:right w:val="single" w:color="auto" w:sz="12" w:space="0"/>
            </w:tcBorders>
            <w:vAlign w:val="center"/>
          </w:tcPr>
          <w:p w14:paraId="48AD903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逾期付款违约金的利率：</w:t>
            </w:r>
            <w:r>
              <w:rPr>
                <w:rFonts w:hint="eastAsia" w:ascii="宋体" w:hAnsi="宋体" w:cs="宋体"/>
                <w:color w:val="000000" w:themeColor="text1"/>
                <w:spacing w:val="1"/>
                <w:sz w:val="20"/>
                <w:szCs w:val="20"/>
                <w:highlight w:val="none"/>
                <w:u w:val="single" w:color="010101"/>
                <w14:textFill>
                  <w14:solidFill>
                    <w14:schemeClr w14:val="tx1"/>
                  </w14:solidFill>
                </w14:textFill>
              </w:rPr>
              <w:t xml:space="preserve"> 0 </w:t>
            </w:r>
            <w:r>
              <w:rPr>
                <w:rFonts w:hint="eastAsia" w:ascii="宋体" w:hAnsi="宋体" w:cs="宋体"/>
                <w:color w:val="000000" w:themeColor="text1"/>
                <w:spacing w:val="1"/>
                <w:sz w:val="20"/>
                <w:szCs w:val="20"/>
                <w:highlight w:val="none"/>
                <w14:textFill>
                  <w14:solidFill>
                    <w14:schemeClr w14:val="tx1"/>
                  </w14:solidFill>
                </w14:textFill>
              </w:rPr>
              <w:t>‰</w:t>
            </w:r>
            <w:r>
              <w:rPr>
                <w:rFonts w:hint="eastAsia" w:ascii="宋体" w:hAnsi="宋体" w:cs="宋体"/>
                <w:color w:val="000000" w:themeColor="text1"/>
                <w:sz w:val="20"/>
                <w:szCs w:val="20"/>
                <w:highlight w:val="none"/>
                <w14:textFill>
                  <w14:solidFill>
                    <w14:schemeClr w14:val="tx1"/>
                  </w14:solidFill>
                </w14:textFill>
              </w:rPr>
              <w:t>/天</w:t>
            </w:r>
          </w:p>
        </w:tc>
      </w:tr>
      <w:tr w14:paraId="26E4E6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AC42B8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w:t>
            </w:r>
          </w:p>
        </w:tc>
        <w:tc>
          <w:tcPr>
            <w:tcW w:w="1262" w:type="dxa"/>
            <w:tcBorders>
              <w:top w:val="single" w:color="auto" w:sz="6" w:space="0"/>
              <w:left w:val="single" w:color="auto" w:sz="6" w:space="0"/>
              <w:bottom w:val="single" w:color="auto" w:sz="6" w:space="0"/>
              <w:right w:val="single" w:color="auto" w:sz="6" w:space="0"/>
            </w:tcBorders>
            <w:vAlign w:val="center"/>
          </w:tcPr>
          <w:p w14:paraId="146EB80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17.4.1</w:t>
            </w:r>
          </w:p>
        </w:tc>
        <w:tc>
          <w:tcPr>
            <w:tcW w:w="7426" w:type="dxa"/>
            <w:tcBorders>
              <w:top w:val="single" w:color="auto" w:sz="6" w:space="0"/>
              <w:left w:val="single" w:color="auto" w:sz="6" w:space="0"/>
              <w:bottom w:val="single" w:color="auto" w:sz="6" w:space="0"/>
              <w:right w:val="single" w:color="auto" w:sz="12" w:space="0"/>
            </w:tcBorders>
            <w:vAlign w:val="center"/>
          </w:tcPr>
          <w:p w14:paraId="0558132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质量保证金限额：</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%合同价格，若交工验收时承包人具备被招标项目所在地省级交通运输主管部门评定的最高信用等级，发包人给予</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%合同价格质量保证金的优惠。</w:t>
            </w:r>
          </w:p>
          <w:p w14:paraId="10B6C06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质量保证金是否计付利息：</w:t>
            </w:r>
          </w:p>
          <w:p w14:paraId="5009582C">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是，利息的计算方式：</w:t>
            </w:r>
            <w:r>
              <w:rPr>
                <w:rFonts w:hint="eastAsia" w:ascii="宋体" w:hAnsi="宋体" w:cs="宋体"/>
                <w:color w:val="000000" w:themeColor="text1"/>
                <w:szCs w:val="21"/>
                <w:highlight w:val="none"/>
                <w:u w:val="single"/>
                <w14:textFill>
                  <w14:solidFill>
                    <w14:schemeClr w14:val="tx1"/>
                  </w14:solidFill>
                </w14:textFill>
              </w:rPr>
              <w:t xml:space="preserve">              </w:t>
            </w:r>
          </w:p>
          <w:p w14:paraId="7BB736C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fldChar w:fldCharType="begin"/>
            </w:r>
            <w:r>
              <w:rPr>
                <w:rFonts w:hint="eastAsia" w:ascii="宋体" w:hAnsi="宋体" w:cs="宋体"/>
                <w:color w:val="000000" w:themeColor="text1"/>
                <w:szCs w:val="21"/>
                <w:highlight w:val="none"/>
                <w14:textFill>
                  <w14:solidFill>
                    <w14:schemeClr w14:val="tx1"/>
                  </w14:solidFill>
                </w14:textFill>
              </w:rPr>
              <w:instrText xml:space="preserve"> eq \o\ac(□,</w:instrText>
            </w:r>
            <w:r>
              <w:rPr>
                <w:rFonts w:hint="eastAsia" w:ascii="宋体" w:hAnsi="宋体" w:cs="宋体"/>
                <w:color w:val="000000" w:themeColor="text1"/>
                <w:position w:val="1"/>
                <w:szCs w:val="21"/>
                <w:highlight w:val="none"/>
                <w14:textFill>
                  <w14:solidFill>
                    <w14:schemeClr w14:val="tx1"/>
                  </w14:solidFill>
                </w14:textFill>
              </w:rPr>
              <w:instrText xml:space="preserve">√</w:instrText>
            </w:r>
            <w:r>
              <w:rPr>
                <w:rFonts w:hint="eastAsia" w:ascii="宋体" w:hAnsi="宋体" w:cs="宋体"/>
                <w:color w:val="000000" w:themeColor="text1"/>
                <w:szCs w:val="21"/>
                <w:highlight w:val="none"/>
                <w14:textFill>
                  <w14:solidFill>
                    <w14:schemeClr w14:val="tx1"/>
                  </w14:solidFill>
                </w14:textFill>
              </w:rPr>
              <w:instrText xml:space="preserve">)</w:instrText>
            </w:r>
            <w:r>
              <w:rPr>
                <w:rFonts w:hint="eastAsia"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否</w:t>
            </w:r>
          </w:p>
        </w:tc>
      </w:tr>
      <w:tr w14:paraId="267EC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E50917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w:t>
            </w:r>
          </w:p>
        </w:tc>
        <w:tc>
          <w:tcPr>
            <w:tcW w:w="1262" w:type="dxa"/>
            <w:tcBorders>
              <w:top w:val="single" w:color="auto" w:sz="6" w:space="0"/>
              <w:left w:val="single" w:color="auto" w:sz="6" w:space="0"/>
              <w:bottom w:val="single" w:color="auto" w:sz="6" w:space="0"/>
              <w:right w:val="single" w:color="auto" w:sz="6" w:space="0"/>
            </w:tcBorders>
            <w:vAlign w:val="center"/>
          </w:tcPr>
          <w:p w14:paraId="6A534D5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17.5.1（1）</w:t>
            </w:r>
          </w:p>
        </w:tc>
        <w:tc>
          <w:tcPr>
            <w:tcW w:w="7426" w:type="dxa"/>
            <w:tcBorders>
              <w:top w:val="single" w:color="auto" w:sz="6" w:space="0"/>
              <w:left w:val="single" w:color="auto" w:sz="6" w:space="0"/>
              <w:bottom w:val="single" w:color="auto" w:sz="6" w:space="0"/>
              <w:right w:val="single" w:color="auto" w:sz="12" w:space="0"/>
            </w:tcBorders>
            <w:vAlign w:val="center"/>
          </w:tcPr>
          <w:p w14:paraId="2D36FDC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承包人向监理人提交交工付款申请单（包括相关证明材料）的份数：</w:t>
            </w:r>
            <w:r>
              <w:rPr>
                <w:rFonts w:hint="eastAsia" w:ascii="宋体" w:hAnsi="宋体" w:cs="宋体"/>
                <w:color w:val="000000" w:themeColor="text1"/>
                <w:szCs w:val="21"/>
                <w:highlight w:val="none"/>
                <w:u w:val="single"/>
                <w14:textFill>
                  <w14:solidFill>
                    <w14:schemeClr w14:val="tx1"/>
                  </w14:solidFill>
                </w14:textFill>
              </w:rPr>
              <w:t xml:space="preserve">  6  </w:t>
            </w:r>
            <w:r>
              <w:rPr>
                <w:rFonts w:hint="eastAsia" w:ascii="宋体" w:hAnsi="宋体" w:cs="宋体"/>
                <w:color w:val="000000" w:themeColor="text1"/>
                <w:szCs w:val="21"/>
                <w:highlight w:val="none"/>
                <w14:textFill>
                  <w14:solidFill>
                    <w14:schemeClr w14:val="tx1"/>
                  </w14:solidFill>
                </w14:textFill>
              </w:rPr>
              <w:t>份</w:t>
            </w:r>
          </w:p>
        </w:tc>
      </w:tr>
      <w:tr w14:paraId="593492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9"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B22ED0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p>
        </w:tc>
        <w:tc>
          <w:tcPr>
            <w:tcW w:w="1262" w:type="dxa"/>
            <w:tcBorders>
              <w:top w:val="single" w:color="auto" w:sz="6" w:space="0"/>
              <w:left w:val="single" w:color="auto" w:sz="6" w:space="0"/>
              <w:bottom w:val="single" w:color="auto" w:sz="6" w:space="0"/>
              <w:right w:val="single" w:color="auto" w:sz="6" w:space="0"/>
            </w:tcBorders>
            <w:vAlign w:val="center"/>
          </w:tcPr>
          <w:p w14:paraId="21266C9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17.6.1（1）</w:t>
            </w:r>
          </w:p>
        </w:tc>
        <w:tc>
          <w:tcPr>
            <w:tcW w:w="7426" w:type="dxa"/>
            <w:tcBorders>
              <w:top w:val="single" w:color="auto" w:sz="6" w:space="0"/>
              <w:left w:val="single" w:color="auto" w:sz="6" w:space="0"/>
              <w:bottom w:val="single" w:color="auto" w:sz="6" w:space="0"/>
              <w:right w:val="single" w:color="auto" w:sz="12" w:space="0"/>
            </w:tcBorders>
            <w:vAlign w:val="center"/>
          </w:tcPr>
          <w:p w14:paraId="38ADB5A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承包人向监理人提交最终结清申请单（包括相关证明材料）的份数：</w:t>
            </w:r>
            <w:r>
              <w:rPr>
                <w:rFonts w:hint="eastAsia" w:ascii="宋体" w:hAnsi="宋体" w:cs="宋体"/>
                <w:color w:val="000000" w:themeColor="text1"/>
                <w:szCs w:val="21"/>
                <w:highlight w:val="none"/>
                <w:u w:val="single"/>
                <w14:textFill>
                  <w14:solidFill>
                    <w14:schemeClr w14:val="tx1"/>
                  </w14:solidFill>
                </w14:textFill>
              </w:rPr>
              <w:t xml:space="preserve">  6  </w:t>
            </w:r>
            <w:r>
              <w:rPr>
                <w:rFonts w:hint="eastAsia" w:ascii="宋体" w:hAnsi="宋体" w:cs="宋体"/>
                <w:color w:val="000000" w:themeColor="text1"/>
                <w:szCs w:val="21"/>
                <w:highlight w:val="none"/>
                <w14:textFill>
                  <w14:solidFill>
                    <w14:schemeClr w14:val="tx1"/>
                  </w14:solidFill>
                </w14:textFill>
              </w:rPr>
              <w:t>份</w:t>
            </w:r>
          </w:p>
        </w:tc>
      </w:tr>
      <w:tr w14:paraId="022D63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E38D10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w:t>
            </w:r>
          </w:p>
        </w:tc>
        <w:tc>
          <w:tcPr>
            <w:tcW w:w="1262" w:type="dxa"/>
            <w:tcBorders>
              <w:top w:val="single" w:color="auto" w:sz="6" w:space="0"/>
              <w:left w:val="single" w:color="auto" w:sz="6" w:space="0"/>
              <w:bottom w:val="single" w:color="auto" w:sz="6" w:space="0"/>
              <w:right w:val="single" w:color="auto" w:sz="6" w:space="0"/>
            </w:tcBorders>
            <w:vAlign w:val="center"/>
          </w:tcPr>
          <w:p w14:paraId="3495BD7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w:t>
            </w:r>
          </w:p>
        </w:tc>
        <w:tc>
          <w:tcPr>
            <w:tcW w:w="7426" w:type="dxa"/>
            <w:tcBorders>
              <w:top w:val="single" w:color="auto" w:sz="6" w:space="0"/>
              <w:left w:val="single" w:color="auto" w:sz="6" w:space="0"/>
              <w:bottom w:val="single" w:color="auto" w:sz="6" w:space="0"/>
              <w:right w:val="single" w:color="auto" w:sz="12" w:space="0"/>
            </w:tcBorders>
            <w:vAlign w:val="center"/>
          </w:tcPr>
          <w:p w14:paraId="23673F1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竣工资料的份数：</w:t>
            </w:r>
            <w:r>
              <w:rPr>
                <w:rFonts w:hint="eastAsia" w:ascii="宋体" w:hAnsi="宋体" w:cs="宋体"/>
                <w:color w:val="000000" w:themeColor="text1"/>
                <w:szCs w:val="21"/>
                <w:highlight w:val="none"/>
                <w:u w:val="single"/>
                <w14:textFill>
                  <w14:solidFill>
                    <w14:schemeClr w14:val="tx1"/>
                  </w14:solidFill>
                </w14:textFill>
              </w:rPr>
              <w:t xml:space="preserve">  6  </w:t>
            </w:r>
            <w:r>
              <w:rPr>
                <w:rFonts w:hint="eastAsia" w:ascii="宋体" w:hAnsi="宋体" w:cs="宋体"/>
                <w:color w:val="000000" w:themeColor="text1"/>
                <w:szCs w:val="21"/>
                <w:highlight w:val="none"/>
                <w14:textFill>
                  <w14:solidFill>
                    <w14:schemeClr w14:val="tx1"/>
                  </w14:solidFill>
                </w14:textFill>
              </w:rPr>
              <w:t>份</w:t>
            </w:r>
          </w:p>
        </w:tc>
      </w:tr>
      <w:tr w14:paraId="445451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189052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w:t>
            </w:r>
          </w:p>
        </w:tc>
        <w:tc>
          <w:tcPr>
            <w:tcW w:w="1262" w:type="dxa"/>
            <w:tcBorders>
              <w:top w:val="single" w:color="auto" w:sz="6" w:space="0"/>
              <w:left w:val="single" w:color="auto" w:sz="6" w:space="0"/>
              <w:bottom w:val="single" w:color="auto" w:sz="6" w:space="0"/>
              <w:right w:val="single" w:color="auto" w:sz="6" w:space="0"/>
            </w:tcBorders>
            <w:vAlign w:val="center"/>
          </w:tcPr>
          <w:p w14:paraId="6E3E472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18.5.1</w:t>
            </w:r>
          </w:p>
        </w:tc>
        <w:tc>
          <w:tcPr>
            <w:tcW w:w="7426" w:type="dxa"/>
            <w:tcBorders>
              <w:top w:val="single" w:color="auto" w:sz="6" w:space="0"/>
              <w:left w:val="single" w:color="auto" w:sz="6" w:space="0"/>
              <w:bottom w:val="single" w:color="auto" w:sz="6" w:space="0"/>
              <w:right w:val="single" w:color="auto" w:sz="12" w:space="0"/>
            </w:tcBorders>
            <w:vAlign w:val="center"/>
          </w:tcPr>
          <w:p w14:paraId="5D101462">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单位工程或工程设备是否需投入施工期运行：</w:t>
            </w:r>
            <w:r>
              <w:rPr>
                <w:rFonts w:hint="eastAsia" w:ascii="宋体" w:hAnsi="宋体" w:cs="宋体"/>
                <w:color w:val="000000" w:themeColor="text1"/>
                <w:szCs w:val="21"/>
                <w:highlight w:val="none"/>
                <w:u w:val="single"/>
                <w14:textFill>
                  <w14:solidFill>
                    <w14:schemeClr w14:val="tx1"/>
                  </w14:solidFill>
                </w14:textFill>
              </w:rPr>
              <w:t>否</w:t>
            </w:r>
          </w:p>
          <w:p w14:paraId="16E8619B">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如单位工程或工程设备需要进行施工期运行，需要施工期运行的单位工程或工程设备规定如下：</w:t>
            </w:r>
            <w:r>
              <w:rPr>
                <w:rFonts w:hint="eastAsia" w:ascii="宋体" w:hAnsi="宋体" w:cs="宋体"/>
                <w:color w:val="000000" w:themeColor="text1"/>
                <w:szCs w:val="21"/>
                <w:highlight w:val="none"/>
                <w:u w:val="single"/>
                <w14:textFill>
                  <w14:solidFill>
                    <w14:schemeClr w14:val="tx1"/>
                  </w14:solidFill>
                </w14:textFill>
              </w:rPr>
              <w:t xml:space="preserve"> /    </w:t>
            </w:r>
          </w:p>
        </w:tc>
      </w:tr>
      <w:tr w14:paraId="6DF82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07F322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w:t>
            </w:r>
          </w:p>
        </w:tc>
        <w:tc>
          <w:tcPr>
            <w:tcW w:w="1262" w:type="dxa"/>
            <w:tcBorders>
              <w:top w:val="single" w:color="auto" w:sz="6" w:space="0"/>
              <w:left w:val="single" w:color="auto" w:sz="6" w:space="0"/>
              <w:bottom w:val="single" w:color="auto" w:sz="6" w:space="0"/>
              <w:right w:val="single" w:color="auto" w:sz="6" w:space="0"/>
            </w:tcBorders>
            <w:vAlign w:val="center"/>
          </w:tcPr>
          <w:p w14:paraId="1D5D790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18.6.1</w:t>
            </w:r>
          </w:p>
        </w:tc>
        <w:tc>
          <w:tcPr>
            <w:tcW w:w="7426" w:type="dxa"/>
            <w:tcBorders>
              <w:top w:val="single" w:color="auto" w:sz="6" w:space="0"/>
              <w:left w:val="single" w:color="auto" w:sz="6" w:space="0"/>
              <w:bottom w:val="single" w:color="auto" w:sz="6" w:space="0"/>
              <w:right w:val="single" w:color="auto" w:sz="12" w:space="0"/>
            </w:tcBorders>
            <w:vAlign w:val="center"/>
          </w:tcPr>
          <w:p w14:paraId="641BBED4">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本工程及工程设备是否进行试运行：</w:t>
            </w:r>
            <w:r>
              <w:rPr>
                <w:rFonts w:hint="eastAsia" w:ascii="宋体" w:hAnsi="宋体" w:cs="宋体"/>
                <w:color w:val="000000" w:themeColor="text1"/>
                <w:szCs w:val="21"/>
                <w:highlight w:val="none"/>
                <w:u w:val="single"/>
                <w14:textFill>
                  <w14:solidFill>
                    <w14:schemeClr w14:val="tx1"/>
                  </w14:solidFill>
                </w14:textFill>
              </w:rPr>
              <w:t>否</w:t>
            </w:r>
          </w:p>
          <w:p w14:paraId="2E4E5CA3">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如本工程及工程设备需要进行试运行，试运行的具体规定如下：</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p>
        </w:tc>
      </w:tr>
      <w:tr w14:paraId="580400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0B7056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w:t>
            </w:r>
          </w:p>
        </w:tc>
        <w:tc>
          <w:tcPr>
            <w:tcW w:w="1262" w:type="dxa"/>
            <w:tcBorders>
              <w:top w:val="single" w:color="auto" w:sz="6" w:space="0"/>
              <w:left w:val="single" w:color="auto" w:sz="6" w:space="0"/>
              <w:bottom w:val="single" w:color="auto" w:sz="6" w:space="0"/>
              <w:right w:val="single" w:color="auto" w:sz="6" w:space="0"/>
            </w:tcBorders>
            <w:vAlign w:val="center"/>
          </w:tcPr>
          <w:p w14:paraId="0DB485C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19.7（1）</w:t>
            </w:r>
          </w:p>
        </w:tc>
        <w:tc>
          <w:tcPr>
            <w:tcW w:w="7426" w:type="dxa"/>
            <w:tcBorders>
              <w:top w:val="single" w:color="auto" w:sz="6" w:space="0"/>
              <w:left w:val="single" w:color="auto" w:sz="6" w:space="0"/>
              <w:bottom w:val="single" w:color="auto" w:sz="6" w:space="0"/>
              <w:right w:val="single" w:color="auto" w:sz="12" w:space="0"/>
            </w:tcBorders>
            <w:vAlign w:val="center"/>
          </w:tcPr>
          <w:p w14:paraId="3ADC5EC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保修期：</w:t>
            </w:r>
          </w:p>
          <w:p w14:paraId="70A877C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自本项目实际交工日期之日起计算</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 (绿化工程、房建工程除外)；</w:t>
            </w:r>
          </w:p>
          <w:p w14:paraId="694914B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绿化工程：自本项目实际交工日期之日起计算</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个月后，移交发包人或发包人委托的养护单位进行后续的管理养护工作；</w:t>
            </w:r>
          </w:p>
          <w:p w14:paraId="6614619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房建工程：自该房建工程竣工验收合格之日起计算，其中：</w:t>
            </w:r>
          </w:p>
          <w:p w14:paraId="632D7BE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地基基础工程和主体结构工程，为设计文件规定的该工程的合理使用年限；</w:t>
            </w:r>
          </w:p>
          <w:p w14:paraId="7F3F86B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屋面防水工程、有防水要求的卫生间、房间和外墙面的防渗漏，为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年；</w:t>
            </w:r>
          </w:p>
          <w:p w14:paraId="7CDFF57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装修工程为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年；</w:t>
            </w:r>
          </w:p>
          <w:p w14:paraId="08DDD8D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 电气管线、给排水管道、设备安装工程为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年；</w:t>
            </w:r>
          </w:p>
          <w:p w14:paraId="6BD68C5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 供热与供冷系统，为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个采暖期、供冷期；</w:t>
            </w:r>
          </w:p>
          <w:p w14:paraId="5E60D70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 住宅小区内的给排水设施、道路、电力等配套工程为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年；</w:t>
            </w:r>
          </w:p>
          <w:p w14:paraId="4E7EE96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 其他约定如下：</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tc>
      </w:tr>
      <w:tr w14:paraId="4B3A21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68F452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w:t>
            </w:r>
          </w:p>
        </w:tc>
        <w:tc>
          <w:tcPr>
            <w:tcW w:w="1262" w:type="dxa"/>
            <w:tcBorders>
              <w:top w:val="single" w:color="auto" w:sz="6" w:space="0"/>
              <w:left w:val="single" w:color="auto" w:sz="6" w:space="0"/>
              <w:bottom w:val="single" w:color="auto" w:sz="6" w:space="0"/>
              <w:right w:val="single" w:color="auto" w:sz="6" w:space="0"/>
            </w:tcBorders>
            <w:vAlign w:val="center"/>
          </w:tcPr>
          <w:p w14:paraId="0D9B76F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7426" w:type="dxa"/>
            <w:tcBorders>
              <w:top w:val="single" w:color="auto" w:sz="6" w:space="0"/>
              <w:left w:val="single" w:color="auto" w:sz="6" w:space="0"/>
              <w:bottom w:val="single" w:color="auto" w:sz="6" w:space="0"/>
              <w:right w:val="single" w:color="auto" w:sz="12" w:space="0"/>
            </w:tcBorders>
            <w:vAlign w:val="center"/>
          </w:tcPr>
          <w:p w14:paraId="707B0AE1">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建筑工程一切险及第三者责任险的保险费率：</w:t>
            </w:r>
            <w:r>
              <w:rPr>
                <w:rFonts w:hint="eastAsia" w:ascii="宋体" w:hAnsi="宋体" w:cs="宋体"/>
                <w:color w:val="000000" w:themeColor="text1"/>
                <w:highlight w:val="none"/>
                <w:u w:val="single"/>
                <w14:textFill>
                  <w14:solidFill>
                    <w14:schemeClr w14:val="tx1"/>
                  </w14:solidFill>
                </w14:textFill>
              </w:rPr>
              <w:t xml:space="preserve"> 4.0 </w:t>
            </w:r>
            <w:r>
              <w:rPr>
                <w:rFonts w:hint="eastAsia" w:ascii="宋体" w:hAnsi="宋体" w:cs="宋体"/>
                <w:color w:val="000000" w:themeColor="text1"/>
                <w:highlight w:val="none"/>
                <w14:textFill>
                  <w14:solidFill>
                    <w14:schemeClr w14:val="tx1"/>
                  </w14:solidFill>
                </w14:textFill>
              </w:rPr>
              <w:t>‰</w:t>
            </w:r>
          </w:p>
        </w:tc>
      </w:tr>
      <w:tr w14:paraId="72ADD1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D8A4F8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w:t>
            </w:r>
          </w:p>
        </w:tc>
        <w:tc>
          <w:tcPr>
            <w:tcW w:w="1262" w:type="dxa"/>
            <w:tcBorders>
              <w:top w:val="single" w:color="auto" w:sz="6" w:space="0"/>
              <w:left w:val="single" w:color="auto" w:sz="6" w:space="0"/>
              <w:bottom w:val="single" w:color="auto" w:sz="6" w:space="0"/>
              <w:right w:val="single" w:color="auto" w:sz="6" w:space="0"/>
            </w:tcBorders>
            <w:vAlign w:val="center"/>
          </w:tcPr>
          <w:p w14:paraId="06F76D4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20.4.2</w:t>
            </w:r>
          </w:p>
        </w:tc>
        <w:tc>
          <w:tcPr>
            <w:tcW w:w="7426" w:type="dxa"/>
            <w:tcBorders>
              <w:top w:val="single" w:color="auto" w:sz="6" w:space="0"/>
              <w:left w:val="single" w:color="auto" w:sz="6" w:space="0"/>
              <w:bottom w:val="single" w:color="auto" w:sz="6" w:space="0"/>
              <w:right w:val="single" w:color="auto" w:sz="12" w:space="0"/>
            </w:tcBorders>
            <w:vAlign w:val="center"/>
          </w:tcPr>
          <w:p w14:paraId="07463093">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第三者责任险的最低投保金额：</w:t>
            </w:r>
            <w:r>
              <w:rPr>
                <w:rFonts w:hint="eastAsia" w:ascii="宋体" w:hAnsi="宋体" w:cs="宋体"/>
                <w:color w:val="000000" w:themeColor="text1"/>
                <w:highlight w:val="none"/>
                <w:u w:val="single"/>
                <w14:textFill>
                  <w14:solidFill>
                    <w14:schemeClr w14:val="tx1"/>
                  </w14:solidFill>
                </w14:textFill>
              </w:rPr>
              <w:t xml:space="preserve"> / </w:t>
            </w:r>
            <w:r>
              <w:rPr>
                <w:rFonts w:hint="eastAsia" w:ascii="宋体" w:hAnsi="宋体" w:cs="宋体"/>
                <w:color w:val="000000" w:themeColor="text1"/>
                <w:highlight w:val="none"/>
                <w14:textFill>
                  <w14:solidFill>
                    <w14:schemeClr w14:val="tx1"/>
                  </w14:solidFill>
                </w14:textFill>
              </w:rPr>
              <w:t>万元，事故次数不限（不计免赔额）。</w:t>
            </w:r>
          </w:p>
          <w:p w14:paraId="5546ED8B">
            <w:pPr>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安全生产责任险必须按相关规定购买。</w:t>
            </w:r>
          </w:p>
        </w:tc>
      </w:tr>
      <w:tr w14:paraId="29BF9D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1FBDE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w:t>
            </w:r>
          </w:p>
        </w:tc>
        <w:tc>
          <w:tcPr>
            <w:tcW w:w="1262" w:type="dxa"/>
            <w:tcBorders>
              <w:top w:val="single" w:color="auto" w:sz="6" w:space="0"/>
              <w:left w:val="single" w:color="auto" w:sz="6" w:space="0"/>
              <w:bottom w:val="single" w:color="auto" w:sz="6" w:space="0"/>
              <w:right w:val="single" w:color="auto" w:sz="6" w:space="0"/>
            </w:tcBorders>
            <w:vAlign w:val="center"/>
          </w:tcPr>
          <w:p w14:paraId="206D53B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21.1.1</w:t>
            </w:r>
          </w:p>
        </w:tc>
        <w:tc>
          <w:tcPr>
            <w:tcW w:w="7426" w:type="dxa"/>
            <w:tcBorders>
              <w:top w:val="single" w:color="auto" w:sz="6" w:space="0"/>
              <w:left w:val="single" w:color="auto" w:sz="6" w:space="0"/>
              <w:bottom w:val="single" w:color="auto" w:sz="6" w:space="0"/>
              <w:right w:val="single" w:color="auto" w:sz="12" w:space="0"/>
            </w:tcBorders>
            <w:vAlign w:val="center"/>
          </w:tcPr>
          <w:p w14:paraId="6BBAB9B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21.1.1 (6)不可抗力的其他情形：</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0"/>
                <w:szCs w:val="20"/>
                <w:highlight w:val="none"/>
                <w:u w:val="single"/>
                <w14:textFill>
                  <w14:solidFill>
                    <w14:schemeClr w14:val="tx1"/>
                  </w14:solidFill>
                </w14:textFill>
              </w:rPr>
              <w:t xml:space="preserve"> </w:t>
            </w:r>
          </w:p>
        </w:tc>
      </w:tr>
      <w:tr w14:paraId="02CE1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41CEA5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w:t>
            </w:r>
          </w:p>
        </w:tc>
        <w:tc>
          <w:tcPr>
            <w:tcW w:w="1262" w:type="dxa"/>
            <w:tcBorders>
              <w:top w:val="single" w:color="auto" w:sz="6" w:space="0"/>
              <w:left w:val="single" w:color="auto" w:sz="6" w:space="0"/>
              <w:bottom w:val="single" w:color="auto" w:sz="6" w:space="0"/>
              <w:right w:val="single" w:color="auto" w:sz="6" w:space="0"/>
            </w:tcBorders>
            <w:vAlign w:val="center"/>
          </w:tcPr>
          <w:p w14:paraId="5DCD57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7426" w:type="dxa"/>
            <w:tcBorders>
              <w:top w:val="single" w:color="auto" w:sz="6" w:space="0"/>
              <w:left w:val="single" w:color="auto" w:sz="6" w:space="0"/>
              <w:bottom w:val="single" w:color="auto" w:sz="6" w:space="0"/>
              <w:right w:val="single" w:color="auto" w:sz="12" w:space="0"/>
            </w:tcBorders>
            <w:vAlign w:val="center"/>
          </w:tcPr>
          <w:p w14:paraId="4F6DD871">
            <w:pP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争议的最终解决方式：向</w:t>
            </w:r>
            <w:r>
              <w:rPr>
                <w:rFonts w:hint="eastAsia" w:ascii="宋体" w:hAnsi="宋体" w:cs="宋体"/>
                <w:color w:val="000000" w:themeColor="text1"/>
                <w:szCs w:val="21"/>
                <w:highlight w:val="none"/>
                <w:u w:val="single"/>
                <w14:textFill>
                  <w14:solidFill>
                    <w14:schemeClr w14:val="tx1"/>
                  </w14:solidFill>
                </w14:textFill>
              </w:rPr>
              <w:t xml:space="preserve">   乳源瑶族自治县  </w:t>
            </w:r>
            <w:r>
              <w:rPr>
                <w:rFonts w:hint="eastAsia" w:ascii="宋体" w:hAnsi="宋体" w:cs="宋体"/>
                <w:color w:val="000000" w:themeColor="text1"/>
                <w:szCs w:val="21"/>
                <w:highlight w:val="none"/>
                <w14:textFill>
                  <w14:solidFill>
                    <w14:schemeClr w14:val="tx1"/>
                  </w14:solidFill>
                </w14:textFill>
              </w:rPr>
              <w:t>人民法院提起诉讼。</w:t>
            </w:r>
          </w:p>
        </w:tc>
      </w:tr>
      <w:tr w14:paraId="37948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B26D40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w:t>
            </w:r>
          </w:p>
        </w:tc>
        <w:tc>
          <w:tcPr>
            <w:tcW w:w="1262" w:type="dxa"/>
            <w:tcBorders>
              <w:top w:val="single" w:color="auto" w:sz="6" w:space="0"/>
              <w:left w:val="single" w:color="auto" w:sz="6" w:space="0"/>
              <w:bottom w:val="single" w:color="auto" w:sz="6" w:space="0"/>
              <w:right w:val="single" w:color="auto" w:sz="6" w:space="0"/>
            </w:tcBorders>
          </w:tcPr>
          <w:p w14:paraId="6A2F2A3B">
            <w:pPr>
              <w:rPr>
                <w:rFonts w:hint="eastAsia" w:ascii="宋体" w:hAnsi="宋体" w:cs="宋体"/>
                <w:color w:val="000000" w:themeColor="text1"/>
                <w:szCs w:val="21"/>
                <w:highlight w:val="none"/>
                <w14:textFill>
                  <w14:solidFill>
                    <w14:schemeClr w14:val="tx1"/>
                  </w14:solidFill>
                </w14:textFill>
              </w:rPr>
            </w:pPr>
          </w:p>
          <w:p w14:paraId="415EFDA9">
            <w:pPr>
              <w:rPr>
                <w:rFonts w:hint="eastAsia" w:ascii="宋体" w:hAnsi="宋体" w:cs="宋体"/>
                <w:color w:val="000000" w:themeColor="text1"/>
                <w:szCs w:val="21"/>
                <w:highlight w:val="none"/>
                <w14:textFill>
                  <w14:solidFill>
                    <w14:schemeClr w14:val="tx1"/>
                  </w14:solidFill>
                </w14:textFill>
              </w:rPr>
            </w:pPr>
          </w:p>
          <w:p w14:paraId="7989CCE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25.4</w:t>
            </w:r>
          </w:p>
        </w:tc>
        <w:tc>
          <w:tcPr>
            <w:tcW w:w="7426" w:type="dxa"/>
            <w:tcBorders>
              <w:top w:val="single" w:color="auto" w:sz="6" w:space="0"/>
              <w:left w:val="single" w:color="auto" w:sz="6" w:space="0"/>
              <w:bottom w:val="single" w:color="auto" w:sz="6" w:space="0"/>
              <w:right w:val="single" w:color="auto" w:sz="12" w:space="0"/>
            </w:tcBorders>
          </w:tcPr>
          <w:p w14:paraId="23F4BF3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结算单元按合同约定完成并通过质量中间验收，原则上</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个月内完成过程结 算文件的编制、审核、签认工作。</w:t>
            </w:r>
          </w:p>
          <w:p w14:paraId="2FD98A2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未按要求完成过程结算的费用项, 最高支付金额不宜超过发包人审核确认的</w:t>
            </w:r>
            <w:r>
              <w:rPr>
                <w:rFonts w:hint="eastAsia" w:ascii="宋体" w:hAnsi="宋体" w:cs="宋体"/>
                <w:color w:val="000000" w:themeColor="text1"/>
                <w:szCs w:val="21"/>
                <w:highlight w:val="none"/>
                <w:u w:val="single"/>
                <w14:textFill>
                  <w14:solidFill>
                    <w14:schemeClr w14:val="tx1"/>
                  </w14:solidFill>
                </w14:textFill>
              </w:rPr>
              <w:t>97</w:t>
            </w:r>
            <w:r>
              <w:rPr>
                <w:rFonts w:hint="eastAsia" w:ascii="宋体" w:hAnsi="宋体" w:cs="宋体"/>
                <w:color w:val="000000" w:themeColor="text1"/>
                <w:szCs w:val="21"/>
                <w:highlight w:val="none"/>
                <w14:textFill>
                  <w14:solidFill>
                    <w14:schemeClr w14:val="tx1"/>
                  </w14:solidFill>
                </w14:textFill>
              </w:rPr>
              <w:t>%, 过程结算后方可支付剩余金额。完工结算率低于30%的合同段, 在后续计量支付中可暂扣</w:t>
            </w:r>
            <w:r>
              <w:rPr>
                <w:rFonts w:hint="eastAsia" w:ascii="宋体" w:hAnsi="宋体" w:cs="宋体"/>
                <w:color w:val="000000" w:themeColor="text1"/>
                <w:szCs w:val="21"/>
                <w:highlight w:val="none"/>
                <w:u w:val="single"/>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%的工程进度款。</w:t>
            </w:r>
          </w:p>
        </w:tc>
      </w:tr>
      <w:tr w14:paraId="4F714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9" w:type="dxa"/>
            <w:gridSpan w:val="3"/>
            <w:tcBorders>
              <w:top w:val="single" w:color="auto" w:sz="6" w:space="0"/>
              <w:left w:val="single" w:color="auto" w:sz="12" w:space="0"/>
              <w:bottom w:val="single" w:color="auto" w:sz="6" w:space="0"/>
              <w:right w:val="single" w:color="auto" w:sz="12" w:space="0"/>
            </w:tcBorders>
            <w:vAlign w:val="center"/>
          </w:tcPr>
          <w:p w14:paraId="70F924B4">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需补充的其他内容</w:t>
            </w:r>
          </w:p>
        </w:tc>
      </w:tr>
      <w:tr w14:paraId="4327E1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E864801">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4.1.10</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1884F27A">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将本款第 4.1.10(3)目细化为：</w:t>
            </w:r>
          </w:p>
          <w:p w14:paraId="582D9780">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监督管理系统。</w:t>
            </w:r>
          </w:p>
          <w:p w14:paraId="768950AE">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的项目经理部是民工工资支付行为的主体，承包人的项目经理是民工工资支付的责任人。为切实保障农民工权益，承包人须遵守国家有关法律、行政法规规定，自行办理和完善各种手续，合法使用农民工，保护农民工合法权益，工程施工期间按月足额发放农民工工资。发包人支付承包人的人工费用总额的比例（不得乘以合同工程款支付比例）按工程实际完成工程量的1</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以上，承包人直接按时足额发放给工人账户，人工费用拨付周期不得超过一个月。每月20日前100%发放工人工资，发放期从工人开工之日至本岗位工作完成为止。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 (实名制管理系统) 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41C0DF2D">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tc>
      </w:tr>
      <w:tr w14:paraId="2B64C9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98"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5786B17">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15.4.5</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15E1B791">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15.4.5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7C4F8556">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发包人与承包人如按上述原则协商未果，发包人有权根据实际情况按上述某一原则进行处理，承包人必须无条件接受。</w:t>
            </w:r>
          </w:p>
          <w:p w14:paraId="306807BB">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应在变更取得初步同意后20天内，向发包人提交完整的工程变更申请资料，包括但不限于：（1）工程变更申请书（含变更原因、方案、费用及工期调整依据）；（2）变更设计图纸及原设计对比文件；（3）工程量及投资变化清单、分项预算文件；（4）其他相关证明材料（如影像资料、会议纪要等）。若承包人未能在规定期限内提交完整资料，或提交资料不符合要求且未在发包人要求的补充期限内完善，则视为该变更未发生，相关费用及工期变化不得纳入工程结算。</w:t>
            </w:r>
          </w:p>
          <w:p w14:paraId="0613FB4F">
            <w:pPr>
              <w:spacing w:line="276" w:lineRule="auto"/>
              <w:ind w:firstLine="420"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所有的变更设计都必须按发包人及其上级主管部门颁布的变更设计管理办法进行审批。</w:t>
            </w:r>
          </w:p>
        </w:tc>
      </w:tr>
      <w:tr w14:paraId="1B6A3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1"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98DA770">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17.2.3</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1B84D05F">
            <w:pPr>
              <w:spacing w:line="276"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17.2.3 预付款的扣回与还清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本款修改为：</w:t>
            </w:r>
          </w:p>
          <w:p w14:paraId="4389AF1D">
            <w:pPr>
              <w:spacing w:line="276" w:lineRule="auto"/>
              <w:ind w:firstLine="420" w:firstLineChars="200"/>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预付款</w:t>
            </w:r>
            <w:r>
              <w:rPr>
                <w:rFonts w:hint="eastAsia" w:ascii="宋体" w:hAnsi="宋体" w:eastAsia="宋体" w:cs="宋体"/>
                <w:color w:val="000000" w:themeColor="text1"/>
                <w:szCs w:val="21"/>
                <w:highlight w:val="none"/>
                <w:lang w:val="en-US" w:eastAsia="zh-CN"/>
                <w14:textFill>
                  <w14:solidFill>
                    <w14:schemeClr w14:val="tx1"/>
                  </w14:solidFill>
                </w14:textFill>
              </w:rPr>
              <w:t>原则上</w:t>
            </w:r>
            <w:r>
              <w:rPr>
                <w:rFonts w:hint="eastAsia" w:ascii="宋体" w:hAnsi="宋体" w:eastAsia="宋体" w:cs="宋体"/>
                <w:color w:val="000000" w:themeColor="text1"/>
                <w:szCs w:val="21"/>
                <w:highlight w:val="none"/>
                <w14:textFill>
                  <w14:solidFill>
                    <w14:schemeClr w14:val="tx1"/>
                  </w14:solidFill>
                </w14:textFill>
              </w:rPr>
              <w:t>在第一期进度款中全额扣回。如有需要，发包人可根据实际情况制定更符合工程需要的预付款月扣款比例。</w:t>
            </w:r>
          </w:p>
        </w:tc>
      </w:tr>
      <w:tr w14:paraId="76FCE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6"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4325EE5">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7E74A93C">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增加“17.3.6”条款</w:t>
            </w:r>
          </w:p>
          <w:p w14:paraId="52E0EA1B">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17.3.6</w:t>
            </w:r>
            <w:r>
              <w:rPr>
                <w:rFonts w:hint="eastAsia" w:ascii="宋体" w:hAnsi="宋体" w:cs="宋体"/>
                <w:color w:val="000000" w:themeColor="text1"/>
                <w:szCs w:val="21"/>
                <w:highlight w:val="none"/>
                <w14:textFill>
                  <w14:solidFill>
                    <w14:schemeClr w14:val="tx1"/>
                  </w14:solidFill>
                </w14:textFill>
              </w:rPr>
              <w:t>进度款的支付比例</w:t>
            </w:r>
          </w:p>
          <w:p w14:paraId="5DF3977B">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按要求提交进度款申请材料（含施工过程资料），经发包人审核后，根据上级资金到位情况，按照完成清单内工程量的不超过85%支付，具体支付金额以实际核定后为准。工程进度款支付原则上不低于已完成工程价款的80%，双方确认，本合同中发包人向承包人支付的任何一期工程进度款，均以县级财政部门安排的相应额度资金为拨付前提。若财政部门当期实际安排给发包人的本项目资金额度不足以支付经审核确认的进度款总额的80%，则发包人按实际到账资金额度支付。剩余未支付部分自动转入下一付款周期，与下一期进度款一并申请支付，以此类推，且不视为发包人违约。进度款还需经发包人上级主管部门审批确认后方能支付，承包人应予以配合。</w:t>
            </w:r>
          </w:p>
        </w:tc>
      </w:tr>
      <w:tr w14:paraId="0182BB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25FD6F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17.6.1</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14C11A46">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17.6.1 最终结清申请单 本项(1)目约定为：</w:t>
            </w:r>
          </w:p>
          <w:p w14:paraId="0B6D6C5A">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竣）工检测合格后，发包人在收到承包人的结算申请后15天内组织开展项目结算现场核查，现场核查后承包人应按交通运输部及广东省交通运输厅关于交通基本建设项目竣工决算编制和省级造价信息化平台的有关规定，30天内编制相应的工程结算文件，报监理人审核，发包人确认。</w:t>
            </w:r>
          </w:p>
          <w:p w14:paraId="087F322D">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承包人未及时编制工程结算资料或编制工程结算资料不符合要求，经发包人书面催促后14日内未作出书面答复的，发包人有权指定单位或相关部门根据已有资料编制结算文件并书面通知承包人，承包人应当认可，同时编制结算文件所发生费用由承包人承担。</w:t>
            </w:r>
          </w:p>
          <w:p w14:paraId="1A07A4CC">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结算文件报县财政投资评审中心或发包人委托的第三方机构初步审定，并出具评审结果通知，如承包人对初步审定结果存在异议的，应在收到结果后15日内以书面形式提出，并在30日内重新书面提交补充资料，由原评审机构进行复审，复审结果作为最终结算依据。逾期未书面提交异议或补充资料，视为认可审定结果。</w:t>
            </w:r>
          </w:p>
          <w:p w14:paraId="2BCD5A4E">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本项目为政府财政投资工程，最终结算金额以财政投资评审中心或审计部门审定的结果为准。工程结算文件经审定后，若承包单位开具合法有效的工程质量保证金保函，可以支付至审定结算款的 100%。最终结清申请单中的总金额应认为是代表了根据合同规定应付给承包人的全部款项的最后结算。</w:t>
            </w:r>
          </w:p>
          <w:p w14:paraId="32193598">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工程结算书（报告）经财政评审中心评审、交通行业主管部门审查及政府审计部门审计后，发包人将按以下审查意见作为调整承包人最终合同费用的依据，承包人需无条件接受：财政评审中心、行业主管部门和审计部门对不同内容进行核减的，综合财政评审中心、行业主管部门和审计部门的意见进行调整。</w:t>
            </w:r>
          </w:p>
        </w:tc>
      </w:tr>
      <w:tr w14:paraId="6BB23F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069F29C">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18.9</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04D11966">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18.9 竣工文件</w:t>
            </w:r>
          </w:p>
          <w:p w14:paraId="202E1EC4">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在本款后增加以下内容：</w:t>
            </w:r>
          </w:p>
          <w:p w14:paraId="64AC92CC">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在工程实施过程中及在项目完工后，承包人应按照《广东省交通运输厅关于公路建设项目档案的管理办法》和发包人要求开展竣工文件材料的编制、收集、整理、立卷、归档及信息化平台上传等工作。</w:t>
            </w:r>
            <w:r>
              <w:rPr>
                <w:rFonts w:ascii="宋体" w:hAnsi="宋体" w:cs="宋体"/>
                <w:color w:val="000000" w:themeColor="text1"/>
                <w:szCs w:val="21"/>
                <w:highlight w:val="none"/>
                <w14:textFill>
                  <w14:solidFill>
                    <w14:schemeClr w14:val="tx1"/>
                  </w14:solidFill>
                </w14:textFill>
              </w:rPr>
              <w:t>全过程收集、整理</w:t>
            </w:r>
            <w:r>
              <w:rPr>
                <w:rFonts w:hint="eastAsia" w:ascii="宋体" w:hAnsi="宋体" w:cs="宋体"/>
                <w:color w:val="000000" w:themeColor="text1"/>
                <w:szCs w:val="21"/>
                <w:highlight w:val="none"/>
                <w14:textFill>
                  <w14:solidFill>
                    <w14:schemeClr w14:val="tx1"/>
                  </w14:solidFill>
                </w14:textFill>
              </w:rPr>
              <w:t>包括不限于施工记录、质量检测报告、材料合格证明、隐蔽工程验收记录、变更设计文件、竣工图纸、影像资料（以上均包含纸质版及电子版）等所有必要文件</w:t>
            </w:r>
            <w:r>
              <w:rPr>
                <w:rFonts w:ascii="宋体" w:hAnsi="宋体" w:cs="宋体"/>
                <w:color w:val="000000" w:themeColor="text1"/>
                <w:szCs w:val="21"/>
                <w:highlight w:val="none"/>
                <w14:textFill>
                  <w14:solidFill>
                    <w14:schemeClr w14:val="tx1"/>
                  </w14:solidFill>
                </w14:textFill>
              </w:rPr>
              <w:t>资料</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承包人在完成</w:t>
            </w:r>
            <w:r>
              <w:rPr>
                <w:rFonts w:hint="eastAsia" w:ascii="宋体" w:hAnsi="宋体" w:cs="宋体"/>
                <w:color w:val="000000" w:themeColor="text1"/>
                <w:szCs w:val="21"/>
                <w:highlight w:val="none"/>
                <w14:textFill>
                  <w14:solidFill>
                    <w14:schemeClr w14:val="tx1"/>
                  </w14:solidFill>
                </w14:textFill>
              </w:rPr>
              <w:t>上述工程内业资料</w:t>
            </w:r>
            <w:r>
              <w:rPr>
                <w:rFonts w:ascii="宋体" w:hAnsi="宋体" w:cs="宋体"/>
                <w:color w:val="000000" w:themeColor="text1"/>
                <w:szCs w:val="21"/>
                <w:highlight w:val="none"/>
                <w14:textFill>
                  <w14:solidFill>
                    <w14:schemeClr w14:val="tx1"/>
                  </w14:solidFill>
                </w14:textFill>
              </w:rPr>
              <w:t>的同时，还应按《广东省交通运输厅关于印发广东省公路工程竣工决算文件编制指南的通知》、《交通运输部基本建设项目竣工财务决算编审规定》的规定，编制工程结算文件，报监理人审核，作为竣工文件的一部分。</w:t>
            </w:r>
          </w:p>
          <w:p w14:paraId="70C1923C">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如</w:t>
            </w:r>
            <w:r>
              <w:rPr>
                <w:rFonts w:hint="eastAsia" w:ascii="宋体" w:hAnsi="宋体" w:cs="宋体"/>
                <w:color w:val="000000" w:themeColor="text1"/>
                <w:szCs w:val="21"/>
                <w:highlight w:val="none"/>
                <w14:textFill>
                  <w14:solidFill>
                    <w14:schemeClr w14:val="tx1"/>
                  </w14:solidFill>
                </w14:textFill>
              </w:rPr>
              <w:t>承包人未及时编制项目内业资料或编制内业资料不符合要求，</w:t>
            </w:r>
            <w:r>
              <w:rPr>
                <w:rFonts w:ascii="宋体" w:hAnsi="宋体" w:cs="宋体"/>
                <w:color w:val="000000" w:themeColor="text1"/>
                <w:szCs w:val="21"/>
                <w:highlight w:val="none"/>
                <w14:textFill>
                  <w14:solidFill>
                    <w14:schemeClr w14:val="tx1"/>
                  </w14:solidFill>
                </w14:textFill>
              </w:rPr>
              <w:t>发包人有权指定单位或相关部门进行整个项目的</w:t>
            </w:r>
            <w:r>
              <w:rPr>
                <w:rFonts w:hint="eastAsia" w:ascii="宋体" w:hAnsi="宋体" w:cs="宋体"/>
                <w:color w:val="000000" w:themeColor="text1"/>
                <w:szCs w:val="21"/>
                <w:highlight w:val="none"/>
                <w14:textFill>
                  <w14:solidFill>
                    <w14:schemeClr w14:val="tx1"/>
                  </w14:solidFill>
                </w14:textFill>
              </w:rPr>
              <w:t>内业</w:t>
            </w:r>
            <w:r>
              <w:rPr>
                <w:rFonts w:ascii="宋体" w:hAnsi="宋体" w:cs="宋体"/>
                <w:color w:val="000000" w:themeColor="text1"/>
                <w:szCs w:val="21"/>
                <w:highlight w:val="none"/>
                <w14:textFill>
                  <w14:solidFill>
                    <w14:schemeClr w14:val="tx1"/>
                  </w14:solidFill>
                </w14:textFill>
              </w:rPr>
              <w:t>资料统一编制，承包人应予以积极配合，所发生费用由承包人承担。</w:t>
            </w:r>
          </w:p>
        </w:tc>
      </w:tr>
      <w:tr w14:paraId="459F8F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5"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5A54333">
            <w:pPr>
              <w:spacing w:line="276"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22.1.2</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3714A4C8">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22.1.2 对承包人违约的处理 将本款第(4)目修改如下：</w:t>
            </w:r>
          </w:p>
          <w:p w14:paraId="1511A79E">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承包人发生第 22.1.1 项约定的违约情况时，无论发包人是否解除合同，发包人均有权按本合同附件的规定向承包人课以违约金，并由发包人将其违约行为上报上级交通运输主管部门，作为不良记录纳入</w:t>
            </w:r>
            <w:r>
              <w:rPr>
                <w:rFonts w:hint="eastAsia" w:ascii="宋体" w:hAnsi="宋体" w:eastAsia="宋体" w:cs="宋体"/>
                <w:color w:val="000000" w:themeColor="text1"/>
                <w:szCs w:val="21"/>
                <w:highlight w:val="none"/>
                <w:lang w:eastAsia="zh-CN"/>
                <w14:textFill>
                  <w14:solidFill>
                    <w14:schemeClr w14:val="tx1"/>
                  </w14:solidFill>
                </w14:textFill>
              </w:rPr>
              <w:t>公路建设市场监督管理系统</w:t>
            </w:r>
            <w:r>
              <w:rPr>
                <w:rFonts w:hint="eastAsia" w:ascii="宋体" w:hAnsi="宋体" w:eastAsia="宋体" w:cs="宋体"/>
                <w:color w:val="000000" w:themeColor="text1"/>
                <w:szCs w:val="21"/>
                <w:highlight w:val="none"/>
                <w14:textFill>
                  <w14:solidFill>
                    <w14:schemeClr w14:val="tx1"/>
                  </w14:solidFill>
                </w14:textFill>
              </w:rPr>
              <w:t>。</w:t>
            </w:r>
          </w:p>
          <w:p w14:paraId="2057E3C6">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在本款下增加第(5)~第(</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)目如下：</w:t>
            </w:r>
          </w:p>
          <w:p w14:paraId="20F0DF12">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发包人按合同规定向承包人开出的任何违约金，除合同另有规定外，均从发包人应向承包人支付的工程款中直接扣除。除非合同另有规定，发包人向承包人开出的任何违约金将导致承包人最终的应得结算价款相应地减少 (除合同另有约定外) 。承包人必须完全接受上述条款。</w:t>
            </w:r>
          </w:p>
          <w:p w14:paraId="75C9A7F2">
            <w:pPr>
              <w:spacing w:line="276"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30815E98">
            <w:pPr>
              <w:spacing w:line="276"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由于承包人的原因造成其所提供的施工服务或成果不合格的，返工费用由其承担。承包人提供的服务或成果不符合本合同规定的，甲方有权拒收。如承包人提供的服务或成果不符合合同约定、国家有关规范技术或行业标准要求的，承包人应在发包人指定的期限内整改合格。整改后仍不符合合同约定、国家有关规范技术或行业标准要求的，或侵犯他人权益的，发包人有权单方解除合同，同时发包人就承包人不配合进度申报、结算、整改、工程量核算、验收、退场等发包人所要求的一切应由承包人应予配合的情形的，发包人有权自行或委托第三方予以处理，承包人无条件接受处理结果并承担由此产生的全部费用，且除本合同约定的法律责任外，承包人应退还发包人超额支付的工程款，承包人还应赔偿发包人因此遭受的一切损失，包括由此产生的诉讼费、律师费、保全费、评估费、鉴定费、诉讼财产保全费（保险服务费）等相关费用损失。</w:t>
            </w:r>
          </w:p>
          <w:p w14:paraId="7DA948EC">
            <w:pPr>
              <w:spacing w:line="276"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 本项目所有承包人的违约金均由业主掌握使用，可部分或全部用于本项目的各项评比和奖励。</w:t>
            </w:r>
          </w:p>
        </w:tc>
      </w:tr>
    </w:tbl>
    <w:p w14:paraId="1639A607">
      <w:pPr>
        <w:rPr>
          <w:color w:val="000000" w:themeColor="text1"/>
          <w:highlight w:val="none"/>
          <w14:textFill>
            <w14:solidFill>
              <w14:schemeClr w14:val="tx1"/>
            </w14:solidFill>
          </w14:textFill>
        </w:rPr>
      </w:pPr>
    </w:p>
    <w:p w14:paraId="5FED7D77">
      <w:pPr>
        <w:rPr>
          <w:color w:val="000000" w:themeColor="text1"/>
          <w:highlight w:val="none"/>
          <w14:textFill>
            <w14:solidFill>
              <w14:schemeClr w14:val="tx1"/>
            </w14:solidFill>
          </w14:textFill>
        </w:rPr>
      </w:pPr>
    </w:p>
    <w:p w14:paraId="6B92FFA0">
      <w:pPr>
        <w:rPr>
          <w:color w:val="000000" w:themeColor="text1"/>
          <w:highlight w:val="none"/>
          <w14:textFill>
            <w14:solidFill>
              <w14:schemeClr w14:val="tx1"/>
            </w14:solidFill>
          </w14:textFill>
        </w:rPr>
      </w:pPr>
    </w:p>
    <w:p w14:paraId="15893A20">
      <w:pPr>
        <w:rPr>
          <w:color w:val="000000" w:themeColor="text1"/>
          <w:highlight w:val="none"/>
          <w14:textFill>
            <w14:solidFill>
              <w14:schemeClr w14:val="tx1"/>
            </w14:solidFill>
          </w14:textFill>
        </w:rPr>
      </w:pPr>
    </w:p>
    <w:p w14:paraId="0F13178A">
      <w:pPr>
        <w:rPr>
          <w:color w:val="000000" w:themeColor="text1"/>
          <w:highlight w:val="none"/>
          <w14:textFill>
            <w14:solidFill>
              <w14:schemeClr w14:val="tx1"/>
            </w14:solidFill>
          </w14:textFill>
        </w:rPr>
      </w:pPr>
    </w:p>
    <w:bookmarkEnd w:id="144"/>
    <w:p w14:paraId="16A64C94">
      <w:pPr>
        <w:pStyle w:val="55"/>
        <w:ind w:left="0" w:leftChars="0" w:firstLine="0" w:firstLineChars="0"/>
        <w:rPr>
          <w:color w:val="000000" w:themeColor="text1"/>
          <w:highlight w:val="none"/>
          <w14:textFill>
            <w14:solidFill>
              <w14:schemeClr w14:val="tx1"/>
            </w14:solidFill>
          </w14:textFill>
        </w:rPr>
      </w:pPr>
      <w:bookmarkStart w:id="145" w:name="_Toc16186"/>
      <w:bookmarkStart w:id="146" w:name="_Toc505844504"/>
    </w:p>
    <w:p w14:paraId="5D0134A9">
      <w:pPr>
        <w:spacing w:before="101" w:line="225" w:lineRule="auto"/>
        <w:ind w:left="3268"/>
        <w:rPr>
          <w:rFonts w:hint="eastAsia" w:ascii="宋体" w:hAnsi="宋体" w:cs="宋体"/>
          <w:color w:val="000000" w:themeColor="text1"/>
          <w:sz w:val="31"/>
          <w:szCs w:val="31"/>
          <w:highlight w:val="none"/>
          <w14:textFill>
            <w14:solidFill>
              <w14:schemeClr w14:val="tx1"/>
            </w14:solidFill>
          </w14:textFill>
        </w:rPr>
      </w:pPr>
      <w:r>
        <w:rPr>
          <w:rFonts w:ascii="宋体" w:hAnsi="宋体" w:cs="宋体"/>
          <w:b/>
          <w:bCs/>
          <w:color w:val="000000" w:themeColor="text1"/>
          <w:spacing w:val="5"/>
          <w:sz w:val="31"/>
          <w:szCs w:val="31"/>
          <w:highlight w:val="none"/>
          <w14:textFill>
            <w14:solidFill>
              <w14:schemeClr w14:val="tx1"/>
            </w14:solidFill>
          </w14:textFill>
        </w:rPr>
        <w:t>项目专用合同条款</w:t>
      </w:r>
    </w:p>
    <w:p w14:paraId="4A1C43B2">
      <w:pPr>
        <w:pStyle w:val="3"/>
        <w:spacing w:line="440" w:lineRule="auto"/>
        <w:rPr>
          <w:color w:val="000000" w:themeColor="text1"/>
          <w:highlight w:val="none"/>
          <w14:textFill>
            <w14:solidFill>
              <w14:schemeClr w14:val="tx1"/>
            </w14:solidFill>
          </w14:textFill>
        </w:rPr>
      </w:pPr>
    </w:p>
    <w:p w14:paraId="692F6AF6">
      <w:pPr>
        <w:spacing w:before="78" w:line="361" w:lineRule="auto"/>
        <w:ind w:left="7"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说明：本部分所列的项目专用合同条款是对“公路工程专用合同条款</w:t>
      </w:r>
      <w:r>
        <w:rPr>
          <w:rFonts w:ascii="宋体" w:hAnsi="宋体" w:cs="宋体"/>
          <w:color w:val="000000" w:themeColor="text1"/>
          <w:spacing w:val="-7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”中规定必须</w:t>
      </w:r>
      <w:r>
        <w:rPr>
          <w:rFonts w:ascii="宋体" w:hAnsi="宋体" w:cs="宋体"/>
          <w:color w:val="000000" w:themeColor="text1"/>
          <w:spacing w:val="-2"/>
          <w:sz w:val="24"/>
          <w:highlight w:val="none"/>
          <w14:textFill>
            <w14:solidFill>
              <w14:schemeClr w14:val="tx1"/>
            </w14:solidFill>
          </w14:textFill>
        </w:rPr>
        <w:t>在项目专用合同条款中明确的内容的集中，招标人编制</w:t>
      </w:r>
      <w:r>
        <w:rPr>
          <w:rFonts w:ascii="宋体" w:hAnsi="宋体" w:cs="宋体"/>
          <w:color w:val="000000" w:themeColor="text1"/>
          <w:spacing w:val="-3"/>
          <w:sz w:val="24"/>
          <w:highlight w:val="none"/>
          <w14:textFill>
            <w14:solidFill>
              <w14:schemeClr w14:val="tx1"/>
            </w14:solidFill>
          </w14:textFill>
        </w:rPr>
        <w:t>的“项目专用合同条款</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”不限于</w:t>
      </w:r>
      <w:r>
        <w:rPr>
          <w:rFonts w:ascii="宋体" w:hAnsi="宋体" w:cs="宋体"/>
          <w:color w:val="000000" w:themeColor="text1"/>
          <w:spacing w:val="-2"/>
          <w:sz w:val="24"/>
          <w:highlight w:val="none"/>
          <w14:textFill>
            <w14:solidFill>
              <w14:schemeClr w14:val="tx1"/>
            </w14:solidFill>
          </w14:textFill>
        </w:rPr>
        <w:t>本部分所列内容。合同条款中如果国家或有关部门颁布了新的技术标准或规范，则应采</w:t>
      </w:r>
      <w:r>
        <w:rPr>
          <w:rFonts w:ascii="宋体" w:hAnsi="宋体" w:cs="宋体"/>
          <w:color w:val="000000" w:themeColor="text1"/>
          <w:spacing w:val="-1"/>
          <w:sz w:val="24"/>
          <w:highlight w:val="none"/>
          <w14:textFill>
            <w14:solidFill>
              <w14:schemeClr w14:val="tx1"/>
            </w14:solidFill>
          </w14:textFill>
        </w:rPr>
        <w:t>用新的标准或规范进行执行。</w:t>
      </w:r>
    </w:p>
    <w:p w14:paraId="7D2D914E">
      <w:pPr>
        <w:pStyle w:val="3"/>
        <w:spacing w:line="382" w:lineRule="auto"/>
        <w:rPr>
          <w:color w:val="000000" w:themeColor="text1"/>
          <w:highlight w:val="none"/>
          <w14:textFill>
            <w14:solidFill>
              <w14:schemeClr w14:val="tx1"/>
            </w14:solidFill>
          </w14:textFill>
        </w:rPr>
      </w:pPr>
    </w:p>
    <w:p w14:paraId="11497514">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147" w:name="_Toc26451"/>
      <w:bookmarkStart w:id="148" w:name="_Toc13006"/>
      <w:r>
        <w:rPr>
          <w:rFonts w:ascii="宋体" w:hAnsi="宋体" w:cs="宋体"/>
          <w:b/>
          <w:bCs/>
          <w:color w:val="000000" w:themeColor="text1"/>
          <w:spacing w:val="-7"/>
          <w:sz w:val="24"/>
          <w:highlight w:val="none"/>
          <w14:textFill>
            <w14:solidFill>
              <w14:schemeClr w14:val="tx1"/>
            </w14:solidFill>
          </w14:textFill>
        </w:rPr>
        <w:t>1.一般约定</w:t>
      </w:r>
      <w:bookmarkEnd w:id="147"/>
      <w:bookmarkEnd w:id="148"/>
    </w:p>
    <w:p w14:paraId="6121BEE1">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49" w:name="_Toc14494"/>
      <w:bookmarkStart w:id="150" w:name="_Toc12028"/>
      <w:r>
        <w:rPr>
          <w:rFonts w:ascii="宋体" w:hAnsi="宋体" w:cs="宋体"/>
          <w:color w:val="000000" w:themeColor="text1"/>
          <w:spacing w:val="-6"/>
          <w:sz w:val="24"/>
          <w:highlight w:val="none"/>
          <w14:textFill>
            <w14:solidFill>
              <w14:schemeClr w14:val="tx1"/>
            </w14:solidFill>
          </w14:textFill>
        </w:rPr>
        <w:t>1.1</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词语定义</w:t>
      </w:r>
      <w:bookmarkEnd w:id="149"/>
      <w:bookmarkEnd w:id="150"/>
    </w:p>
    <w:p w14:paraId="1D3C78D6">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第</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款细化为：</w:t>
      </w:r>
    </w:p>
    <w:p w14:paraId="48980A2E">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合同当事人和人员</w:t>
      </w:r>
    </w:p>
    <w:p w14:paraId="2FF99C2F">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本项补充第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1.1.2.9 目～第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1.1.2.14 目：</w:t>
      </w:r>
    </w:p>
    <w:p w14:paraId="12349204">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1.1.2.9</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发包人代表：</w:t>
      </w:r>
    </w:p>
    <w:p w14:paraId="2C248F8A">
      <w:pPr>
        <w:spacing w:line="360" w:lineRule="auto"/>
        <w:ind w:left="7" w:right="1"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发包人代表（或称发包人驻地代表）是发包人派出到合同段执行发包人授予的一定</w:t>
      </w:r>
      <w:r>
        <w:rPr>
          <w:rFonts w:ascii="宋体" w:hAnsi="宋体" w:cs="宋体"/>
          <w:color w:val="000000" w:themeColor="text1"/>
          <w:spacing w:val="-1"/>
          <w:sz w:val="24"/>
          <w:highlight w:val="none"/>
          <w14:textFill>
            <w14:solidFill>
              <w14:schemeClr w14:val="tx1"/>
            </w14:solidFill>
          </w14:textFill>
        </w:rPr>
        <w:t>权力及职责的现场管理人员。</w:t>
      </w:r>
    </w:p>
    <w:p w14:paraId="52D10E6D">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1.1.2.10</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试验检测中心承包人（试验人</w:t>
      </w:r>
      <w:r>
        <w:rPr>
          <w:rFonts w:ascii="宋体" w:hAnsi="宋体" w:cs="宋体"/>
          <w:color w:val="000000" w:themeColor="text1"/>
          <w:spacing w:val="2"/>
          <w:sz w:val="24"/>
          <w:highlight w:val="none"/>
          <w14:textFill>
            <w14:solidFill>
              <w14:schemeClr w14:val="tx1"/>
            </w14:solidFill>
          </w14:textFill>
        </w:rPr>
        <w:t>）：</w:t>
      </w:r>
    </w:p>
    <w:p w14:paraId="1999E625">
      <w:pPr>
        <w:spacing w:line="360" w:lineRule="auto"/>
        <w:ind w:left="9"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受发包人委托实施本合同工程试验检测工作管理的法人或其他组织，代表发包人对</w:t>
      </w:r>
      <w:r>
        <w:rPr>
          <w:rFonts w:ascii="宋体" w:hAnsi="宋体" w:cs="宋体"/>
          <w:color w:val="000000" w:themeColor="text1"/>
          <w:spacing w:val="-1"/>
          <w:sz w:val="24"/>
          <w:highlight w:val="none"/>
          <w14:textFill>
            <w14:solidFill>
              <w14:schemeClr w14:val="tx1"/>
            </w14:solidFill>
          </w14:textFill>
        </w:rPr>
        <w:t>本合同工程进行抽检，以及对承包人的试验检测工作进行现场管理。</w:t>
      </w:r>
    </w:p>
    <w:p w14:paraId="03B8FBAB">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1.1.2.11</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第三方监测、风险管理及科研单位：</w:t>
      </w:r>
    </w:p>
    <w:p w14:paraId="0AB61A0A">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受发包人委托实施本合同工程监测、风险管理及科研任务的法人或其他组织。</w:t>
      </w:r>
    </w:p>
    <w:p w14:paraId="65D472EE">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1.1.2.12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质量总监：</w:t>
      </w:r>
    </w:p>
    <w:p w14:paraId="20D5D0CC">
      <w:pPr>
        <w:spacing w:line="360" w:lineRule="auto"/>
        <w:ind w:left="8" w:right="1"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高速公路(含改扩建)施工合同段应设置质量总监，承包人直接派驻，不隶属于项目部，代表承包人对项目部进行监管，是项目质量监督体系直接责任人，严格执行相关质量验收标准，负责项目质量总体策划，协助项目经理建立质量保证体系，督促各系统落实质量责任。</w:t>
      </w:r>
    </w:p>
    <w:p w14:paraId="0100DC3A">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1.1.2.13</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安全总监：</w:t>
      </w:r>
    </w:p>
    <w:p w14:paraId="6A1C2AC5">
      <w:pPr>
        <w:spacing w:line="360" w:lineRule="auto"/>
        <w:ind w:left="8" w:right="1"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高速公路(含改扩建)施工合同段应设置安全总监，承包人直接派驻，不隶属于项目部，代表承包人对项目部进行监管，是项目安全监督体系直接责任人，严格执行安全法律法规、标准及规章制度，对项目安全管理体系建设、安全生产、教育培训等工作负综合监督责任。</w:t>
      </w:r>
    </w:p>
    <w:p w14:paraId="7174EF23">
      <w:pPr>
        <w:spacing w:line="360" w:lineRule="auto"/>
        <w:rPr>
          <w:rFonts w:hint="eastAsia" w:ascii="宋体" w:hAnsi="宋体" w:cs="宋体"/>
          <w:color w:val="000000" w:themeColor="text1"/>
          <w:sz w:val="24"/>
          <w:highlight w:val="none"/>
          <w14:textFill>
            <w14:solidFill>
              <w14:schemeClr w14:val="tx1"/>
            </w14:solidFill>
          </w14:textFill>
        </w:rPr>
        <w:sectPr>
          <w:pgSz w:w="11906" w:h="16839"/>
          <w:pgMar w:top="1182" w:right="1416" w:bottom="1168" w:left="1417" w:header="849" w:footer="934" w:gutter="0"/>
          <w:cols w:space="720" w:num="1"/>
        </w:sectPr>
      </w:pPr>
    </w:p>
    <w:p w14:paraId="1D444E17">
      <w:pPr>
        <w:pStyle w:val="3"/>
        <w:spacing w:line="360" w:lineRule="auto"/>
        <w:rPr>
          <w:color w:val="000000" w:themeColor="text1"/>
          <w:highlight w:val="none"/>
          <w14:textFill>
            <w14:solidFill>
              <w14:schemeClr w14:val="tx1"/>
            </w14:solidFill>
          </w14:textFill>
        </w:rPr>
      </w:pPr>
    </w:p>
    <w:p w14:paraId="3CDB03D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1.1.2.14</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项目部：</w:t>
      </w:r>
    </w:p>
    <w:p w14:paraId="6F28391E">
      <w:pPr>
        <w:spacing w:line="360" w:lineRule="auto"/>
        <w:ind w:left="17" w:right="18" w:firstLine="47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根据《广东省公路工程施工项目部管理指南（试行</w:t>
      </w:r>
      <w:r>
        <w:rPr>
          <w:rFonts w:ascii="宋体" w:hAnsi="宋体" w:cs="宋体"/>
          <w:color w:val="000000" w:themeColor="text1"/>
          <w:spacing w:val="-7"/>
          <w:sz w:val="24"/>
          <w:highlight w:val="none"/>
          <w14:textFill>
            <w14:solidFill>
              <w14:schemeClr w14:val="tx1"/>
            </w14:solidFill>
          </w14:textFill>
        </w:rPr>
        <w:t>）》，项目部指由施工单位成立，</w:t>
      </w:r>
      <w:r>
        <w:rPr>
          <w:rFonts w:ascii="宋体" w:hAnsi="宋体" w:cs="宋体"/>
          <w:color w:val="000000" w:themeColor="text1"/>
          <w:spacing w:val="-2"/>
          <w:sz w:val="24"/>
          <w:highlight w:val="none"/>
          <w14:textFill>
            <w14:solidFill>
              <w14:schemeClr w14:val="tx1"/>
            </w14:solidFill>
          </w14:textFill>
        </w:rPr>
        <w:t>负责项目施工的授权机构。</w:t>
      </w:r>
    </w:p>
    <w:p w14:paraId="7B1BD0F4">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8"/>
          <w:sz w:val="24"/>
          <w:highlight w:val="none"/>
          <w14:textFill>
            <w14:solidFill>
              <w14:schemeClr w14:val="tx1"/>
            </w14:solidFill>
          </w14:textFill>
        </w:rPr>
        <w:t>第</w:t>
      </w:r>
      <w:r>
        <w:rPr>
          <w:rFonts w:ascii="宋体" w:hAnsi="宋体" w:cs="宋体"/>
          <w:color w:val="000000" w:themeColor="text1"/>
          <w:spacing w:val="-22"/>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1.1.3.9</w:t>
      </w:r>
      <w:r>
        <w:rPr>
          <w:rFonts w:ascii="宋体" w:hAnsi="宋体" w:cs="宋体"/>
          <w:color w:val="000000" w:themeColor="text1"/>
          <w:spacing w:val="55"/>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目细化为：</w:t>
      </w:r>
    </w:p>
    <w:p w14:paraId="7D4F894B">
      <w:pPr>
        <w:spacing w:line="360" w:lineRule="auto"/>
        <w:ind w:left="8" w:right="80" w:firstLine="49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1.1.3.9 施工场地（或称工地、现场</w:t>
      </w:r>
      <w:r>
        <w:rPr>
          <w:rFonts w:ascii="宋体" w:hAnsi="宋体" w:cs="宋体"/>
          <w:color w:val="000000" w:themeColor="text1"/>
          <w:spacing w:val="-1"/>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指用于合同工程施工的场所，以及在合同中指定作为施工场地组成部分的其他场所。本合同中除特别说明之外，施工场地应包含加工制造场地、拼装场地（适用于特大桥梁工程中钢结构工程）、工地连接场地（适用于特大桥梁工程中钢结构工程）、架设场地（适用于特大桥梁工程中主缆、斜拉索及吊</w:t>
      </w:r>
      <w:r>
        <w:rPr>
          <w:rFonts w:ascii="宋体" w:hAnsi="宋体" w:cs="宋体"/>
          <w:color w:val="000000" w:themeColor="text1"/>
          <w:spacing w:val="-3"/>
          <w:sz w:val="24"/>
          <w:highlight w:val="none"/>
          <w14:textFill>
            <w14:solidFill>
              <w14:schemeClr w14:val="tx1"/>
            </w14:solidFill>
          </w14:textFill>
        </w:rPr>
        <w:t>索）等。</w:t>
      </w:r>
    </w:p>
    <w:p w14:paraId="2C6D0F3C">
      <w:pPr>
        <w:spacing w:line="360" w:lineRule="auto"/>
        <w:ind w:left="17" w:firstLine="47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加工制造场地：指承包人为完成本合同工程而进行板单元及各种零部件加工、矫正、</w:t>
      </w:r>
      <w:r>
        <w:rPr>
          <w:rFonts w:ascii="宋体" w:hAnsi="宋体" w:cs="宋体"/>
          <w:color w:val="000000" w:themeColor="text1"/>
          <w:spacing w:val="-1"/>
          <w:sz w:val="24"/>
          <w:highlight w:val="none"/>
          <w14:textFill>
            <w14:solidFill>
              <w14:schemeClr w14:val="tx1"/>
            </w14:solidFill>
          </w14:textFill>
        </w:rPr>
        <w:t>喷涂作业的场地。（适用于特大桥梁工程中钢结构工程）</w:t>
      </w:r>
    </w:p>
    <w:p w14:paraId="552EEA73">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拼装场地：指承包人利用板单元及各种零部件，完成钢结构梁段、节段拼装、防腐涂装施工，以及成品件存放、出运的场地。本合同中除特别说明之外，拼装场地应包括仓库、拼装厂房、涂装厂房、存梁场地、出运码头等。（适用于特大桥梁工程中钢结构</w:t>
      </w:r>
      <w:r>
        <w:rPr>
          <w:rFonts w:ascii="宋体" w:hAnsi="宋体" w:cs="宋体"/>
          <w:color w:val="000000" w:themeColor="text1"/>
          <w:spacing w:val="-3"/>
          <w:sz w:val="24"/>
          <w:highlight w:val="none"/>
          <w14:textFill>
            <w14:solidFill>
              <w14:schemeClr w14:val="tx1"/>
            </w14:solidFill>
          </w14:textFill>
        </w:rPr>
        <w:t>工程）</w:t>
      </w:r>
    </w:p>
    <w:p w14:paraId="0DCCAFAD">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1.1.6</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其他</w:t>
      </w:r>
    </w:p>
    <w:p w14:paraId="1A54FB6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8"/>
          <w:sz w:val="24"/>
          <w:highlight w:val="none"/>
          <w14:textFill>
            <w14:solidFill>
              <w14:schemeClr w14:val="tx1"/>
            </w14:solidFill>
          </w14:textFill>
        </w:rPr>
        <w:t>第</w:t>
      </w:r>
      <w:r>
        <w:rPr>
          <w:rFonts w:ascii="宋体" w:hAnsi="宋体" w:cs="宋体"/>
          <w:color w:val="000000" w:themeColor="text1"/>
          <w:spacing w:val="-18"/>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1.1.6.6 目至第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1.1.6.8 目细化为：</w:t>
      </w:r>
    </w:p>
    <w:p w14:paraId="1B4673DB">
      <w:pPr>
        <w:spacing w:line="360" w:lineRule="auto"/>
        <w:ind w:left="11" w:right="8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1.1.6.6</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转包：指承包人违反法律和不履行合同约定的责任和义务，将中标工程全</w:t>
      </w:r>
      <w:r>
        <w:rPr>
          <w:rFonts w:ascii="宋体" w:hAnsi="宋体" w:cs="宋体"/>
          <w:color w:val="000000" w:themeColor="text1"/>
          <w:sz w:val="24"/>
          <w:highlight w:val="none"/>
          <w14:textFill>
            <w14:solidFill>
              <w14:schemeClr w14:val="tx1"/>
            </w14:solidFill>
          </w14:textFill>
        </w:rPr>
        <w:t>部委托或以施工分包的名义将中标工程支解后全部委</w:t>
      </w:r>
      <w:r>
        <w:rPr>
          <w:rFonts w:ascii="宋体" w:hAnsi="宋体" w:cs="宋体"/>
          <w:color w:val="000000" w:themeColor="text1"/>
          <w:spacing w:val="-1"/>
          <w:sz w:val="24"/>
          <w:highlight w:val="none"/>
          <w14:textFill>
            <w14:solidFill>
              <w14:schemeClr w14:val="tx1"/>
            </w14:solidFill>
          </w14:textFill>
        </w:rPr>
        <w:t>托给其他施工企业施工的行为。</w:t>
      </w:r>
    </w:p>
    <w:p w14:paraId="7267AC25">
      <w:pPr>
        <w:spacing w:line="360" w:lineRule="auto"/>
        <w:ind w:left="9" w:right="80" w:firstLine="4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1.1.6.7 施工分包：指承包人将其所承包工程中的部分单位工程、分部工程或者分项工程发包给专业分包人，整体结算，由分包人自行编制施工方案和组织完成全部施工</w:t>
      </w:r>
      <w:r>
        <w:rPr>
          <w:rFonts w:ascii="宋体" w:hAnsi="宋体" w:cs="宋体"/>
          <w:color w:val="000000" w:themeColor="text1"/>
          <w:sz w:val="24"/>
          <w:highlight w:val="none"/>
          <w14:textFill>
            <w14:solidFill>
              <w14:schemeClr w14:val="tx1"/>
            </w14:solidFill>
          </w14:textFill>
        </w:rPr>
        <w:t>作业并能独立控制分包工程质量、施工进度</w:t>
      </w:r>
      <w:r>
        <w:rPr>
          <w:rFonts w:ascii="宋体" w:hAnsi="宋体" w:cs="宋体"/>
          <w:color w:val="000000" w:themeColor="text1"/>
          <w:spacing w:val="-1"/>
          <w:sz w:val="24"/>
          <w:highlight w:val="none"/>
          <w14:textFill>
            <w14:solidFill>
              <w14:schemeClr w14:val="tx1"/>
            </w14:solidFill>
          </w14:textFill>
        </w:rPr>
        <w:t>、生产安全等的施工活动。</w:t>
      </w:r>
    </w:p>
    <w:p w14:paraId="14524DF3">
      <w:pPr>
        <w:spacing w:line="360" w:lineRule="auto"/>
        <w:ind w:left="7" w:right="80"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1.1.6.8</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劳务合作：指承包人（分包人）与他人合作完成的其他以劳务活动为主，</w:t>
      </w:r>
      <w:r>
        <w:rPr>
          <w:rFonts w:ascii="宋体" w:hAnsi="宋体" w:cs="宋体"/>
          <w:color w:val="000000" w:themeColor="text1"/>
          <w:spacing w:val="-2"/>
          <w:sz w:val="24"/>
          <w:highlight w:val="none"/>
          <w14:textFill>
            <w14:solidFill>
              <w14:schemeClr w14:val="tx1"/>
            </w14:solidFill>
          </w14:textFill>
        </w:rPr>
        <w:t>由劳务企业提供劳务作业人员及所需机具（不限制规模</w:t>
      </w:r>
      <w:r>
        <w:rPr>
          <w:rFonts w:ascii="宋体" w:hAnsi="宋体" w:cs="宋体"/>
          <w:color w:val="000000" w:themeColor="text1"/>
          <w:spacing w:val="9"/>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由承包人（分包</w:t>
      </w:r>
      <w:r>
        <w:rPr>
          <w:rFonts w:ascii="宋体" w:hAnsi="宋体" w:cs="宋体"/>
          <w:color w:val="000000" w:themeColor="text1"/>
          <w:spacing w:val="-3"/>
          <w:sz w:val="24"/>
          <w:highlight w:val="none"/>
          <w14:textFill>
            <w14:solidFill>
              <w14:schemeClr w14:val="tx1"/>
            </w14:solidFill>
          </w14:textFill>
        </w:rPr>
        <w:t>人）负责施</w:t>
      </w:r>
      <w:r>
        <w:rPr>
          <w:rFonts w:ascii="宋体" w:hAnsi="宋体" w:cs="宋体"/>
          <w:color w:val="000000" w:themeColor="text1"/>
          <w:spacing w:val="-2"/>
          <w:sz w:val="24"/>
          <w:highlight w:val="none"/>
          <w14:textFill>
            <w14:solidFill>
              <w14:schemeClr w14:val="tx1"/>
            </w14:solidFill>
          </w14:textFill>
        </w:rPr>
        <w:t>工方案编制和组织实施并统一控制工程质量、施工进度、主要材料采购、生产安全等的施工活动。</w:t>
      </w:r>
    </w:p>
    <w:p w14:paraId="38424784">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本项补充第</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1.1.6.10 目～第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1.1.6.14 目：</w:t>
      </w:r>
    </w:p>
    <w:p w14:paraId="7C07A37C">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1.1.6.10</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首件工程认可制：</w:t>
      </w:r>
    </w:p>
    <w:p w14:paraId="655AB3C9">
      <w:pPr>
        <w:spacing w:line="360" w:lineRule="auto"/>
        <w:ind w:left="7" w:right="72"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在分部分项工程正式批量施工前，开展首件（段/节）产品</w:t>
      </w:r>
      <w:r>
        <w:rPr>
          <w:rFonts w:ascii="宋体" w:hAnsi="宋体" w:cs="宋体"/>
          <w:color w:val="000000" w:themeColor="text1"/>
          <w:spacing w:val="-1"/>
          <w:sz w:val="24"/>
          <w:highlight w:val="none"/>
          <w14:textFill>
            <w14:solidFill>
              <w14:schemeClr w14:val="tx1"/>
            </w14:solidFill>
          </w14:textFill>
        </w:rPr>
        <w:t>建造或实施首批试验性施工，用以验证并完善施工工艺和质量管控措施，用于指导</w:t>
      </w:r>
      <w:r>
        <w:rPr>
          <w:rFonts w:ascii="宋体" w:hAnsi="宋体" w:cs="宋体"/>
          <w:color w:val="000000" w:themeColor="text1"/>
          <w:spacing w:val="-2"/>
          <w:sz w:val="24"/>
          <w:highlight w:val="none"/>
          <w14:textFill>
            <w14:solidFill>
              <w14:schemeClr w14:val="tx1"/>
            </w14:solidFill>
          </w14:textFill>
        </w:rPr>
        <w:t>后续同类工程标准化施工。</w:t>
      </w:r>
    </w:p>
    <w:p w14:paraId="388007DF">
      <w:pPr>
        <w:spacing w:line="360" w:lineRule="auto"/>
        <w:rPr>
          <w:rFonts w:hint="eastAsia" w:ascii="宋体" w:hAnsi="宋体" w:cs="宋体"/>
          <w:color w:val="000000" w:themeColor="text1"/>
          <w:sz w:val="24"/>
          <w:highlight w:val="none"/>
          <w14:textFill>
            <w14:solidFill>
              <w14:schemeClr w14:val="tx1"/>
            </w14:solidFill>
          </w14:textFill>
        </w:rPr>
        <w:sectPr>
          <w:headerReference r:id="rId23" w:type="default"/>
          <w:footerReference r:id="rId24" w:type="default"/>
          <w:pgSz w:w="11906" w:h="16839"/>
          <w:pgMar w:top="1182" w:right="1337" w:bottom="1168" w:left="1417" w:header="849" w:footer="934" w:gutter="0"/>
          <w:cols w:space="720" w:num="1"/>
        </w:sectPr>
      </w:pPr>
    </w:p>
    <w:p w14:paraId="5E52FB71">
      <w:pPr>
        <w:pStyle w:val="3"/>
        <w:spacing w:line="360" w:lineRule="auto"/>
        <w:rPr>
          <w:color w:val="000000" w:themeColor="text1"/>
          <w:highlight w:val="none"/>
          <w14:textFill>
            <w14:solidFill>
              <w14:schemeClr w14:val="tx1"/>
            </w14:solidFill>
          </w14:textFill>
        </w:rPr>
      </w:pPr>
    </w:p>
    <w:p w14:paraId="3F99F009">
      <w:pPr>
        <w:spacing w:line="360" w:lineRule="auto"/>
        <w:ind w:left="37" w:right="181" w:firstLine="45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开工前，项目部应根据项目首件工程管理相关规定编制首件工程计划，明确合同段</w:t>
      </w:r>
      <w:r>
        <w:rPr>
          <w:rFonts w:ascii="宋体" w:hAnsi="宋体" w:cs="宋体"/>
          <w:color w:val="000000" w:themeColor="text1"/>
          <w:spacing w:val="-3"/>
          <w:sz w:val="24"/>
          <w:highlight w:val="none"/>
          <w14:textFill>
            <w14:solidFill>
              <w14:schemeClr w14:val="tx1"/>
            </w14:solidFill>
          </w14:textFill>
        </w:rPr>
        <w:t>内各分部分项工程首件施工安排。</w:t>
      </w:r>
    </w:p>
    <w:p w14:paraId="228EA140">
      <w:pPr>
        <w:spacing w:line="360" w:lineRule="auto"/>
        <w:ind w:left="8" w:right="181"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分部分项工程施工开始前，项目部应编制首件工程施工方案和开工报告报监理单位审批。监理单位审批后，项目部严格按照首件工程施工方案组织施工，施工过程中按照</w:t>
      </w:r>
      <w:r>
        <w:rPr>
          <w:rFonts w:ascii="宋体" w:hAnsi="宋体" w:cs="宋体"/>
          <w:color w:val="000000" w:themeColor="text1"/>
          <w:sz w:val="24"/>
          <w:highlight w:val="none"/>
          <w14:textFill>
            <w14:solidFill>
              <w14:schemeClr w14:val="tx1"/>
            </w14:solidFill>
          </w14:textFill>
        </w:rPr>
        <w:t>相关要求详细做好施工记录，包括材料使用、施工</w:t>
      </w:r>
      <w:r>
        <w:rPr>
          <w:rFonts w:ascii="宋体" w:hAnsi="宋体" w:cs="宋体"/>
          <w:color w:val="000000" w:themeColor="text1"/>
          <w:spacing w:val="-1"/>
          <w:sz w:val="24"/>
          <w:highlight w:val="none"/>
          <w14:textFill>
            <w14:solidFill>
              <w14:schemeClr w14:val="tx1"/>
            </w14:solidFill>
          </w14:textFill>
        </w:rPr>
        <w:t>步骤、质量检验数据等。</w:t>
      </w:r>
    </w:p>
    <w:p w14:paraId="73EC5F43">
      <w:pPr>
        <w:spacing w:line="360" w:lineRule="auto"/>
        <w:ind w:left="7"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首件工程施工结束后，由项目总工程师牵头组织对首件工程进</w:t>
      </w:r>
      <w:r>
        <w:rPr>
          <w:rFonts w:ascii="宋体" w:hAnsi="宋体" w:cs="宋体"/>
          <w:color w:val="000000" w:themeColor="text1"/>
          <w:spacing w:val="-4"/>
          <w:sz w:val="24"/>
          <w:highlight w:val="none"/>
          <w14:textFill>
            <w14:solidFill>
              <w14:schemeClr w14:val="tx1"/>
            </w14:solidFill>
          </w14:textFill>
        </w:rPr>
        <w:t>行全面质量检查评价，</w:t>
      </w:r>
      <w:r>
        <w:rPr>
          <w:rFonts w:ascii="宋体" w:hAnsi="宋体" w:cs="宋体"/>
          <w:color w:val="000000" w:themeColor="text1"/>
          <w:spacing w:val="1"/>
          <w:sz w:val="24"/>
          <w:highlight w:val="none"/>
          <w14:textFill>
            <w14:solidFill>
              <w14:schemeClr w14:val="tx1"/>
            </w14:solidFill>
          </w14:textFill>
        </w:rPr>
        <w:t>从工程实体质量、施工工艺执行情况等多方</w:t>
      </w:r>
      <w:r>
        <w:rPr>
          <w:rFonts w:ascii="宋体" w:hAnsi="宋体" w:cs="宋体"/>
          <w:color w:val="000000" w:themeColor="text1"/>
          <w:sz w:val="24"/>
          <w:highlight w:val="none"/>
          <w14:textFill>
            <w14:solidFill>
              <w14:schemeClr w14:val="tx1"/>
            </w14:solidFill>
          </w14:textFill>
        </w:rPr>
        <w:t>面进行评估。检查合格后，编制首件总结，梳理施工过程中的经验、问题及改进措施，并向监理单</w:t>
      </w:r>
      <w:r>
        <w:rPr>
          <w:rFonts w:ascii="宋体" w:hAnsi="宋体" w:cs="宋体"/>
          <w:color w:val="000000" w:themeColor="text1"/>
          <w:spacing w:val="-1"/>
          <w:sz w:val="24"/>
          <w:highlight w:val="none"/>
          <w14:textFill>
            <w14:solidFill>
              <w14:schemeClr w14:val="tx1"/>
            </w14:solidFill>
          </w14:textFill>
        </w:rPr>
        <w:t>位提出首件验收申请。</w:t>
      </w:r>
    </w:p>
    <w:p w14:paraId="1A1157F5">
      <w:pPr>
        <w:spacing w:line="360" w:lineRule="auto"/>
        <w:ind w:left="8" w:right="18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首件工程经验收合格后，应作为后续同类工程的施工标杆。项目部应严格按照首件工程总结的施工工艺，开展后续同类工程施工，落实</w:t>
      </w:r>
      <w:r>
        <w:rPr>
          <w:rFonts w:ascii="宋体" w:hAnsi="宋体" w:cs="宋体"/>
          <w:color w:val="000000" w:themeColor="text1"/>
          <w:spacing w:val="-3"/>
          <w:sz w:val="24"/>
          <w:highlight w:val="none"/>
          <w14:textFill>
            <w14:solidFill>
              <w14:schemeClr w14:val="tx1"/>
            </w14:solidFill>
          </w14:textFill>
        </w:rPr>
        <w:t>“样板引路</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”的理念，确保施工质</w:t>
      </w:r>
      <w:r>
        <w:rPr>
          <w:rFonts w:ascii="宋体" w:hAnsi="宋体" w:cs="宋体"/>
          <w:color w:val="000000" w:themeColor="text1"/>
          <w:spacing w:val="-2"/>
          <w:sz w:val="24"/>
          <w:highlight w:val="none"/>
          <w14:textFill>
            <w14:solidFill>
              <w14:schemeClr w14:val="tx1"/>
            </w14:solidFill>
          </w14:textFill>
        </w:rPr>
        <w:t>量的稳定性。</w:t>
      </w:r>
    </w:p>
    <w:p w14:paraId="426360D7">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1.1.6.11“管、监</w:t>
      </w:r>
      <w:r>
        <w:rPr>
          <w:rFonts w:ascii="宋体" w:hAnsi="宋体" w:cs="宋体"/>
          <w:color w:val="000000" w:themeColor="text1"/>
          <w:spacing w:val="-8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”分离：</w:t>
      </w:r>
    </w:p>
    <w:p w14:paraId="1807A7C6">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施工单位针对施工生产活动建立的管理职能和监督职能</w:t>
      </w:r>
      <w:r>
        <w:rPr>
          <w:rFonts w:ascii="宋体" w:hAnsi="宋体" w:cs="宋体"/>
          <w:color w:val="000000" w:themeColor="text1"/>
          <w:spacing w:val="-1"/>
          <w:sz w:val="24"/>
          <w:highlight w:val="none"/>
          <w14:textFill>
            <w14:solidFill>
              <w14:schemeClr w14:val="tx1"/>
            </w14:solidFill>
          </w14:textFill>
        </w:rPr>
        <w:t>相互分离的管理制度。</w:t>
      </w:r>
    </w:p>
    <w:p w14:paraId="52B95CE5">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1.1.6.12</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三检制：</w:t>
      </w:r>
    </w:p>
    <w:p w14:paraId="45CB7ED4">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施工单位针对工序管理建立的自检、互检、专检相</w:t>
      </w:r>
      <w:r>
        <w:rPr>
          <w:rFonts w:ascii="宋体" w:hAnsi="宋体" w:cs="宋体"/>
          <w:color w:val="000000" w:themeColor="text1"/>
          <w:spacing w:val="-1"/>
          <w:sz w:val="24"/>
          <w:highlight w:val="none"/>
          <w14:textFill>
            <w14:solidFill>
              <w14:schemeClr w14:val="tx1"/>
            </w14:solidFill>
          </w14:textFill>
        </w:rPr>
        <w:t>结合的质量检验制度。</w:t>
      </w:r>
    </w:p>
    <w:p w14:paraId="2B0DD14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1.1.6.13</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工序验收一次性通过率：</w:t>
      </w:r>
    </w:p>
    <w:p w14:paraId="2A532F26">
      <w:pPr>
        <w:spacing w:line="360"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一定周期内，某项（或全部）工序首次检查验收</w:t>
      </w:r>
      <w:r>
        <w:rPr>
          <w:rFonts w:ascii="宋体" w:hAnsi="宋体" w:cs="宋体"/>
          <w:color w:val="000000" w:themeColor="text1"/>
          <w:spacing w:val="-1"/>
          <w:sz w:val="24"/>
          <w:highlight w:val="none"/>
          <w14:textFill>
            <w14:solidFill>
              <w14:schemeClr w14:val="tx1"/>
            </w14:solidFill>
          </w14:textFill>
        </w:rPr>
        <w:t>通过的次数占验收总次数的比率。</w:t>
      </w:r>
    </w:p>
    <w:p w14:paraId="00E57FCC">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1.1.6.14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差异化管理：</w:t>
      </w:r>
    </w:p>
    <w:p w14:paraId="3678CD82">
      <w:pPr>
        <w:spacing w:line="360" w:lineRule="auto"/>
        <w:ind w:left="30" w:right="181" w:firstLine="45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对工序验收一次性通过率较低的班组重新组织技术交底和技能培训，加强施工过程中重点指导和管控，实施差异化管理。</w:t>
      </w:r>
    </w:p>
    <w:p w14:paraId="268E895E">
      <w:pPr>
        <w:spacing w:line="360" w:lineRule="auto"/>
        <w:ind w:left="11" w:right="181"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1.1.6.15</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工艺评审：指承包人在施工组织设计的基础上，结合图纸（含补充和修改</w:t>
      </w:r>
      <w:r>
        <w:rPr>
          <w:rFonts w:ascii="宋体" w:hAnsi="宋体" w:cs="宋体"/>
          <w:color w:val="000000" w:themeColor="text1"/>
          <w:spacing w:val="-2"/>
          <w:sz w:val="24"/>
          <w:highlight w:val="none"/>
          <w14:textFill>
            <w14:solidFill>
              <w14:schemeClr w14:val="tx1"/>
            </w14:solidFill>
          </w14:textFill>
        </w:rPr>
        <w:t>部分）、技术规范和发包人要求，对生产过程中可能涉及到的各种工艺或方案，如切割</w:t>
      </w:r>
      <w:r>
        <w:rPr>
          <w:rFonts w:ascii="宋体" w:hAnsi="宋体" w:cs="宋体"/>
          <w:color w:val="000000" w:themeColor="text1"/>
          <w:sz w:val="24"/>
          <w:highlight w:val="none"/>
          <w14:textFill>
            <w14:solidFill>
              <w14:schemeClr w14:val="tx1"/>
            </w14:solidFill>
          </w14:textFill>
        </w:rPr>
        <w:t>工艺、焊接工艺、表面处理及涂装工艺等进</w:t>
      </w:r>
      <w:r>
        <w:rPr>
          <w:rFonts w:ascii="宋体" w:hAnsi="宋体" w:cs="宋体"/>
          <w:color w:val="000000" w:themeColor="text1"/>
          <w:spacing w:val="-1"/>
          <w:sz w:val="24"/>
          <w:highlight w:val="none"/>
          <w14:textFill>
            <w14:solidFill>
              <w14:schemeClr w14:val="tx1"/>
            </w14:solidFill>
          </w14:textFill>
        </w:rPr>
        <w:t>行的设计、试验、评定的过程。</w:t>
      </w:r>
    </w:p>
    <w:p w14:paraId="2B6EFCD9">
      <w:pPr>
        <w:spacing w:line="360" w:lineRule="auto"/>
        <w:ind w:left="8" w:right="181" w:firstLine="49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1.1.6.16 人员资格考核：指承包人按照发包人的要求，在工艺方案通过认证后，</w:t>
      </w:r>
      <w:r>
        <w:rPr>
          <w:rFonts w:ascii="宋体" w:hAnsi="宋体" w:cs="宋体"/>
          <w:color w:val="000000" w:themeColor="text1"/>
          <w:spacing w:val="-2"/>
          <w:sz w:val="24"/>
          <w:highlight w:val="none"/>
          <w14:textFill>
            <w14:solidFill>
              <w14:schemeClr w14:val="tx1"/>
            </w14:solidFill>
          </w14:textFill>
        </w:rPr>
        <w:t>由承包人负责对工艺从业人员进行岗前培训，监理人负责完成对上述人员的考核，并在</w:t>
      </w:r>
      <w:r>
        <w:rPr>
          <w:rFonts w:ascii="宋体" w:hAnsi="宋体" w:cs="宋体"/>
          <w:color w:val="000000" w:themeColor="text1"/>
          <w:spacing w:val="-1"/>
          <w:sz w:val="24"/>
          <w:highlight w:val="none"/>
          <w14:textFill>
            <w14:solidFill>
              <w14:schemeClr w14:val="tx1"/>
            </w14:solidFill>
          </w14:textFill>
        </w:rPr>
        <w:t>通过考核后进行登记和发证的过程。</w:t>
      </w:r>
    </w:p>
    <w:p w14:paraId="2F8BAD2E">
      <w:pPr>
        <w:spacing w:line="360" w:lineRule="auto"/>
        <w:ind w:left="11" w:right="181"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1.1.6.17</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车间：指用于钢结构制造、制作及涂装等相关生产工序的厂房，泛指室内</w:t>
      </w:r>
      <w:r>
        <w:rPr>
          <w:rFonts w:ascii="宋体" w:hAnsi="宋体" w:cs="宋体"/>
          <w:color w:val="000000" w:themeColor="text1"/>
          <w:spacing w:val="-1"/>
          <w:sz w:val="24"/>
          <w:highlight w:val="none"/>
          <w14:textFill>
            <w14:solidFill>
              <w14:schemeClr w14:val="tx1"/>
            </w14:solidFill>
          </w14:textFill>
        </w:rPr>
        <w:t>工作环境。（适用于特大桥梁工程中钢结构工程）</w:t>
      </w:r>
    </w:p>
    <w:p w14:paraId="752384E4">
      <w:pPr>
        <w:spacing w:line="360" w:lineRule="auto"/>
        <w:ind w:left="15" w:right="18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1.1.6.18 预拼装：为减少桥位高空架设作业的难度和加快速度，确保桥位吊装线</w:t>
      </w:r>
      <w:r>
        <w:rPr>
          <w:rFonts w:ascii="宋体" w:hAnsi="宋体" w:cs="宋体"/>
          <w:color w:val="000000" w:themeColor="text1"/>
          <w:spacing w:val="-2"/>
          <w:sz w:val="24"/>
          <w:highlight w:val="none"/>
          <w14:textFill>
            <w14:solidFill>
              <w14:schemeClr w14:val="tx1"/>
            </w14:solidFill>
          </w14:textFill>
        </w:rPr>
        <w:t>型和精度，将钢结构梁节段按照拼装线型进行拼装，以修正梁段尺寸、接口匹配，划线</w:t>
      </w:r>
    </w:p>
    <w:p w14:paraId="71F2B85D">
      <w:pPr>
        <w:spacing w:line="360" w:lineRule="auto"/>
        <w:rPr>
          <w:rFonts w:hint="eastAsia" w:ascii="宋体" w:hAnsi="宋体" w:cs="宋体"/>
          <w:color w:val="000000" w:themeColor="text1"/>
          <w:sz w:val="24"/>
          <w:highlight w:val="none"/>
          <w14:textFill>
            <w14:solidFill>
              <w14:schemeClr w14:val="tx1"/>
            </w14:solidFill>
          </w14:textFill>
        </w:rPr>
        <w:sectPr>
          <w:headerReference r:id="rId25" w:type="default"/>
          <w:footerReference r:id="rId26" w:type="default"/>
          <w:pgSz w:w="11906" w:h="16839"/>
          <w:pgMar w:top="1182" w:right="1236" w:bottom="1168" w:left="1417" w:header="849" w:footer="934" w:gutter="0"/>
          <w:cols w:space="720" w:num="1"/>
        </w:sectPr>
      </w:pPr>
    </w:p>
    <w:p w14:paraId="77A78123">
      <w:pPr>
        <w:pStyle w:val="3"/>
        <w:spacing w:line="360" w:lineRule="auto"/>
        <w:rPr>
          <w:color w:val="000000" w:themeColor="text1"/>
          <w:highlight w:val="none"/>
          <w14:textFill>
            <w14:solidFill>
              <w14:schemeClr w14:val="tx1"/>
            </w14:solidFill>
          </w14:textFill>
        </w:rPr>
      </w:pPr>
    </w:p>
    <w:p w14:paraId="178FAE91">
      <w:pPr>
        <w:spacing w:line="360" w:lineRule="auto"/>
        <w:ind w:left="11" w:right="200" w:firstLine="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定位组焊纵向接口临时连接件，这个过程称“预拼装</w:t>
      </w:r>
      <w:r>
        <w:rPr>
          <w:rFonts w:ascii="宋体" w:hAnsi="宋体" w:cs="宋体"/>
          <w:color w:val="000000" w:themeColor="text1"/>
          <w:spacing w:val="-7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”。（适用于特大桥梁工程中钢结</w:t>
      </w:r>
      <w:r>
        <w:rPr>
          <w:rFonts w:ascii="宋体" w:hAnsi="宋体" w:cs="宋体"/>
          <w:color w:val="000000" w:themeColor="text1"/>
          <w:spacing w:val="-4"/>
          <w:sz w:val="24"/>
          <w:highlight w:val="none"/>
          <w14:textFill>
            <w14:solidFill>
              <w14:schemeClr w14:val="tx1"/>
            </w14:solidFill>
          </w14:textFill>
        </w:rPr>
        <w:t>构工程）</w:t>
      </w:r>
    </w:p>
    <w:p w14:paraId="58A24D58">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151" w:name="_Toc27077"/>
      <w:bookmarkStart w:id="152" w:name="_Toc14632"/>
      <w:r>
        <w:rPr>
          <w:rFonts w:ascii="宋体" w:hAnsi="宋体" w:cs="宋体"/>
          <w:color w:val="000000" w:themeColor="text1"/>
          <w:spacing w:val="-6"/>
          <w:sz w:val="24"/>
          <w:highlight w:val="none"/>
          <w14:textFill>
            <w14:solidFill>
              <w14:schemeClr w14:val="tx1"/>
            </w14:solidFill>
          </w14:textFill>
        </w:rPr>
        <w:t>1.6</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图纸和承包人文件</w:t>
      </w:r>
      <w:bookmarkEnd w:id="151"/>
      <w:bookmarkEnd w:id="152"/>
    </w:p>
    <w:p w14:paraId="2E47CE22">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1.6.1</w:t>
      </w:r>
      <w:r>
        <w:rPr>
          <w:rFonts w:ascii="宋体" w:hAnsi="宋体" w:cs="宋体"/>
          <w:color w:val="000000" w:themeColor="text1"/>
          <w:spacing w:val="-2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图纸的提供</w:t>
      </w:r>
    </w:p>
    <w:p w14:paraId="48802490">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3FA72E16">
      <w:pPr>
        <w:spacing w:line="360" w:lineRule="auto"/>
        <w:ind w:left="8" w:right="19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发包人应在发出中标通知书之后42</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天内，向承包人免费提供由发</w:t>
      </w:r>
      <w:r>
        <w:rPr>
          <w:rFonts w:ascii="宋体" w:hAnsi="宋体" w:cs="宋体"/>
          <w:color w:val="000000" w:themeColor="text1"/>
          <w:spacing w:val="2"/>
          <w:sz w:val="24"/>
          <w:highlight w:val="none"/>
          <w14:textFill>
            <w14:solidFill>
              <w14:schemeClr w14:val="tx1"/>
            </w14:solidFill>
          </w14:textFill>
        </w:rPr>
        <w:t>包人或其委托的</w:t>
      </w:r>
      <w:r>
        <w:rPr>
          <w:rFonts w:ascii="宋体" w:hAnsi="宋体" w:cs="宋体"/>
          <w:color w:val="000000" w:themeColor="text1"/>
          <w:spacing w:val="-2"/>
          <w:sz w:val="24"/>
          <w:highlight w:val="none"/>
          <w14:textFill>
            <w14:solidFill>
              <w14:schemeClr w14:val="tx1"/>
            </w14:solidFill>
          </w14:textFill>
        </w:rPr>
        <w:t>设计单位设计的施工图纸、技术规范和其他技术资料</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份，并向承包人进行技术交底。承包人需要更多份数时，应自费复制。上述图纸、技术规范和其他技术资料，未经发包人同意，承包人不得提供给与本工程无关的第三方,否则视为承包人违约并按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款处理，造成发包人损失的，承包人应赔偿发包人的全部损失，且发包人有权从合同价款中予以扣除。</w:t>
      </w:r>
    </w:p>
    <w:p w14:paraId="25753C71">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1.6.3</w:t>
      </w:r>
      <w:r>
        <w:rPr>
          <w:rFonts w:ascii="宋体" w:hAnsi="宋体" w:cs="宋体"/>
          <w:color w:val="000000" w:themeColor="text1"/>
          <w:spacing w:val="-2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图纸的修改</w:t>
      </w:r>
    </w:p>
    <w:p w14:paraId="112FA528">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757C07A4">
      <w:pPr>
        <w:spacing w:line="360" w:lineRule="auto"/>
        <w:ind w:left="8" w:right="20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承包人不得对施工图的任何部分进行修改，所有设计修改必须经设计单位认可及发包人同意，否则视为承包人违约并按</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款处理。</w:t>
      </w:r>
    </w:p>
    <w:p w14:paraId="7001E433">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1.6.4</w:t>
      </w:r>
      <w:r>
        <w:rPr>
          <w:rFonts w:ascii="宋体" w:hAnsi="宋体" w:cs="宋体"/>
          <w:color w:val="000000" w:themeColor="text1"/>
          <w:spacing w:val="-2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图纸的错误</w:t>
      </w:r>
    </w:p>
    <w:p w14:paraId="7F4938AB">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5A0D1185">
      <w:pPr>
        <w:spacing w:line="360" w:lineRule="auto"/>
        <w:ind w:left="8" w:right="20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须组织相关技术工作人员对有关的工程设计、技术规范、图纸或其他资料进行复核，发现资料中的任何差错、遗漏或缺陷后，应及时通知监理人。承包人未能在合同规定的时间内将发现的有关工程设计、技术规范、图纸或其他资料中的差错、遗漏或</w:t>
      </w:r>
      <w:r>
        <w:rPr>
          <w:rFonts w:ascii="宋体" w:hAnsi="宋体" w:cs="宋体"/>
          <w:color w:val="000000" w:themeColor="text1"/>
          <w:spacing w:val="-1"/>
          <w:sz w:val="24"/>
          <w:highlight w:val="none"/>
          <w14:textFill>
            <w14:solidFill>
              <w14:schemeClr w14:val="tx1"/>
            </w14:solidFill>
          </w14:textFill>
        </w:rPr>
        <w:t>缺陷通知监理人的，由此造成的一切损失和责任均由承包人承担。</w:t>
      </w:r>
    </w:p>
    <w:p w14:paraId="1E992F42">
      <w:pPr>
        <w:spacing w:line="360" w:lineRule="auto"/>
        <w:ind w:left="9" w:right="13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针对图纸与工程量清单的差、错、漏等问题，承包人应在合同签订后</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个月内提</w:t>
      </w:r>
      <w:r>
        <w:rPr>
          <w:rFonts w:ascii="宋体" w:hAnsi="宋体" w:cs="宋体"/>
          <w:color w:val="000000" w:themeColor="text1"/>
          <w:spacing w:val="-8"/>
          <w:sz w:val="24"/>
          <w:highlight w:val="none"/>
          <w14:textFill>
            <w14:solidFill>
              <w14:schemeClr w14:val="tx1"/>
            </w14:solidFill>
          </w14:textFill>
        </w:rPr>
        <w:t>出，</w:t>
      </w:r>
      <w:r>
        <w:rPr>
          <w:rFonts w:ascii="宋体" w:hAnsi="宋体" w:cs="宋体"/>
          <w:color w:val="000000" w:themeColor="text1"/>
          <w:spacing w:val="1"/>
          <w:sz w:val="24"/>
          <w:highlight w:val="none"/>
          <w14:textFill>
            <w14:solidFill>
              <w14:schemeClr w14:val="tx1"/>
            </w14:solidFill>
          </w14:textFill>
        </w:rPr>
        <w:t>合同签订后6</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个月内完成设计工程量核查，统一作为一次变更处理。</w:t>
      </w:r>
    </w:p>
    <w:p w14:paraId="6EB34B00">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153" w:name="_Toc20363"/>
      <w:bookmarkStart w:id="154" w:name="_Toc5136"/>
      <w:r>
        <w:rPr>
          <w:rFonts w:ascii="宋体" w:hAnsi="宋体" w:cs="宋体"/>
          <w:b/>
          <w:bCs/>
          <w:color w:val="000000" w:themeColor="text1"/>
          <w:spacing w:val="-6"/>
          <w:sz w:val="24"/>
          <w:highlight w:val="none"/>
          <w14:textFill>
            <w14:solidFill>
              <w14:schemeClr w14:val="tx1"/>
            </w14:solidFill>
          </w14:textFill>
        </w:rPr>
        <w:t>2.</w:t>
      </w:r>
      <w:r>
        <w:rPr>
          <w:rFonts w:ascii="宋体" w:hAnsi="宋体" w:cs="宋体"/>
          <w:color w:val="000000" w:themeColor="text1"/>
          <w:spacing w:val="18"/>
          <w:sz w:val="24"/>
          <w:highlight w:val="none"/>
          <w14:textFill>
            <w14:solidFill>
              <w14:schemeClr w14:val="tx1"/>
            </w14:solidFill>
          </w14:textFill>
        </w:rPr>
        <w:t xml:space="preserve"> </w:t>
      </w:r>
      <w:r>
        <w:rPr>
          <w:rFonts w:ascii="宋体" w:hAnsi="宋体" w:cs="宋体"/>
          <w:b/>
          <w:bCs/>
          <w:color w:val="000000" w:themeColor="text1"/>
          <w:spacing w:val="-6"/>
          <w:sz w:val="24"/>
          <w:highlight w:val="none"/>
          <w14:textFill>
            <w14:solidFill>
              <w14:schemeClr w14:val="tx1"/>
            </w14:solidFill>
          </w14:textFill>
        </w:rPr>
        <w:t>发包人义务</w:t>
      </w:r>
      <w:bookmarkEnd w:id="153"/>
      <w:bookmarkEnd w:id="154"/>
    </w:p>
    <w:p w14:paraId="69A71457">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55" w:name="_Toc6802"/>
      <w:bookmarkStart w:id="156" w:name="_Toc5483"/>
      <w:r>
        <w:rPr>
          <w:rFonts w:ascii="宋体" w:hAnsi="宋体" w:cs="宋体"/>
          <w:color w:val="000000" w:themeColor="text1"/>
          <w:spacing w:val="-2"/>
          <w:sz w:val="24"/>
          <w:highlight w:val="none"/>
          <w14:textFill>
            <w14:solidFill>
              <w14:schemeClr w14:val="tx1"/>
            </w14:solidFill>
          </w14:textFill>
        </w:rPr>
        <w:t>2.3 提供施工场地</w:t>
      </w:r>
      <w:bookmarkEnd w:id="155"/>
      <w:bookmarkEnd w:id="156"/>
    </w:p>
    <w:p w14:paraId="14B3259C">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本款补充：</w:t>
      </w:r>
    </w:p>
    <w:p w14:paraId="3D432D18">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承包人应主动协助发包人做好本合同段范围内土地征收、房屋拆迁及管线迁改工作。</w:t>
      </w:r>
      <w:r>
        <w:rPr>
          <w:rFonts w:ascii="宋体" w:hAnsi="宋体" w:cs="宋体"/>
          <w:color w:val="000000" w:themeColor="text1"/>
          <w:spacing w:val="-2"/>
          <w:sz w:val="24"/>
          <w:highlight w:val="none"/>
          <w14:textFill>
            <w14:solidFill>
              <w14:schemeClr w14:val="tx1"/>
            </w14:solidFill>
          </w14:textFill>
        </w:rPr>
        <w:t>如果由于发包人未能按照本款规定办妥永久占地征用手续，影响承包人工程施工的，承包人须及时调整工程施工组织安排，合理组织和安排工程施工。造成工期延误的，按照</w:t>
      </w: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11.3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款的约定办理。</w:t>
      </w:r>
    </w:p>
    <w:p w14:paraId="1B6EB063">
      <w:pPr>
        <w:spacing w:line="360" w:lineRule="auto"/>
        <w:rPr>
          <w:rFonts w:hint="eastAsia" w:ascii="宋体" w:hAnsi="宋体" w:cs="宋体"/>
          <w:color w:val="000000" w:themeColor="text1"/>
          <w:sz w:val="24"/>
          <w:highlight w:val="none"/>
          <w14:textFill>
            <w14:solidFill>
              <w14:schemeClr w14:val="tx1"/>
            </w14:solidFill>
          </w14:textFill>
        </w:rPr>
        <w:sectPr>
          <w:headerReference r:id="rId27" w:type="default"/>
          <w:footerReference r:id="rId28" w:type="default"/>
          <w:pgSz w:w="11906" w:h="16839"/>
          <w:pgMar w:top="1182" w:right="1217" w:bottom="1168" w:left="1417" w:header="849" w:footer="934" w:gutter="0"/>
          <w:cols w:space="720" w:num="1"/>
        </w:sectPr>
      </w:pPr>
    </w:p>
    <w:p w14:paraId="464AA323">
      <w:pPr>
        <w:pStyle w:val="3"/>
        <w:spacing w:line="360" w:lineRule="auto"/>
        <w:rPr>
          <w:color w:val="000000" w:themeColor="text1"/>
          <w:highlight w:val="none"/>
          <w14:textFill>
            <w14:solidFill>
              <w14:schemeClr w14:val="tx1"/>
            </w14:solidFill>
          </w14:textFill>
        </w:rPr>
      </w:pPr>
    </w:p>
    <w:p w14:paraId="10D07521">
      <w:pPr>
        <w:spacing w:line="360" w:lineRule="auto"/>
        <w:ind w:left="47" w:right="1" w:firstLine="43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但如果由于承包人未能按照本款规定提交占地计划，因而影响发包人办理永久工程占地征用手续而导致延误工期或增加费用，则由承包人自行负责。</w:t>
      </w:r>
    </w:p>
    <w:p w14:paraId="0309DE49">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57" w:name="_Toc8211"/>
      <w:bookmarkStart w:id="158" w:name="_Toc19547"/>
      <w:r>
        <w:rPr>
          <w:rFonts w:ascii="宋体" w:hAnsi="宋体" w:cs="宋体"/>
          <w:color w:val="000000" w:themeColor="text1"/>
          <w:spacing w:val="-4"/>
          <w:sz w:val="24"/>
          <w:highlight w:val="none"/>
          <w14:textFill>
            <w14:solidFill>
              <w14:schemeClr w14:val="tx1"/>
            </w14:solidFill>
          </w14:textFill>
        </w:rPr>
        <w:t>2.8</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其他义务</w:t>
      </w:r>
      <w:bookmarkEnd w:id="157"/>
      <w:bookmarkEnd w:id="158"/>
    </w:p>
    <w:p w14:paraId="4722C170">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本款补充：</w:t>
      </w:r>
    </w:p>
    <w:p w14:paraId="3CB8A57D">
      <w:pPr>
        <w:spacing w:line="360" w:lineRule="auto"/>
        <w:ind w:left="20"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（1）发包人不提供进出施工现场的水、陆交通通道，不提供水、电、通讯的接入</w:t>
      </w:r>
      <w:r>
        <w:rPr>
          <w:rFonts w:ascii="宋体" w:hAnsi="宋体" w:cs="宋体"/>
          <w:color w:val="000000" w:themeColor="text1"/>
          <w:spacing w:val="-2"/>
          <w:sz w:val="24"/>
          <w:highlight w:val="none"/>
          <w14:textFill>
            <w14:solidFill>
              <w14:schemeClr w14:val="tx1"/>
            </w14:solidFill>
          </w14:textFill>
        </w:rPr>
        <w:t>点及施工船舶临时停泊水域及停靠码头，由承包人自行落实解决，相关费用已包含在合</w:t>
      </w:r>
      <w:r>
        <w:rPr>
          <w:rFonts w:ascii="宋体" w:hAnsi="宋体" w:cs="宋体"/>
          <w:color w:val="000000" w:themeColor="text1"/>
          <w:spacing w:val="-1"/>
          <w:sz w:val="24"/>
          <w:highlight w:val="none"/>
          <w14:textFill>
            <w14:solidFill>
              <w14:schemeClr w14:val="tx1"/>
            </w14:solidFill>
          </w14:textFill>
        </w:rPr>
        <w:t>同价格中，发包人不另行支付（除合同另有约定外）。</w:t>
      </w:r>
    </w:p>
    <w:p w14:paraId="6B318629">
      <w:pPr>
        <w:spacing w:line="360" w:lineRule="auto"/>
        <w:ind w:left="7"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（2）施工过程中的淤泥、弃方、建筑垃圾等抛弃地点（倾倒区）由承包人自行解</w:t>
      </w:r>
      <w:r>
        <w:rPr>
          <w:rFonts w:ascii="宋体" w:hAnsi="宋体" w:cs="宋体"/>
          <w:color w:val="000000" w:themeColor="text1"/>
          <w:spacing w:val="-2"/>
          <w:sz w:val="24"/>
          <w:highlight w:val="none"/>
          <w14:textFill>
            <w14:solidFill>
              <w14:schemeClr w14:val="tx1"/>
            </w14:solidFill>
          </w14:textFill>
        </w:rPr>
        <w:t>决，并负责办理相关许可手续，承担因申请和使用倾倒区的一切费用（含环境监测、渔</w:t>
      </w:r>
      <w:r>
        <w:rPr>
          <w:rFonts w:ascii="宋体" w:hAnsi="宋体" w:cs="宋体"/>
          <w:color w:val="000000" w:themeColor="text1"/>
          <w:spacing w:val="-1"/>
          <w:sz w:val="24"/>
          <w:highlight w:val="none"/>
          <w14:textFill>
            <w14:solidFill>
              <w14:schemeClr w14:val="tx1"/>
            </w14:solidFill>
          </w14:textFill>
        </w:rPr>
        <w:t>业资源补偿等</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相关费用已包含在合同价格中（除合同另</w:t>
      </w:r>
      <w:r>
        <w:rPr>
          <w:rFonts w:ascii="宋体" w:hAnsi="宋体" w:cs="宋体"/>
          <w:color w:val="000000" w:themeColor="text1"/>
          <w:spacing w:val="-2"/>
          <w:sz w:val="24"/>
          <w:highlight w:val="none"/>
          <w14:textFill>
            <w14:solidFill>
              <w14:schemeClr w14:val="tx1"/>
            </w14:solidFill>
          </w14:textFill>
        </w:rPr>
        <w:t>有约定外）。如承包人不按要求倾倒淤泥、弃方、建筑垃圾等引起的一切责任（包括违约金、赔偿等）均由承包人</w:t>
      </w:r>
      <w:r>
        <w:rPr>
          <w:rFonts w:ascii="宋体" w:hAnsi="宋体" w:cs="宋体"/>
          <w:color w:val="000000" w:themeColor="text1"/>
          <w:spacing w:val="-3"/>
          <w:sz w:val="24"/>
          <w:highlight w:val="none"/>
          <w14:textFill>
            <w14:solidFill>
              <w14:schemeClr w14:val="tx1"/>
            </w14:solidFill>
          </w14:textFill>
        </w:rPr>
        <w:t>负责。</w:t>
      </w:r>
    </w:p>
    <w:p w14:paraId="5B3F7098">
      <w:pPr>
        <w:spacing w:line="360" w:lineRule="auto"/>
        <w:ind w:left="14" w:right="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（3）发包人原则上与承包人签订合同前应向承包人提供工程款支付担保，具体约</w:t>
      </w:r>
      <w:r>
        <w:rPr>
          <w:rFonts w:ascii="宋体" w:hAnsi="宋体" w:cs="宋体"/>
          <w:color w:val="000000" w:themeColor="text1"/>
          <w:spacing w:val="-4"/>
          <w:sz w:val="24"/>
          <w:highlight w:val="none"/>
          <w14:textFill>
            <w14:solidFill>
              <w14:schemeClr w14:val="tx1"/>
            </w14:solidFill>
          </w14:textFill>
        </w:rPr>
        <w:t>定如下：</w:t>
      </w:r>
    </w:p>
    <w:p w14:paraId="73947239">
      <w:pPr>
        <w:spacing w:line="360" w:lineRule="auto"/>
        <w:ind w:left="8"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①工程款支付担保形式：可采用银行保函、工程担保公司保函、工程保证保险或其</w:t>
      </w:r>
      <w:r>
        <w:rPr>
          <w:rFonts w:ascii="宋体" w:hAnsi="宋体" w:cs="宋体"/>
          <w:color w:val="000000" w:themeColor="text1"/>
          <w:spacing w:val="-1"/>
          <w:sz w:val="24"/>
          <w:highlight w:val="none"/>
          <w14:textFill>
            <w14:solidFill>
              <w14:schemeClr w14:val="tx1"/>
            </w14:solidFill>
          </w14:textFill>
        </w:rPr>
        <w:t>他合法形式，不能以承诺的方式替代工程款支付担保。</w:t>
      </w:r>
    </w:p>
    <w:p w14:paraId="07005661">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②工程款支付担保方式</w:t>
      </w:r>
    </w:p>
    <w:p w14:paraId="0633553F">
      <w:pPr>
        <w:spacing w:line="360" w:lineRule="auto"/>
        <w:ind w:left="5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 非分段滚动方式</w:t>
      </w:r>
    </w:p>
    <w:p w14:paraId="0070D778">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支付担保的金额：中标合同额的</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w:t>
      </w:r>
    </w:p>
    <w:p w14:paraId="25D658D1">
      <w:pPr>
        <w:spacing w:line="360" w:lineRule="auto"/>
        <w:ind w:left="5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 分段滚动方式</w:t>
      </w:r>
    </w:p>
    <w:p w14:paraId="4394C01F">
      <w:pPr>
        <w:spacing w:line="360" w:lineRule="auto"/>
        <w:ind w:left="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A.分段中标合同额的</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%，其中，分段中标合同额=中标合同额÷分段</w:t>
      </w:r>
      <w:r>
        <w:rPr>
          <w:rFonts w:ascii="宋体" w:hAnsi="宋体" w:cs="宋体"/>
          <w:color w:val="000000" w:themeColor="text1"/>
          <w:spacing w:val="-1"/>
          <w:sz w:val="24"/>
          <w:highlight w:val="none"/>
          <w14:textFill>
            <w14:solidFill>
              <w14:schemeClr w14:val="tx1"/>
            </w14:solidFill>
          </w14:textFill>
        </w:rPr>
        <w:t>周期。</w:t>
      </w:r>
    </w:p>
    <w:p w14:paraId="657D00B6">
      <w:pPr>
        <w:spacing w:line="360" w:lineRule="auto"/>
        <w:ind w:left="7" w:right="1" w:firstLine="47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B.分段一般是指将中标合同额按分段周期平均划分，分段周</w:t>
      </w:r>
      <w:r>
        <w:rPr>
          <w:rFonts w:ascii="宋体" w:hAnsi="宋体" w:cs="宋体"/>
          <w:color w:val="000000" w:themeColor="text1"/>
          <w:spacing w:val="-2"/>
          <w:sz w:val="24"/>
          <w:highlight w:val="none"/>
          <w14:textFill>
            <w14:solidFill>
              <w14:schemeClr w14:val="tx1"/>
            </w14:solidFill>
          </w14:textFill>
        </w:rPr>
        <w:t>期为</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（招标人可</w:t>
      </w:r>
      <w:r>
        <w:rPr>
          <w:rFonts w:ascii="宋体" w:hAnsi="宋体" w:cs="宋体"/>
          <w:color w:val="000000" w:themeColor="text1"/>
          <w:spacing w:val="-1"/>
          <w:sz w:val="24"/>
          <w:highlight w:val="none"/>
          <w14:textFill>
            <w14:solidFill>
              <w14:schemeClr w14:val="tx1"/>
            </w14:solidFill>
          </w14:textFill>
        </w:rPr>
        <w:t>选择年，或季度，或月）。</w:t>
      </w:r>
    </w:p>
    <w:p w14:paraId="5C757491">
      <w:pPr>
        <w:spacing w:line="360" w:lineRule="auto"/>
        <w:ind w:left="9"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C.滚动是在承包人、发包人和监理人签字确认分段工程进度款，且发包人支付该分段工程款后，当期工程款支付担保解除，</w:t>
      </w:r>
      <w:r>
        <w:rPr>
          <w:rFonts w:ascii="宋体" w:hAnsi="宋体" w:cs="宋体"/>
          <w:color w:val="000000" w:themeColor="text1"/>
          <w:spacing w:val="-6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自动进入下一期工程款的担保。</w:t>
      </w:r>
    </w:p>
    <w:p w14:paraId="5BF22288">
      <w:pPr>
        <w:spacing w:line="360" w:lineRule="auto"/>
        <w:ind w:left="7"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④工程款支付担保的有效期自发包人与承包人签订的合同生效之日起至发包人根</w:t>
      </w:r>
      <w:r>
        <w:rPr>
          <w:rFonts w:ascii="宋体" w:hAnsi="宋体" w:cs="宋体"/>
          <w:color w:val="000000" w:themeColor="text1"/>
          <w:spacing w:val="-2"/>
          <w:sz w:val="24"/>
          <w:highlight w:val="none"/>
          <w14:textFill>
            <w14:solidFill>
              <w14:schemeClr w14:val="tx1"/>
            </w14:solidFill>
          </w14:textFill>
        </w:rPr>
        <w:t>据本合同约定支付完除质量保证金以外的全部款项之日止。承包人应在发包人退还其履</w:t>
      </w:r>
      <w:r>
        <w:rPr>
          <w:rFonts w:ascii="宋体" w:hAnsi="宋体" w:cs="宋体"/>
          <w:color w:val="000000" w:themeColor="text1"/>
          <w:spacing w:val="-1"/>
          <w:sz w:val="24"/>
          <w:highlight w:val="none"/>
          <w14:textFill>
            <w14:solidFill>
              <w14:schemeClr w14:val="tx1"/>
            </w14:solidFill>
          </w14:textFill>
        </w:rPr>
        <w:t>约保证金时同步一次性向发包人退还工程款支付担保。</w:t>
      </w:r>
    </w:p>
    <w:p w14:paraId="5EE09069">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⑤发包人未按合同约定提供工程款支付担保的责任：</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w:t>
      </w:r>
    </w:p>
    <w:p w14:paraId="59DF3731">
      <w:pPr>
        <w:spacing w:line="360" w:lineRule="auto"/>
        <w:ind w:right="1"/>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（4）发包人应要求承包人在建设过程中对“项目现场管理机构</w:t>
      </w:r>
      <w:r>
        <w:rPr>
          <w:rFonts w:ascii="宋体" w:hAnsi="宋体" w:cs="宋体"/>
          <w:color w:val="000000" w:themeColor="text1"/>
          <w:spacing w:val="-7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”的履约情况每季</w:t>
      </w:r>
    </w:p>
    <w:p w14:paraId="68A47BCB">
      <w:pPr>
        <w:spacing w:line="360" w:lineRule="auto"/>
        <w:rPr>
          <w:rFonts w:hint="eastAsia" w:ascii="宋体" w:hAnsi="宋体" w:cs="宋体"/>
          <w:color w:val="000000" w:themeColor="text1"/>
          <w:sz w:val="24"/>
          <w:highlight w:val="none"/>
          <w14:textFill>
            <w14:solidFill>
              <w14:schemeClr w14:val="tx1"/>
            </w14:solidFill>
          </w14:textFill>
        </w:rPr>
        <w:sectPr>
          <w:headerReference r:id="rId29" w:type="default"/>
          <w:footerReference r:id="rId30" w:type="default"/>
          <w:pgSz w:w="11906" w:h="16839"/>
          <w:pgMar w:top="1182" w:right="1416" w:bottom="1168" w:left="1417" w:header="849" w:footer="934" w:gutter="0"/>
          <w:cols w:space="720" w:num="1"/>
        </w:sectPr>
      </w:pPr>
    </w:p>
    <w:p w14:paraId="15856BF1">
      <w:pPr>
        <w:pStyle w:val="3"/>
        <w:spacing w:line="360" w:lineRule="auto"/>
        <w:rPr>
          <w:color w:val="000000" w:themeColor="text1"/>
          <w:highlight w:val="none"/>
          <w14:textFill>
            <w14:solidFill>
              <w14:schemeClr w14:val="tx1"/>
            </w14:solidFill>
          </w14:textFill>
        </w:rPr>
      </w:pPr>
    </w:p>
    <w:p w14:paraId="56145239">
      <w:pPr>
        <w:spacing w:line="360" w:lineRule="auto"/>
        <w:ind w:left="7" w:right="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度/半年进行监管和支持，重要事项（主要包括主要负</w:t>
      </w:r>
      <w:r>
        <w:rPr>
          <w:rFonts w:ascii="宋体" w:hAnsi="宋体" w:cs="宋体"/>
          <w:color w:val="000000" w:themeColor="text1"/>
          <w:spacing w:val="1"/>
          <w:sz w:val="24"/>
          <w:highlight w:val="none"/>
          <w14:textFill>
            <w14:solidFill>
              <w14:schemeClr w14:val="tx1"/>
            </w14:solidFill>
          </w14:textFill>
        </w:rPr>
        <w:t>责人员履职情况、质量安全保证</w:t>
      </w:r>
      <w:r>
        <w:rPr>
          <w:rFonts w:ascii="宋体" w:hAnsi="宋体" w:cs="宋体"/>
          <w:color w:val="000000" w:themeColor="text1"/>
          <w:spacing w:val="-2"/>
          <w:sz w:val="24"/>
          <w:highlight w:val="none"/>
          <w14:textFill>
            <w14:solidFill>
              <w14:schemeClr w14:val="tx1"/>
            </w14:solidFill>
          </w14:textFill>
        </w:rPr>
        <w:t>体系运转情况、施工组织总体策划、现场施工质量安全情况、危大工程施工情况、变更申报及过程结算开展情况等）提级管理，应设立专项管理工作，并可单独列支相关“专项费用</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”，应对施工单位项目部的履约情况进行检查</w:t>
      </w:r>
      <w:r>
        <w:rPr>
          <w:rFonts w:ascii="宋体" w:hAnsi="宋体" w:cs="宋体"/>
          <w:color w:val="000000" w:themeColor="text1"/>
          <w:spacing w:val="-3"/>
          <w:sz w:val="24"/>
          <w:highlight w:val="none"/>
          <w14:textFill>
            <w14:solidFill>
              <w14:schemeClr w14:val="tx1"/>
            </w14:solidFill>
          </w14:textFill>
        </w:rPr>
        <w:t>指导，将承包人的履约情况纳入其</w:t>
      </w:r>
      <w:r>
        <w:rPr>
          <w:rFonts w:ascii="宋体" w:hAnsi="宋体" w:cs="宋体"/>
          <w:color w:val="000000" w:themeColor="text1"/>
          <w:spacing w:val="-2"/>
          <w:sz w:val="24"/>
          <w:highlight w:val="none"/>
          <w14:textFill>
            <w14:solidFill>
              <w14:schemeClr w14:val="tx1"/>
            </w14:solidFill>
          </w14:textFill>
        </w:rPr>
        <w:t>年度信用管理。</w:t>
      </w:r>
    </w:p>
    <w:p w14:paraId="023ED906">
      <w:pPr>
        <w:spacing w:line="360" w:lineRule="auto"/>
        <w:ind w:left="12" w:right="80"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（5）发包人在开工后按广东省《公路工程造价管理指南》的规定建立造价管理台</w:t>
      </w:r>
      <w:r>
        <w:rPr>
          <w:rFonts w:ascii="宋体" w:hAnsi="宋体" w:cs="宋体"/>
          <w:color w:val="000000" w:themeColor="text1"/>
          <w:spacing w:val="-1"/>
          <w:sz w:val="24"/>
          <w:highlight w:val="none"/>
          <w14:textFill>
            <w14:solidFill>
              <w14:schemeClr w14:val="tx1"/>
            </w14:solidFill>
          </w14:textFill>
        </w:rPr>
        <w:t>账，并在建设过程中汇总，定期维护、及时更新和动态管理。</w:t>
      </w:r>
    </w:p>
    <w:p w14:paraId="6ED9DE69">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159" w:name="_Toc1556"/>
      <w:bookmarkStart w:id="160" w:name="_Toc26019"/>
      <w:r>
        <w:rPr>
          <w:rFonts w:ascii="宋体" w:hAnsi="宋体" w:cs="宋体"/>
          <w:b/>
          <w:bCs/>
          <w:color w:val="000000" w:themeColor="text1"/>
          <w:spacing w:val="-5"/>
          <w:sz w:val="24"/>
          <w:highlight w:val="none"/>
          <w14:textFill>
            <w14:solidFill>
              <w14:schemeClr w14:val="tx1"/>
            </w14:solidFill>
          </w14:textFill>
        </w:rPr>
        <w:t>3.监理人</w:t>
      </w:r>
      <w:bookmarkEnd w:id="159"/>
      <w:bookmarkEnd w:id="160"/>
    </w:p>
    <w:p w14:paraId="6030ED77">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61" w:name="_Toc5272"/>
      <w:bookmarkStart w:id="162" w:name="_Toc28497"/>
      <w:r>
        <w:rPr>
          <w:rFonts w:ascii="宋体" w:hAnsi="宋体" w:cs="宋体"/>
          <w:color w:val="000000" w:themeColor="text1"/>
          <w:spacing w:val="-2"/>
          <w:sz w:val="24"/>
          <w:highlight w:val="none"/>
          <w14:textFill>
            <w14:solidFill>
              <w14:schemeClr w14:val="tx1"/>
            </w14:solidFill>
          </w14:textFill>
        </w:rPr>
        <w:t>3.1 监理人的职责和权力</w:t>
      </w:r>
      <w:bookmarkEnd w:id="161"/>
      <w:bookmarkEnd w:id="162"/>
    </w:p>
    <w:p w14:paraId="15726818">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3.1.1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31CFCCD3">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3.1.1（6）本项细化为：</w:t>
      </w:r>
    </w:p>
    <w:p w14:paraId="4AC867CC">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（6）根据第 15.3 款发出的变更指示，均需要经发包人事先批准。</w:t>
      </w:r>
    </w:p>
    <w:p w14:paraId="33234A4C">
      <w:pPr>
        <w:spacing w:line="360" w:lineRule="auto"/>
        <w:ind w:left="9" w:right="72"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增加以下内容：监理人关于本合同段工程的有关决定，都必须抄送发包人。发包人</w:t>
      </w:r>
      <w:r>
        <w:rPr>
          <w:rFonts w:ascii="宋体" w:hAnsi="宋体" w:cs="宋体"/>
          <w:color w:val="000000" w:themeColor="text1"/>
          <w:spacing w:val="-1"/>
          <w:sz w:val="24"/>
          <w:highlight w:val="none"/>
          <w14:textFill>
            <w14:solidFill>
              <w14:schemeClr w14:val="tx1"/>
            </w14:solidFill>
          </w14:textFill>
        </w:rPr>
        <w:t>和承包人双方对工程施工的有关协议或决定，必须抄送</w:t>
      </w:r>
      <w:r>
        <w:rPr>
          <w:rFonts w:ascii="宋体" w:hAnsi="宋体" w:cs="宋体"/>
          <w:color w:val="000000" w:themeColor="text1"/>
          <w:spacing w:val="-2"/>
          <w:sz w:val="24"/>
          <w:highlight w:val="none"/>
          <w14:textFill>
            <w14:solidFill>
              <w14:schemeClr w14:val="tx1"/>
            </w14:solidFill>
          </w14:textFill>
        </w:rPr>
        <w:t>监理人。监理人涉及工程变更、工程量增减、议价、索赔、改变工期、改变技术标准、改变重大施工技术方案，以及与</w:t>
      </w:r>
      <w:r>
        <w:rPr>
          <w:rFonts w:ascii="宋体" w:hAnsi="宋体" w:cs="宋体"/>
          <w:color w:val="000000" w:themeColor="text1"/>
          <w:sz w:val="24"/>
          <w:highlight w:val="none"/>
          <w14:textFill>
            <w14:solidFill>
              <w14:schemeClr w14:val="tx1"/>
            </w14:solidFill>
          </w14:textFill>
        </w:rPr>
        <w:t>费用有关的指令，均需事先与发包人协商，发</w:t>
      </w:r>
      <w:r>
        <w:rPr>
          <w:rFonts w:ascii="宋体" w:hAnsi="宋体" w:cs="宋体"/>
          <w:color w:val="000000" w:themeColor="text1"/>
          <w:spacing w:val="-1"/>
          <w:sz w:val="24"/>
          <w:highlight w:val="none"/>
          <w14:textFill>
            <w14:solidFill>
              <w14:schemeClr w14:val="tx1"/>
            </w14:solidFill>
          </w14:textFill>
        </w:rPr>
        <w:t>包人书面认可后方能生效。</w:t>
      </w:r>
    </w:p>
    <w:p w14:paraId="7AD285E9">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3.1.2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5EB9D8E3">
      <w:pPr>
        <w:spacing w:line="360" w:lineRule="auto"/>
        <w:ind w:left="8" w:right="8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除本合同规定必须经发包人另行批准的事项外，如果监理人已经行使了上述职权，都应认为已从发包人处取得了必要的批准。但如果监理人的某些决定不妥或有错误，不</w:t>
      </w:r>
      <w:r>
        <w:rPr>
          <w:rFonts w:ascii="宋体" w:hAnsi="宋体" w:cs="宋体"/>
          <w:color w:val="000000" w:themeColor="text1"/>
          <w:spacing w:val="-1"/>
          <w:sz w:val="24"/>
          <w:highlight w:val="none"/>
          <w14:textFill>
            <w14:solidFill>
              <w14:schemeClr w14:val="tx1"/>
            </w14:solidFill>
          </w14:textFill>
        </w:rPr>
        <w:t>妨碍政府监督部门或发包人事后进行撤销或变更。</w:t>
      </w:r>
    </w:p>
    <w:p w14:paraId="28DDE05E">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本条增加第 3.6 款和第</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3.7</w:t>
      </w:r>
      <w:r>
        <w:rPr>
          <w:rFonts w:ascii="宋体" w:hAnsi="宋体" w:cs="宋体"/>
          <w:color w:val="000000" w:themeColor="text1"/>
          <w:spacing w:val="1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w:t>
      </w:r>
    </w:p>
    <w:p w14:paraId="66DC9530">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63" w:name="_Toc31534"/>
      <w:bookmarkStart w:id="164" w:name="_Toc25181"/>
      <w:r>
        <w:rPr>
          <w:rFonts w:ascii="宋体" w:hAnsi="宋体" w:cs="宋体"/>
          <w:color w:val="000000" w:themeColor="text1"/>
          <w:spacing w:val="-1"/>
          <w:sz w:val="24"/>
          <w:highlight w:val="none"/>
          <w14:textFill>
            <w14:solidFill>
              <w14:schemeClr w14:val="tx1"/>
            </w14:solidFill>
          </w14:textFill>
        </w:rPr>
        <w:t>3.6 发包人、监理人、试验人、承包人、风险管理等单位的关系</w:t>
      </w:r>
      <w:bookmarkEnd w:id="163"/>
      <w:bookmarkEnd w:id="164"/>
    </w:p>
    <w:p w14:paraId="70347C41">
      <w:pPr>
        <w:spacing w:line="360" w:lineRule="auto"/>
        <w:ind w:left="7"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3.6.1</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在整个建设过程中，发包人与监理人、试验人、</w:t>
      </w:r>
      <w:r>
        <w:rPr>
          <w:rFonts w:ascii="宋体" w:hAnsi="宋体" w:cs="宋体"/>
          <w:color w:val="000000" w:themeColor="text1"/>
          <w:spacing w:val="-1"/>
          <w:sz w:val="24"/>
          <w:highlight w:val="none"/>
          <w14:textFill>
            <w14:solidFill>
              <w14:schemeClr w14:val="tx1"/>
            </w14:solidFill>
          </w14:textFill>
        </w:rPr>
        <w:t>第三方监测、风险管理单位</w:t>
      </w:r>
      <w:r>
        <w:rPr>
          <w:rFonts w:ascii="宋体" w:hAnsi="宋体" w:cs="宋体"/>
          <w:color w:val="000000" w:themeColor="text1"/>
          <w:spacing w:val="-6"/>
          <w:sz w:val="24"/>
          <w:highlight w:val="none"/>
          <w14:textFill>
            <w14:solidFill>
              <w14:schemeClr w14:val="tx1"/>
            </w14:solidFill>
          </w14:textFill>
        </w:rPr>
        <w:t>之间是委托与被委托的关系，同时也是建设命运共同体，努力营造“共建、共管、共创、共享</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”的建设环境；监理人与承包人是监理与被监理</w:t>
      </w:r>
      <w:r>
        <w:rPr>
          <w:rFonts w:ascii="宋体" w:hAnsi="宋体" w:cs="宋体"/>
          <w:color w:val="000000" w:themeColor="text1"/>
          <w:spacing w:val="-7"/>
          <w:sz w:val="24"/>
          <w:highlight w:val="none"/>
          <w14:textFill>
            <w14:solidFill>
              <w14:schemeClr w14:val="tx1"/>
            </w14:solidFill>
          </w14:textFill>
        </w:rPr>
        <w:t>的关系；承包人在项目实施过程中，</w:t>
      </w:r>
      <w:r>
        <w:rPr>
          <w:rFonts w:ascii="宋体" w:hAnsi="宋体" w:cs="宋体"/>
          <w:color w:val="000000" w:themeColor="text1"/>
          <w:spacing w:val="-2"/>
          <w:sz w:val="24"/>
          <w:highlight w:val="none"/>
          <w14:textFill>
            <w14:solidFill>
              <w14:schemeClr w14:val="tx1"/>
            </w14:solidFill>
          </w14:textFill>
        </w:rPr>
        <w:t>必须接受发包人的统一管理，同时应按合同规定接受监理人和试验人的监督和管理。任何与施工承包合同有关的施工活动，都必须同时经发包人或发包人委托的监理人审查认定，认为符合合同规定，发包人才同意计量。承包人应服从发包人的统一协调，积极配</w:t>
      </w:r>
      <w:r>
        <w:rPr>
          <w:rFonts w:ascii="宋体" w:hAnsi="宋体" w:cs="宋体"/>
          <w:color w:val="000000" w:themeColor="text1"/>
          <w:spacing w:val="-1"/>
          <w:sz w:val="24"/>
          <w:highlight w:val="none"/>
          <w14:textFill>
            <w14:solidFill>
              <w14:schemeClr w14:val="tx1"/>
            </w14:solidFill>
          </w14:textFill>
        </w:rPr>
        <w:t>合发包人委托的单位开展工作，相关费用已包含在合同总价中。</w:t>
      </w:r>
    </w:p>
    <w:p w14:paraId="022AD01F">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3.6.2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本项目工程实行承包人自检、社会监理（含</w:t>
      </w:r>
      <w:r>
        <w:rPr>
          <w:rFonts w:ascii="宋体" w:hAnsi="宋体" w:cs="宋体"/>
          <w:color w:val="000000" w:themeColor="text1"/>
          <w:spacing w:val="-1"/>
          <w:sz w:val="24"/>
          <w:highlight w:val="none"/>
          <w14:textFill>
            <w14:solidFill>
              <w14:schemeClr w14:val="tx1"/>
            </w14:solidFill>
          </w14:textFill>
        </w:rPr>
        <w:t>试验人）、发包人管理和政府监</w:t>
      </w:r>
    </w:p>
    <w:p w14:paraId="3DA6C5F4">
      <w:pPr>
        <w:spacing w:line="360" w:lineRule="auto"/>
        <w:rPr>
          <w:rFonts w:hint="eastAsia" w:ascii="宋体" w:hAnsi="宋体" w:cs="宋体"/>
          <w:color w:val="000000" w:themeColor="text1"/>
          <w:sz w:val="24"/>
          <w:highlight w:val="none"/>
          <w14:textFill>
            <w14:solidFill>
              <w14:schemeClr w14:val="tx1"/>
            </w14:solidFill>
          </w14:textFill>
        </w:rPr>
        <w:sectPr>
          <w:headerReference r:id="rId31" w:type="default"/>
          <w:footerReference r:id="rId32" w:type="default"/>
          <w:pgSz w:w="11906" w:h="16839"/>
          <w:pgMar w:top="1182" w:right="1337" w:bottom="1168" w:left="1417" w:header="849" w:footer="934" w:gutter="0"/>
          <w:cols w:space="720" w:num="1"/>
        </w:sectPr>
      </w:pPr>
    </w:p>
    <w:p w14:paraId="7E5A81C9">
      <w:pPr>
        <w:pStyle w:val="3"/>
        <w:spacing w:line="360" w:lineRule="auto"/>
        <w:rPr>
          <w:color w:val="000000" w:themeColor="text1"/>
          <w:highlight w:val="none"/>
          <w14:textFill>
            <w14:solidFill>
              <w14:schemeClr w14:val="tx1"/>
            </w14:solidFill>
          </w14:textFill>
        </w:rPr>
      </w:pPr>
    </w:p>
    <w:p w14:paraId="502DC511">
      <w:pPr>
        <w:spacing w:line="360" w:lineRule="auto"/>
        <w:ind w:left="7" w:right="1" w:firstLine="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督的质量保证体系。对工程质量出现问题而降低质量标准或返工而造成的一切经济和工期损失，由承包人承担，并视为承包人违约；监理人根据监理合同规定负监理不周的责</w:t>
      </w:r>
      <w:r>
        <w:rPr>
          <w:rFonts w:ascii="宋体" w:hAnsi="宋体" w:cs="宋体"/>
          <w:color w:val="000000" w:themeColor="text1"/>
          <w:sz w:val="24"/>
          <w:highlight w:val="none"/>
          <w14:textFill>
            <w14:solidFill>
              <w14:schemeClr w14:val="tx1"/>
            </w14:solidFill>
          </w14:textFill>
        </w:rPr>
        <w:t>任。监理人对某一分部或分项工程的认可不影响政府机构或</w:t>
      </w:r>
      <w:r>
        <w:rPr>
          <w:rFonts w:ascii="宋体" w:hAnsi="宋体" w:cs="宋体"/>
          <w:color w:val="000000" w:themeColor="text1"/>
          <w:spacing w:val="-1"/>
          <w:sz w:val="24"/>
          <w:highlight w:val="none"/>
          <w14:textFill>
            <w14:solidFill>
              <w14:schemeClr w14:val="tx1"/>
            </w14:solidFill>
          </w14:textFill>
        </w:rPr>
        <w:t>发包人在事后的否定。</w:t>
      </w:r>
    </w:p>
    <w:p w14:paraId="54DD09B9">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65" w:name="_Toc15207"/>
      <w:bookmarkStart w:id="166" w:name="_Toc378"/>
      <w:r>
        <w:rPr>
          <w:rFonts w:ascii="宋体" w:hAnsi="宋体" w:cs="宋体"/>
          <w:color w:val="000000" w:themeColor="text1"/>
          <w:spacing w:val="-1"/>
          <w:sz w:val="24"/>
          <w:highlight w:val="none"/>
          <w14:textFill>
            <w14:solidFill>
              <w14:schemeClr w14:val="tx1"/>
            </w14:solidFill>
          </w14:textFill>
        </w:rPr>
        <w:t>3.7 发包人代表（或称发包人驻地代表）</w:t>
      </w:r>
      <w:bookmarkEnd w:id="165"/>
      <w:bookmarkEnd w:id="166"/>
    </w:p>
    <w:p w14:paraId="0E438A93">
      <w:pPr>
        <w:spacing w:line="360" w:lineRule="auto"/>
        <w:ind w:left="9"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3.7.1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发包人代表根据发包人的授权，代表</w:t>
      </w:r>
      <w:r>
        <w:rPr>
          <w:rFonts w:ascii="宋体" w:hAnsi="宋体" w:cs="宋体"/>
          <w:color w:val="000000" w:themeColor="text1"/>
          <w:spacing w:val="-1"/>
          <w:sz w:val="24"/>
          <w:highlight w:val="none"/>
          <w14:textFill>
            <w14:solidFill>
              <w14:schemeClr w14:val="tx1"/>
            </w14:solidFill>
          </w14:textFill>
        </w:rPr>
        <w:t>发包人履行项目管理和控制职责，具体职责和权限由发包人另行明确。</w:t>
      </w:r>
    </w:p>
    <w:p w14:paraId="78CA9CAB">
      <w:pPr>
        <w:spacing w:line="360" w:lineRule="auto"/>
        <w:ind w:left="13"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3.7.2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发包人代表对承包人的现场工程质量</w:t>
      </w:r>
      <w:r>
        <w:rPr>
          <w:rFonts w:ascii="宋体" w:hAnsi="宋体" w:cs="宋体"/>
          <w:color w:val="000000" w:themeColor="text1"/>
          <w:spacing w:val="-1"/>
          <w:sz w:val="24"/>
          <w:highlight w:val="none"/>
          <w14:textFill>
            <w14:solidFill>
              <w14:schemeClr w14:val="tx1"/>
            </w14:solidFill>
          </w14:textFill>
        </w:rPr>
        <w:t>、进度、安全、文明环保等进行检查和督导，并有权要求承包人对存在问题进行整改。</w:t>
      </w:r>
    </w:p>
    <w:p w14:paraId="512098AF">
      <w:pPr>
        <w:spacing w:line="360" w:lineRule="auto"/>
        <w:ind w:left="488"/>
        <w:outlineLvl w:val="1"/>
        <w:rPr>
          <w:rFonts w:hint="eastAsia" w:ascii="宋体" w:hAnsi="宋体" w:cs="宋体"/>
          <w:color w:val="000000" w:themeColor="text1"/>
          <w:sz w:val="24"/>
          <w:highlight w:val="none"/>
          <w14:textFill>
            <w14:solidFill>
              <w14:schemeClr w14:val="tx1"/>
            </w14:solidFill>
          </w14:textFill>
        </w:rPr>
      </w:pPr>
      <w:bookmarkStart w:id="167" w:name="_Toc12066"/>
      <w:bookmarkStart w:id="168" w:name="_Toc12908"/>
      <w:r>
        <w:rPr>
          <w:rFonts w:ascii="宋体" w:hAnsi="宋体" w:cs="宋体"/>
          <w:b/>
          <w:bCs/>
          <w:color w:val="000000" w:themeColor="text1"/>
          <w:spacing w:val="-4"/>
          <w:sz w:val="24"/>
          <w:highlight w:val="none"/>
          <w14:textFill>
            <w14:solidFill>
              <w14:schemeClr w14:val="tx1"/>
            </w14:solidFill>
          </w14:textFill>
        </w:rPr>
        <w:t>4.承包人</w:t>
      </w:r>
      <w:bookmarkEnd w:id="167"/>
      <w:bookmarkEnd w:id="168"/>
    </w:p>
    <w:p w14:paraId="411DD748">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承包人的一般义务</w:t>
      </w:r>
    </w:p>
    <w:p w14:paraId="5B8FEF72">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4.1.2</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依法纳税</w:t>
      </w:r>
    </w:p>
    <w:p w14:paraId="7ECF70EC">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31BB4D0F">
      <w:pPr>
        <w:spacing w:line="360" w:lineRule="auto"/>
        <w:ind w:left="7"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8"/>
          <w:sz w:val="24"/>
          <w:highlight w:val="none"/>
          <w14:textFill>
            <w14:solidFill>
              <w14:schemeClr w14:val="tx1"/>
            </w14:solidFill>
          </w14:textFill>
        </w:rPr>
        <w:t>省、市和地方有关单位要收取的税费和规费（包括但不限于按交通运</w:t>
      </w:r>
      <w:r>
        <w:rPr>
          <w:rFonts w:ascii="宋体" w:hAnsi="宋体" w:cs="宋体"/>
          <w:color w:val="000000" w:themeColor="text1"/>
          <w:spacing w:val="-9"/>
          <w:sz w:val="24"/>
          <w:highlight w:val="none"/>
          <w14:textFill>
            <w14:solidFill>
              <w14:schemeClr w14:val="tx1"/>
            </w14:solidFill>
          </w14:textFill>
        </w:rPr>
        <w:t>输部公布的《公</w:t>
      </w:r>
      <w:r>
        <w:rPr>
          <w:rFonts w:ascii="宋体" w:hAnsi="宋体" w:cs="宋体"/>
          <w:color w:val="000000" w:themeColor="text1"/>
          <w:sz w:val="24"/>
          <w:highlight w:val="none"/>
          <w14:textFill>
            <w14:solidFill>
              <w14:schemeClr w14:val="tx1"/>
            </w14:solidFill>
          </w14:textFill>
        </w:rPr>
        <w:t>路工程建设项目概算预算编制办法》</w:t>
      </w:r>
      <w:r>
        <w:rPr>
          <w:rFonts w:ascii="宋体" w:hAnsi="宋体" w:cs="宋体"/>
          <w:color w:val="000000" w:themeColor="text1"/>
          <w:spacing w:val="-5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(JTG 3830-2018)规定的建筑安装工程造价内的增</w:t>
      </w:r>
      <w:r>
        <w:rPr>
          <w:rFonts w:ascii="宋体" w:hAnsi="宋体" w:cs="宋体"/>
          <w:color w:val="000000" w:themeColor="text1"/>
          <w:spacing w:val="-2"/>
          <w:sz w:val="24"/>
          <w:highlight w:val="none"/>
          <w14:textFill>
            <w14:solidFill>
              <w14:schemeClr w14:val="tx1"/>
            </w14:solidFill>
          </w14:textFill>
        </w:rPr>
        <w:t>值税、城市维护建设税、教育费附加和地方教育附加税、堤围防护费等</w:t>
      </w:r>
      <w:r>
        <w:rPr>
          <w:rFonts w:ascii="宋体" w:hAnsi="宋体" w:cs="宋体"/>
          <w:color w:val="000000" w:themeColor="text1"/>
          <w:spacing w:val="8"/>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已包含</w:t>
      </w:r>
      <w:r>
        <w:rPr>
          <w:rFonts w:ascii="宋体" w:hAnsi="宋体" w:cs="宋体"/>
          <w:color w:val="000000" w:themeColor="text1"/>
          <w:spacing w:val="-3"/>
          <w:sz w:val="24"/>
          <w:highlight w:val="none"/>
          <w14:textFill>
            <w14:solidFill>
              <w14:schemeClr w14:val="tx1"/>
            </w14:solidFill>
          </w14:textFill>
        </w:rPr>
        <w:t>在工</w:t>
      </w:r>
      <w:r>
        <w:rPr>
          <w:rFonts w:ascii="宋体" w:hAnsi="宋体" w:cs="宋体"/>
          <w:color w:val="000000" w:themeColor="text1"/>
          <w:spacing w:val="-1"/>
          <w:sz w:val="24"/>
          <w:highlight w:val="none"/>
          <w14:textFill>
            <w14:solidFill>
              <w14:schemeClr w14:val="tx1"/>
            </w14:solidFill>
          </w14:textFill>
        </w:rPr>
        <w:t>程量清单单价及总价中，由承包人负责缴纳并承担所需费用。</w:t>
      </w:r>
    </w:p>
    <w:p w14:paraId="1BA2700B">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4.1.4 对施工作业和施工方法的完备性负责</w:t>
      </w:r>
    </w:p>
    <w:p w14:paraId="3A04516B">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7F5F60B1">
      <w:pPr>
        <w:spacing w:line="360" w:lineRule="auto"/>
        <w:ind w:left="7"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合同约定的工作内容和施工进度要求，根据《广东省高速公路工程施工组织设计和施工方案标准化管理指南》编制施工组织设计和施工方案，并对所有施工作业和施工方案的完备性和安全可靠性负责。承包人应对施工组织设计和施工方案开展内</w:t>
      </w:r>
      <w:r>
        <w:rPr>
          <w:rFonts w:ascii="宋体" w:hAnsi="宋体" w:cs="宋体"/>
          <w:color w:val="000000" w:themeColor="text1"/>
          <w:spacing w:val="-1"/>
          <w:sz w:val="24"/>
          <w:highlight w:val="none"/>
          <w14:textFill>
            <w14:solidFill>
              <w14:schemeClr w14:val="tx1"/>
            </w14:solidFill>
          </w14:textFill>
        </w:rPr>
        <w:t>部审查、专家论证（必要时）和报批工作。</w:t>
      </w:r>
    </w:p>
    <w:p w14:paraId="070C11DC">
      <w:pPr>
        <w:spacing w:line="360"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承包人根据自身施工需要，对设计图纸中的施工方案或施工措施进行更改或重新设计，不构成本合同的变更，承包人应承担由此带来的风险，相关费用已包含在合同价格</w:t>
      </w:r>
      <w:r>
        <w:rPr>
          <w:rFonts w:ascii="宋体" w:hAnsi="宋体" w:cs="宋体"/>
          <w:color w:val="000000" w:themeColor="text1"/>
          <w:spacing w:val="-1"/>
          <w:sz w:val="24"/>
          <w:highlight w:val="none"/>
          <w14:textFill>
            <w14:solidFill>
              <w14:schemeClr w14:val="tx1"/>
            </w14:solidFill>
          </w14:textFill>
        </w:rPr>
        <w:t>中，发包人不另行支付。</w:t>
      </w:r>
    </w:p>
    <w:p w14:paraId="4D2FC29F">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4.1.5</w:t>
      </w:r>
      <w:r>
        <w:rPr>
          <w:rFonts w:ascii="宋体" w:hAnsi="宋体" w:cs="宋体"/>
          <w:color w:val="000000" w:themeColor="text1"/>
          <w:spacing w:val="-3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保证工程施工和人员的安全</w:t>
      </w:r>
    </w:p>
    <w:p w14:paraId="2D9EE3D8">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1C327419">
      <w:pPr>
        <w:spacing w:line="360" w:lineRule="auto"/>
        <w:ind w:left="7"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承包人在施工中必须按相关规定和标准设置安全标志、标牌等必要的安全设施，否则发包人将委托其他单位制作或设置，发生的费用从安全生产费中扣除，不足部分从工程款中扣除。</w:t>
      </w:r>
    </w:p>
    <w:p w14:paraId="076AEB95">
      <w:pPr>
        <w:spacing w:line="360" w:lineRule="auto"/>
        <w:rPr>
          <w:rFonts w:hint="eastAsia" w:ascii="宋体" w:hAnsi="宋体" w:cs="宋体"/>
          <w:color w:val="000000" w:themeColor="text1"/>
          <w:sz w:val="24"/>
          <w:highlight w:val="none"/>
          <w14:textFill>
            <w14:solidFill>
              <w14:schemeClr w14:val="tx1"/>
            </w14:solidFill>
          </w14:textFill>
        </w:rPr>
        <w:sectPr>
          <w:headerReference r:id="rId33" w:type="default"/>
          <w:footerReference r:id="rId34" w:type="default"/>
          <w:pgSz w:w="11906" w:h="16839"/>
          <w:pgMar w:top="1182" w:right="1416" w:bottom="1168" w:left="1417" w:header="849" w:footer="934" w:gutter="0"/>
          <w:cols w:space="720" w:num="1"/>
        </w:sectPr>
      </w:pPr>
    </w:p>
    <w:p w14:paraId="35406010">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4.1.7</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避免施工对公众与他人的利益造成损害</w:t>
      </w:r>
    </w:p>
    <w:p w14:paraId="19365D0B">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02848CDF">
      <w:pPr>
        <w:spacing w:line="360" w:lineRule="auto"/>
        <w:ind w:left="10" w:right="80"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(1)承包人在进行合同约定的各项工作时</w:t>
      </w:r>
      <w:r>
        <w:rPr>
          <w:rFonts w:ascii="宋体" w:hAnsi="宋体" w:cs="宋体"/>
          <w:color w:val="000000" w:themeColor="text1"/>
          <w:sz w:val="24"/>
          <w:highlight w:val="none"/>
          <w14:textFill>
            <w14:solidFill>
              <w14:schemeClr w14:val="tx1"/>
            </w14:solidFill>
          </w14:textFill>
        </w:rPr>
        <w:t>，不得侵害发包人与他人使用公用道路、</w:t>
      </w:r>
      <w:r>
        <w:rPr>
          <w:rFonts w:ascii="宋体" w:hAnsi="宋体" w:cs="宋体"/>
          <w:color w:val="000000" w:themeColor="text1"/>
          <w:spacing w:val="-2"/>
          <w:sz w:val="24"/>
          <w:highlight w:val="none"/>
          <w14:textFill>
            <w14:solidFill>
              <w14:schemeClr w14:val="tx1"/>
            </w14:solidFill>
          </w14:textFill>
        </w:rPr>
        <w:t>水源、市政管网等公共设施的权利，避免对邻近的公共设施产生干扰。承包人占用或使</w:t>
      </w:r>
      <w:r>
        <w:rPr>
          <w:rFonts w:ascii="宋体" w:hAnsi="宋体" w:cs="宋体"/>
          <w:color w:val="000000" w:themeColor="text1"/>
          <w:spacing w:val="-1"/>
          <w:sz w:val="24"/>
          <w:highlight w:val="none"/>
          <w14:textFill>
            <w14:solidFill>
              <w14:schemeClr w14:val="tx1"/>
            </w14:solidFill>
          </w14:textFill>
        </w:rPr>
        <w:t>用他人的施工场地，影响他人作业或生活的，应承担相应责任。</w:t>
      </w:r>
    </w:p>
    <w:p w14:paraId="285EE416">
      <w:pPr>
        <w:spacing w:line="360" w:lineRule="auto"/>
        <w:ind w:left="7"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(2)承包人对实施和完成本合同工程及缺</w:t>
      </w:r>
      <w:r>
        <w:rPr>
          <w:rFonts w:ascii="宋体" w:hAnsi="宋体" w:cs="宋体"/>
          <w:color w:val="000000" w:themeColor="text1"/>
          <w:sz w:val="24"/>
          <w:highlight w:val="none"/>
          <w14:textFill>
            <w14:solidFill>
              <w14:schemeClr w14:val="tx1"/>
            </w14:solidFill>
          </w14:textFill>
        </w:rPr>
        <w:t>陷修复工程中的一切施工作业（尤其是爆</w:t>
      </w:r>
      <w:r>
        <w:rPr>
          <w:rFonts w:ascii="宋体" w:hAnsi="宋体" w:cs="宋体"/>
          <w:color w:val="000000" w:themeColor="text1"/>
          <w:spacing w:val="-6"/>
          <w:sz w:val="24"/>
          <w:highlight w:val="none"/>
          <w14:textFill>
            <w14:solidFill>
              <w14:schemeClr w14:val="tx1"/>
            </w14:solidFill>
          </w14:textFill>
        </w:rPr>
        <w:t>破作业、钻孔桩施工、路基路面碾压等存在震动的施工作业以及需要临时改变当地交通、</w:t>
      </w:r>
      <w:r>
        <w:rPr>
          <w:rFonts w:ascii="宋体" w:hAnsi="宋体" w:cs="宋体"/>
          <w:color w:val="000000" w:themeColor="text1"/>
          <w:spacing w:val="-4"/>
          <w:sz w:val="24"/>
          <w:highlight w:val="none"/>
          <w14:textFill>
            <w14:solidFill>
              <w14:schemeClr w14:val="tx1"/>
            </w14:solidFill>
          </w14:textFill>
        </w:rPr>
        <w:t>灌溉、排水现状的施工作业</w:t>
      </w:r>
      <w:r>
        <w:rPr>
          <w:rFonts w:ascii="宋体" w:hAnsi="宋体" w:cs="宋体"/>
          <w:color w:val="000000" w:themeColor="text1"/>
          <w:spacing w:val="-35"/>
          <w:sz w:val="24"/>
          <w:highlight w:val="none"/>
          <w14:textFill>
            <w14:solidFill>
              <w14:schemeClr w14:val="tx1"/>
            </w14:solidFill>
          </w14:textFill>
        </w:rPr>
        <w:t>），</w:t>
      </w:r>
      <w:r>
        <w:rPr>
          <w:rFonts w:ascii="宋体" w:hAnsi="宋体" w:cs="宋体"/>
          <w:color w:val="000000" w:themeColor="text1"/>
          <w:spacing w:val="-4"/>
          <w:sz w:val="24"/>
          <w:highlight w:val="none"/>
          <w14:textFill>
            <w14:solidFill>
              <w14:schemeClr w14:val="tx1"/>
            </w14:solidFill>
          </w14:textFill>
        </w:rPr>
        <w:t>有责任采取足够的预防措施，以保证不影响临近建筑物、</w:t>
      </w:r>
      <w:r>
        <w:rPr>
          <w:rFonts w:ascii="宋体" w:hAnsi="宋体" w:cs="宋体"/>
          <w:color w:val="000000" w:themeColor="text1"/>
          <w:spacing w:val="-2"/>
          <w:sz w:val="24"/>
          <w:highlight w:val="none"/>
          <w14:textFill>
            <w14:solidFill>
              <w14:schemeClr w14:val="tx1"/>
            </w14:solidFill>
          </w14:textFill>
        </w:rPr>
        <w:t>构造物的安全与正常使用，不对群众的财产造成损失，也不干扰群众的生产、生活和通</w:t>
      </w:r>
      <w:r>
        <w:rPr>
          <w:rFonts w:ascii="宋体" w:hAnsi="宋体" w:cs="宋体"/>
          <w:color w:val="000000" w:themeColor="text1"/>
          <w:spacing w:val="-4"/>
          <w:sz w:val="24"/>
          <w:highlight w:val="none"/>
          <w14:textFill>
            <w14:solidFill>
              <w14:schemeClr w14:val="tx1"/>
            </w14:solidFill>
          </w14:textFill>
        </w:rPr>
        <w:t>行方便（难以避免的一定程度的干扰除外</w:t>
      </w:r>
      <w:r>
        <w:rPr>
          <w:rFonts w:ascii="宋体" w:hAnsi="宋体" w:cs="宋体"/>
          <w:color w:val="000000" w:themeColor="text1"/>
          <w:spacing w:val="-27"/>
          <w:sz w:val="24"/>
          <w:highlight w:val="none"/>
          <w14:textFill>
            <w14:solidFill>
              <w14:schemeClr w14:val="tx1"/>
            </w14:solidFill>
          </w14:textFill>
        </w:rPr>
        <w:t>），</w:t>
      </w:r>
      <w:r>
        <w:rPr>
          <w:rFonts w:ascii="宋体" w:hAnsi="宋体" w:cs="宋体"/>
          <w:color w:val="000000" w:themeColor="text1"/>
          <w:spacing w:val="-4"/>
          <w:sz w:val="24"/>
          <w:highlight w:val="none"/>
          <w14:textFill>
            <w14:solidFill>
              <w14:schemeClr w14:val="tx1"/>
            </w14:solidFill>
          </w14:textFill>
        </w:rPr>
        <w:t>如发生</w:t>
      </w:r>
      <w:r>
        <w:rPr>
          <w:rFonts w:ascii="宋体" w:hAnsi="宋体" w:cs="宋体"/>
          <w:color w:val="000000" w:themeColor="text1"/>
          <w:spacing w:val="-5"/>
          <w:sz w:val="24"/>
          <w:highlight w:val="none"/>
          <w14:textFill>
            <w14:solidFill>
              <w14:schemeClr w14:val="tx1"/>
            </w14:solidFill>
          </w14:textFill>
        </w:rPr>
        <w:t>上述情况，并由此导致索赔、赔偿、</w:t>
      </w:r>
      <w:r>
        <w:rPr>
          <w:rFonts w:ascii="宋体" w:hAnsi="宋体" w:cs="宋体"/>
          <w:color w:val="000000" w:themeColor="text1"/>
          <w:spacing w:val="-2"/>
          <w:sz w:val="24"/>
          <w:highlight w:val="none"/>
          <w14:textFill>
            <w14:solidFill>
              <w14:schemeClr w14:val="tx1"/>
            </w14:solidFill>
          </w14:textFill>
        </w:rPr>
        <w:t>诉讼费用及其他开支时，应由承包人承担一切责任及费用。承包人在报价和组织施工时</w:t>
      </w:r>
      <w:r>
        <w:rPr>
          <w:rFonts w:ascii="宋体" w:hAnsi="宋体" w:cs="宋体"/>
          <w:color w:val="000000" w:themeColor="text1"/>
          <w:spacing w:val="-1"/>
          <w:sz w:val="24"/>
          <w:highlight w:val="none"/>
          <w14:textFill>
            <w14:solidFill>
              <w14:schemeClr w14:val="tx1"/>
            </w14:solidFill>
          </w14:textFill>
        </w:rPr>
        <w:t>应充分考虑这一因素。</w:t>
      </w:r>
    </w:p>
    <w:p w14:paraId="6F3F094E">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（3）承包人在实施和完成本合同工程及缺陷修复工作中的一切施工作业，在经过</w:t>
      </w:r>
      <w:r>
        <w:rPr>
          <w:rFonts w:ascii="宋体" w:hAnsi="宋体" w:cs="宋体"/>
          <w:color w:val="000000" w:themeColor="text1"/>
          <w:spacing w:val="-2"/>
          <w:sz w:val="24"/>
          <w:highlight w:val="none"/>
          <w14:textFill>
            <w14:solidFill>
              <w14:schemeClr w14:val="tx1"/>
            </w14:solidFill>
          </w14:textFill>
        </w:rPr>
        <w:t>原地貌为鱼塘时，须在征地红线处筑设围堰分界，围堰需坚固且堰顶标高应高出原塘基</w:t>
      </w:r>
      <w:r>
        <w:rPr>
          <w:rFonts w:ascii="宋体" w:hAnsi="宋体" w:cs="宋体"/>
          <w:color w:val="000000" w:themeColor="text1"/>
          <w:sz w:val="24"/>
          <w:highlight w:val="none"/>
          <w14:textFill>
            <w14:solidFill>
              <w14:schemeClr w14:val="tx1"/>
            </w14:solidFill>
          </w14:textFill>
        </w:rPr>
        <w:t>至少0.5</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米，以保证施工作业不污染、不影响征地红线外鱼塘的养殖</w:t>
      </w:r>
      <w:r>
        <w:rPr>
          <w:rFonts w:ascii="宋体" w:hAnsi="宋体" w:cs="宋体"/>
          <w:color w:val="000000" w:themeColor="text1"/>
          <w:spacing w:val="-1"/>
          <w:sz w:val="24"/>
          <w:highlight w:val="none"/>
          <w14:textFill>
            <w14:solidFill>
              <w14:schemeClr w14:val="tx1"/>
            </w14:solidFill>
          </w14:textFill>
        </w:rPr>
        <w:t>与正常使用，不对</w:t>
      </w:r>
      <w:r>
        <w:rPr>
          <w:rFonts w:ascii="宋体" w:hAnsi="宋体" w:cs="宋体"/>
          <w:color w:val="000000" w:themeColor="text1"/>
          <w:spacing w:val="-2"/>
          <w:sz w:val="24"/>
          <w:highlight w:val="none"/>
          <w14:textFill>
            <w14:solidFill>
              <w14:schemeClr w14:val="tx1"/>
            </w14:solidFill>
          </w14:textFill>
        </w:rPr>
        <w:t>群众的财产造成损失，施工过程也不干扰群众的生产。如因承包人责任（如施工考虑不周或措施不当等）而造成征地红线外鱼塘污染的，承包人应负责对涉及的鱼塘进行清淤处理，并由此导致施工受阻、停工、索赔、赔偿、诉讼费用及其他开支时，应由承包人自行处理并承担一切责任及费用，同时发包人有权要求承包人采取措施进行补救。若承包人拒不接受或在限期内未采取必要措施的，发包人有权委托其他承包人或分包人进行</w:t>
      </w:r>
      <w:r>
        <w:rPr>
          <w:rFonts w:ascii="宋体" w:hAnsi="宋体" w:cs="宋体"/>
          <w:color w:val="000000" w:themeColor="text1"/>
          <w:sz w:val="24"/>
          <w:highlight w:val="none"/>
          <w14:textFill>
            <w14:solidFill>
              <w14:schemeClr w14:val="tx1"/>
            </w14:solidFill>
          </w14:textFill>
        </w:rPr>
        <w:t>补救，产生费用由承包人承担。承包人在报价和组织施工</w:t>
      </w:r>
      <w:r>
        <w:rPr>
          <w:rFonts w:ascii="宋体" w:hAnsi="宋体" w:cs="宋体"/>
          <w:color w:val="000000" w:themeColor="text1"/>
          <w:spacing w:val="-1"/>
          <w:sz w:val="24"/>
          <w:highlight w:val="none"/>
          <w14:textFill>
            <w14:solidFill>
              <w14:schemeClr w14:val="tx1"/>
            </w14:solidFill>
          </w14:textFill>
        </w:rPr>
        <w:t>时应充分考虑这一因素。</w:t>
      </w:r>
    </w:p>
    <w:p w14:paraId="2755446A">
      <w:pPr>
        <w:spacing w:line="360" w:lineRule="auto"/>
        <w:ind w:left="47" w:right="80" w:firstLine="45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（4）承包人未经河道管理部门许可，不得擅自改变河岸现水边线、采用推填方式</w:t>
      </w:r>
      <w:r>
        <w:rPr>
          <w:rFonts w:ascii="宋体" w:hAnsi="宋体" w:cs="宋体"/>
          <w:color w:val="000000" w:themeColor="text1"/>
          <w:spacing w:val="-1"/>
          <w:sz w:val="24"/>
          <w:highlight w:val="none"/>
          <w14:textFill>
            <w14:solidFill>
              <w14:schemeClr w14:val="tx1"/>
            </w14:solidFill>
          </w14:textFill>
        </w:rPr>
        <w:t>占用河道解决施工作业面不足或施工便道问题，否则引</w:t>
      </w:r>
      <w:r>
        <w:rPr>
          <w:rFonts w:ascii="宋体" w:hAnsi="宋体" w:cs="宋体"/>
          <w:color w:val="000000" w:themeColor="text1"/>
          <w:spacing w:val="-2"/>
          <w:sz w:val="24"/>
          <w:highlight w:val="none"/>
          <w14:textFill>
            <w14:solidFill>
              <w14:schemeClr w14:val="tx1"/>
            </w14:solidFill>
          </w14:textFill>
        </w:rPr>
        <w:t>起的一切后果由承包人承担。</w:t>
      </w:r>
    </w:p>
    <w:p w14:paraId="5A184DF8">
      <w:pPr>
        <w:spacing w:line="360" w:lineRule="auto"/>
        <w:ind w:left="12" w:right="138"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（5）如桥梁桩基位于水域等地基软弱地段，承包人应采取相</w:t>
      </w:r>
      <w:r>
        <w:rPr>
          <w:rFonts w:ascii="宋体" w:hAnsi="宋体" w:cs="宋体"/>
          <w:color w:val="000000" w:themeColor="text1"/>
          <w:spacing w:val="-1"/>
          <w:sz w:val="24"/>
          <w:highlight w:val="none"/>
          <w14:textFill>
            <w14:solidFill>
              <w14:schemeClr w14:val="tx1"/>
            </w14:solidFill>
          </w14:textFill>
        </w:rPr>
        <w:t>应的施工辅助措施，发生费用已包含在合同总价中。</w:t>
      </w:r>
    </w:p>
    <w:p w14:paraId="585EB127">
      <w:pPr>
        <w:spacing w:line="360" w:lineRule="auto"/>
        <w:ind w:left="10" w:right="80"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（6）承包人应按交警、交通、铁路、航道、海事、国土、市政园林、水务、管道</w:t>
      </w:r>
      <w:r>
        <w:rPr>
          <w:rFonts w:ascii="宋体" w:hAnsi="宋体" w:cs="宋体"/>
          <w:color w:val="000000" w:themeColor="text1"/>
          <w:spacing w:val="-2"/>
          <w:sz w:val="24"/>
          <w:highlight w:val="none"/>
          <w14:textFill>
            <w14:solidFill>
              <w14:schemeClr w14:val="tx1"/>
            </w14:solidFill>
          </w14:textFill>
        </w:rPr>
        <w:t>等管理部门的规定办理施工方案报批等相关手续，相关费用已包含在合同总价中（除合同另有约定外）。</w:t>
      </w:r>
    </w:p>
    <w:p w14:paraId="46F109D8">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承包人利用现有道路作为施工便道的，需对道路采取一定的保护措施，施工完成后</w:t>
      </w:r>
      <w:r>
        <w:rPr>
          <w:rFonts w:ascii="宋体" w:hAnsi="宋体" w:cs="宋体"/>
          <w:color w:val="000000" w:themeColor="text1"/>
          <w:sz w:val="24"/>
          <w:highlight w:val="none"/>
          <w14:textFill>
            <w14:solidFill>
              <w14:schemeClr w14:val="tx1"/>
            </w14:solidFill>
          </w14:textFill>
        </w:rPr>
        <w:t>应以不低于现有标准对施工损坏的道路进行修复（具体标</w:t>
      </w:r>
      <w:r>
        <w:rPr>
          <w:rFonts w:ascii="宋体" w:hAnsi="宋体" w:cs="宋体"/>
          <w:color w:val="000000" w:themeColor="text1"/>
          <w:spacing w:val="-1"/>
          <w:sz w:val="24"/>
          <w:highlight w:val="none"/>
          <w14:textFill>
            <w14:solidFill>
              <w14:schemeClr w14:val="tx1"/>
            </w14:solidFill>
          </w14:textFill>
        </w:rPr>
        <w:t>准须满足权属单位的要求</w:t>
      </w:r>
      <w:r>
        <w:rPr>
          <w:rFonts w:ascii="宋体" w:hAnsi="宋体" w:cs="宋体"/>
          <w:color w:val="000000" w:themeColor="text1"/>
          <w:spacing w:val="-27"/>
          <w:sz w:val="24"/>
          <w:highlight w:val="none"/>
          <w14:textFill>
            <w14:solidFill>
              <w14:schemeClr w14:val="tx1"/>
            </w14:solidFill>
          </w14:textFill>
        </w:rPr>
        <w:t>），</w:t>
      </w:r>
    </w:p>
    <w:p w14:paraId="6AFF60DA">
      <w:pPr>
        <w:spacing w:line="360" w:lineRule="auto"/>
        <w:rPr>
          <w:rFonts w:hint="eastAsia" w:ascii="宋体" w:hAnsi="宋体" w:cs="宋体"/>
          <w:color w:val="000000" w:themeColor="text1"/>
          <w:sz w:val="24"/>
          <w:highlight w:val="none"/>
          <w14:textFill>
            <w14:solidFill>
              <w14:schemeClr w14:val="tx1"/>
            </w14:solidFill>
          </w14:textFill>
        </w:rPr>
        <w:sectPr>
          <w:headerReference r:id="rId35" w:type="default"/>
          <w:footerReference r:id="rId36" w:type="default"/>
          <w:pgSz w:w="11906" w:h="16839"/>
          <w:pgMar w:top="1182" w:right="1337" w:bottom="1168" w:left="1417" w:header="849" w:footer="934" w:gutter="0"/>
          <w:cols w:space="720" w:num="1"/>
        </w:sectPr>
      </w:pPr>
    </w:p>
    <w:p w14:paraId="6544D35C">
      <w:pPr>
        <w:pStyle w:val="3"/>
        <w:spacing w:line="360" w:lineRule="auto"/>
        <w:rPr>
          <w:color w:val="000000" w:themeColor="text1"/>
          <w:highlight w:val="none"/>
          <w14:textFill>
            <w14:solidFill>
              <w14:schemeClr w14:val="tx1"/>
            </w14:solidFill>
          </w14:textFill>
        </w:rPr>
      </w:pPr>
    </w:p>
    <w:p w14:paraId="3CD2ABA3">
      <w:pPr>
        <w:spacing w:line="360" w:lineRule="auto"/>
        <w:ind w:left="3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由此产生的一切费用均由承包人承担。</w:t>
      </w:r>
    </w:p>
    <w:p w14:paraId="1BC75DD8">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（7）承包人在实施和完成本合同工程及缺陷修复工作中的一切施工作业应保证发</w:t>
      </w:r>
      <w:r>
        <w:rPr>
          <w:rFonts w:ascii="宋体" w:hAnsi="宋体" w:cs="宋体"/>
          <w:color w:val="000000" w:themeColor="text1"/>
          <w:spacing w:val="-2"/>
          <w:sz w:val="24"/>
          <w:highlight w:val="none"/>
          <w14:textFill>
            <w14:solidFill>
              <w14:schemeClr w14:val="tx1"/>
            </w14:solidFill>
          </w14:textFill>
        </w:rPr>
        <w:t>包人免于承担因承包人借用、占用或使用当地道路、铁路、航道、市政、水利或其他公共设施所引发的补偿费、诉讼费、损害赔偿、指控费及其他开支。一旦发生，发包人有</w:t>
      </w:r>
      <w:r>
        <w:rPr>
          <w:rFonts w:ascii="宋体" w:hAnsi="宋体" w:cs="宋体"/>
          <w:color w:val="000000" w:themeColor="text1"/>
          <w:spacing w:val="-1"/>
          <w:sz w:val="24"/>
          <w:highlight w:val="none"/>
          <w14:textFill>
            <w14:solidFill>
              <w14:schemeClr w14:val="tx1"/>
            </w14:solidFill>
          </w14:textFill>
        </w:rPr>
        <w:t>权在承包人的工程进度款或结算款中扣回。</w:t>
      </w:r>
    </w:p>
    <w:p w14:paraId="1EB4153B">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（8）承包人应按有关环境保护、水土保持、文物保护、通航安全、防洪安全、放</w:t>
      </w:r>
      <w:r>
        <w:rPr>
          <w:rFonts w:ascii="宋体" w:hAnsi="宋体" w:cs="宋体"/>
          <w:color w:val="000000" w:themeColor="text1"/>
          <w:spacing w:val="-2"/>
          <w:sz w:val="24"/>
          <w:highlight w:val="none"/>
          <w14:textFill>
            <w14:solidFill>
              <w14:schemeClr w14:val="tx1"/>
            </w14:solidFill>
          </w14:textFill>
        </w:rPr>
        <w:t>射性环境评价、压覆矿床等专项评价报告以及相关审批部门批复意见的要求进行施工，</w:t>
      </w:r>
      <w:r>
        <w:rPr>
          <w:rFonts w:ascii="宋体" w:hAnsi="宋体" w:cs="宋体"/>
          <w:color w:val="000000" w:themeColor="text1"/>
          <w:spacing w:val="2"/>
          <w:sz w:val="24"/>
          <w:highlight w:val="none"/>
          <w14:textFill>
            <w14:solidFill>
              <w14:schemeClr w14:val="tx1"/>
            </w14:solidFill>
          </w14:textFill>
        </w:rPr>
        <w:t>在施工过程中采用的施工工艺和施工措施所需费用已包</w:t>
      </w:r>
      <w:r>
        <w:rPr>
          <w:rFonts w:ascii="宋体" w:hAnsi="宋体" w:cs="宋体"/>
          <w:color w:val="000000" w:themeColor="text1"/>
          <w:spacing w:val="1"/>
          <w:sz w:val="24"/>
          <w:highlight w:val="none"/>
          <w14:textFill>
            <w14:solidFill>
              <w14:schemeClr w14:val="tx1"/>
            </w14:solidFill>
          </w14:textFill>
        </w:rPr>
        <w:t>含在合同总价中(除合同另有约</w:t>
      </w:r>
      <w:r>
        <w:rPr>
          <w:rFonts w:ascii="宋体" w:hAnsi="宋体" w:cs="宋体"/>
          <w:color w:val="000000" w:themeColor="text1"/>
          <w:spacing w:val="-3"/>
          <w:sz w:val="24"/>
          <w:highlight w:val="none"/>
          <w14:textFill>
            <w14:solidFill>
              <w14:schemeClr w14:val="tx1"/>
            </w14:solidFill>
          </w14:textFill>
        </w:rPr>
        <w:t>定外)。</w:t>
      </w:r>
    </w:p>
    <w:p w14:paraId="267D3345">
      <w:pPr>
        <w:spacing w:line="360" w:lineRule="auto"/>
        <w:ind w:left="54" w:right="80" w:firstLine="44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（9）承包人由于未切实履行以上条款的约定，导致发生工程阻工、停工，造成项</w:t>
      </w:r>
      <w:r>
        <w:rPr>
          <w:rFonts w:ascii="宋体" w:hAnsi="宋体" w:cs="宋体"/>
          <w:color w:val="000000" w:themeColor="text1"/>
          <w:spacing w:val="-4"/>
          <w:sz w:val="24"/>
          <w:highlight w:val="none"/>
          <w14:textFill>
            <w14:solidFill>
              <w14:schemeClr w14:val="tx1"/>
            </w14:solidFill>
          </w14:textFill>
        </w:rPr>
        <w:t>目工期延误，视为承包人违约，按</w:t>
      </w:r>
      <w:r>
        <w:rPr>
          <w:rFonts w:ascii="宋体" w:hAnsi="宋体" w:cs="宋体"/>
          <w:color w:val="000000" w:themeColor="text1"/>
          <w:spacing w:val="-3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22.1</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条处理。</w:t>
      </w:r>
    </w:p>
    <w:p w14:paraId="5AC183C6">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4.1.8</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为他人提供方便</w:t>
      </w:r>
    </w:p>
    <w:p w14:paraId="16B70E4C">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78314EE2">
      <w:pPr>
        <w:spacing w:line="360" w:lineRule="auto"/>
        <w:ind w:left="8"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（1）承包人应免费提供临时道路、便桥给本项目其他参建单位使用，并提供方便。</w:t>
      </w:r>
      <w:r>
        <w:rPr>
          <w:rFonts w:ascii="宋体" w:hAnsi="宋体" w:cs="宋体"/>
          <w:color w:val="000000" w:themeColor="text1"/>
          <w:spacing w:val="-2"/>
          <w:sz w:val="24"/>
          <w:highlight w:val="none"/>
          <w14:textFill>
            <w14:solidFill>
              <w14:schemeClr w14:val="tx1"/>
            </w14:solidFill>
          </w14:textFill>
        </w:rPr>
        <w:t>承包人在施工期内，必须密切配合其他承包人在本合同段范围内的施工作业。如发生冲</w:t>
      </w:r>
      <w:r>
        <w:rPr>
          <w:rFonts w:ascii="宋体" w:hAnsi="宋体" w:cs="宋体"/>
          <w:color w:val="000000" w:themeColor="text1"/>
          <w:spacing w:val="-1"/>
          <w:sz w:val="24"/>
          <w:highlight w:val="none"/>
          <w14:textFill>
            <w14:solidFill>
              <w14:schemeClr w14:val="tx1"/>
            </w14:solidFill>
          </w14:textFill>
        </w:rPr>
        <w:t>突，承包人应无条件接受发包人的协调及安排。</w:t>
      </w:r>
    </w:p>
    <w:p w14:paraId="746E3F81">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（2）如果本项目的预制构件由预制合同段统一预制，无论运输安装由预制合同段</w:t>
      </w:r>
      <w:r>
        <w:rPr>
          <w:rFonts w:ascii="宋体" w:hAnsi="宋体" w:cs="宋体"/>
          <w:color w:val="000000" w:themeColor="text1"/>
          <w:spacing w:val="-2"/>
          <w:sz w:val="24"/>
          <w:highlight w:val="none"/>
          <w14:textFill>
            <w14:solidFill>
              <w14:schemeClr w14:val="tx1"/>
            </w14:solidFill>
          </w14:textFill>
        </w:rPr>
        <w:t>负责还是使用单位自行负责，承包人应积极配合，免费提供临时道路、便桥供预制构件</w:t>
      </w:r>
      <w:r>
        <w:rPr>
          <w:rFonts w:ascii="宋体" w:hAnsi="宋体" w:cs="宋体"/>
          <w:color w:val="000000" w:themeColor="text1"/>
          <w:spacing w:val="-1"/>
          <w:sz w:val="24"/>
          <w:highlight w:val="none"/>
          <w14:textFill>
            <w14:solidFill>
              <w14:schemeClr w14:val="tx1"/>
            </w14:solidFill>
          </w14:textFill>
        </w:rPr>
        <w:t>运输使用，并做好便道便桥的维护，确保安全畅通。</w:t>
      </w:r>
    </w:p>
    <w:p w14:paraId="144F2932">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（3）承包人应按照监理人或发包人的要求负责安装其他工程所需的预埋件。由于</w:t>
      </w:r>
      <w:r>
        <w:rPr>
          <w:rFonts w:ascii="宋体" w:hAnsi="宋体" w:cs="宋体"/>
          <w:color w:val="000000" w:themeColor="text1"/>
          <w:spacing w:val="-2"/>
          <w:sz w:val="24"/>
          <w:highlight w:val="none"/>
          <w14:textFill>
            <w14:solidFill>
              <w14:schemeClr w14:val="tx1"/>
            </w14:solidFill>
          </w14:textFill>
        </w:rPr>
        <w:t>承包人未按相关设计图纸施工预埋件，造成的损失（包括拆除、重新预埋所需费用）由承包人承担。</w:t>
      </w:r>
    </w:p>
    <w:p w14:paraId="2759914F">
      <w:pPr>
        <w:spacing w:line="360" w:lineRule="auto"/>
        <w:ind w:left="8" w:right="12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（4）承包人应配合试验、检测单位完成相应的试验或检测工作，包括桩基检测、地质钻孔等，所需配合费用已包含在合同总价中（桩基静载</w:t>
      </w:r>
      <w:r>
        <w:rPr>
          <w:rFonts w:ascii="宋体" w:hAnsi="宋体" w:cs="宋体"/>
          <w:color w:val="000000" w:themeColor="text1"/>
          <w:spacing w:val="-1"/>
          <w:sz w:val="24"/>
          <w:highlight w:val="none"/>
          <w14:textFill>
            <w14:solidFill>
              <w14:schemeClr w14:val="tx1"/>
            </w14:solidFill>
          </w14:textFill>
        </w:rPr>
        <w:t>、梁板荷载试验除外）。</w:t>
      </w:r>
    </w:p>
    <w:p w14:paraId="0BE385F7">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4.1.9 工程的维护和照管</w:t>
      </w:r>
    </w:p>
    <w:p w14:paraId="696D646F">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2509CE9F">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（1）交工验收证书颁发前，承包人应负责照管和维护工程及将用于或安装在本工</w:t>
      </w:r>
      <w:r>
        <w:rPr>
          <w:rFonts w:ascii="宋体" w:hAnsi="宋体" w:cs="宋体"/>
          <w:color w:val="000000" w:themeColor="text1"/>
          <w:spacing w:val="-2"/>
          <w:sz w:val="24"/>
          <w:highlight w:val="none"/>
          <w14:textFill>
            <w14:solidFill>
              <w14:schemeClr w14:val="tx1"/>
            </w14:solidFill>
          </w14:textFill>
        </w:rPr>
        <w:t>程中的材料、设备和征地界桩。交工验收证书颁发时尚有部分未交工工程的，承包人还应负责该未交工工程、材料、设备、征地界桩的照管和维护工作，直至交工后移交给发包人为止。</w:t>
      </w:r>
    </w:p>
    <w:p w14:paraId="59185623">
      <w:pPr>
        <w:spacing w:line="360" w:lineRule="auto"/>
        <w:rPr>
          <w:rFonts w:hint="eastAsia" w:ascii="宋体" w:hAnsi="宋体" w:cs="宋体"/>
          <w:color w:val="000000" w:themeColor="text1"/>
          <w:sz w:val="24"/>
          <w:highlight w:val="none"/>
          <w14:textFill>
            <w14:solidFill>
              <w14:schemeClr w14:val="tx1"/>
            </w14:solidFill>
          </w14:textFill>
        </w:rPr>
        <w:sectPr>
          <w:footerReference r:id="rId37" w:type="default"/>
          <w:pgSz w:w="11906" w:h="16839"/>
          <w:pgMar w:top="1182" w:right="1337" w:bottom="1168" w:left="1417" w:header="849" w:footer="934" w:gutter="0"/>
          <w:cols w:space="720" w:num="1"/>
        </w:sectPr>
      </w:pPr>
    </w:p>
    <w:p w14:paraId="4FE45410">
      <w:pPr>
        <w:pStyle w:val="3"/>
        <w:spacing w:line="360" w:lineRule="auto"/>
        <w:rPr>
          <w:color w:val="000000" w:themeColor="text1"/>
          <w:highlight w:val="none"/>
          <w14:textFill>
            <w14:solidFill>
              <w14:schemeClr w14:val="tx1"/>
            </w14:solidFill>
          </w14:textFill>
        </w:rPr>
      </w:pPr>
    </w:p>
    <w:p w14:paraId="1914993E">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（2）在承包人负责照管与维护期间，如果本工程或材料、设备、征地界桩等发生</w:t>
      </w:r>
      <w:r>
        <w:rPr>
          <w:rFonts w:ascii="宋体" w:hAnsi="宋体" w:cs="宋体"/>
          <w:color w:val="000000" w:themeColor="text1"/>
          <w:spacing w:val="-2"/>
          <w:sz w:val="24"/>
          <w:highlight w:val="none"/>
          <w14:textFill>
            <w14:solidFill>
              <w14:schemeClr w14:val="tx1"/>
            </w14:solidFill>
          </w14:textFill>
        </w:rPr>
        <w:t>损失或损害，除不可抗力原因之外，承包人均应自费弥补，并达到合同要求。承包人还</w:t>
      </w:r>
      <w:r>
        <w:rPr>
          <w:rFonts w:ascii="宋体" w:hAnsi="宋体" w:cs="宋体"/>
          <w:color w:val="000000" w:themeColor="text1"/>
          <w:spacing w:val="-1"/>
          <w:sz w:val="24"/>
          <w:highlight w:val="none"/>
          <w14:textFill>
            <w14:solidFill>
              <w14:schemeClr w14:val="tx1"/>
            </w14:solidFill>
          </w14:textFill>
        </w:rPr>
        <w:t>应对按第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19</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条规定而实施作业过程中由承包人造成的对工程</w:t>
      </w:r>
      <w:r>
        <w:rPr>
          <w:rFonts w:ascii="宋体" w:hAnsi="宋体" w:cs="宋体"/>
          <w:color w:val="000000" w:themeColor="text1"/>
          <w:spacing w:val="-2"/>
          <w:sz w:val="24"/>
          <w:highlight w:val="none"/>
          <w14:textFill>
            <w14:solidFill>
              <w14:schemeClr w14:val="tx1"/>
            </w14:solidFill>
          </w14:textFill>
        </w:rPr>
        <w:t>的任何损失或损害负责。</w:t>
      </w:r>
    </w:p>
    <w:p w14:paraId="285CEE0E">
      <w:pPr>
        <w:spacing w:line="360" w:lineRule="auto"/>
        <w:ind w:left="21"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（3）临时开放交通期间、交工检测后至交工验收期间因交通事故导致的交安设施、</w:t>
      </w:r>
      <w:r>
        <w:rPr>
          <w:rFonts w:ascii="宋体" w:hAnsi="宋体" w:cs="宋体"/>
          <w:color w:val="000000" w:themeColor="text1"/>
          <w:spacing w:val="-1"/>
          <w:sz w:val="24"/>
          <w:highlight w:val="none"/>
          <w14:textFill>
            <w14:solidFill>
              <w14:schemeClr w14:val="tx1"/>
            </w14:solidFill>
          </w14:textFill>
        </w:rPr>
        <w:t>临时防护设施损坏的，按发包人后续下发的相关管理办法执行。</w:t>
      </w:r>
    </w:p>
    <w:p w14:paraId="0EBA7A9E">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4.1.10 其他义务</w:t>
      </w:r>
    </w:p>
    <w:p w14:paraId="59EA33C2">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4.1.10（1）</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目补充：</w:t>
      </w:r>
    </w:p>
    <w:p w14:paraId="3AE45648">
      <w:pPr>
        <w:spacing w:line="360" w:lineRule="auto"/>
        <w:ind w:left="7" w:right="8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临时用地的面积和使用期应满足工程需要和《广东省公路工程施工标准化指南》的要求，因临时占地发生的协调、租用、复耕、验收等相关费用由承包人承担。临时用地</w:t>
      </w:r>
      <w:r>
        <w:rPr>
          <w:rFonts w:ascii="宋体" w:hAnsi="宋体" w:cs="宋体"/>
          <w:color w:val="000000" w:themeColor="text1"/>
          <w:spacing w:val="-1"/>
          <w:sz w:val="24"/>
          <w:highlight w:val="none"/>
          <w14:textFill>
            <w14:solidFill>
              <w14:schemeClr w14:val="tx1"/>
            </w14:solidFill>
          </w14:textFill>
        </w:rPr>
        <w:t>中如有地面附着物（包括但不限于电力、电信、</w:t>
      </w:r>
      <w:r>
        <w:rPr>
          <w:rFonts w:ascii="宋体" w:hAnsi="宋体" w:cs="宋体"/>
          <w:color w:val="000000" w:themeColor="text1"/>
          <w:spacing w:val="-2"/>
          <w:sz w:val="24"/>
          <w:highlight w:val="none"/>
          <w14:textFill>
            <w14:solidFill>
              <w14:schemeClr w14:val="tx1"/>
            </w14:solidFill>
          </w14:textFill>
        </w:rPr>
        <w:t>房屋、坟墓等</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其拆迁补偿费用已计入合同总价中。临时用地必须按规定办理相关手续，且不得对周边环境、公众及他人造</w:t>
      </w:r>
      <w:r>
        <w:rPr>
          <w:rFonts w:ascii="宋体" w:hAnsi="宋体" w:cs="宋体"/>
          <w:color w:val="000000" w:themeColor="text1"/>
          <w:spacing w:val="-3"/>
          <w:sz w:val="24"/>
          <w:highlight w:val="none"/>
          <w14:textFill>
            <w14:solidFill>
              <w14:schemeClr w14:val="tx1"/>
            </w14:solidFill>
          </w14:textFill>
        </w:rPr>
        <w:t>成损害。</w:t>
      </w:r>
    </w:p>
    <w:p w14:paraId="4E4D2494">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4.1.10(2)目细化为：</w:t>
      </w:r>
    </w:p>
    <w:p w14:paraId="5DA1813F">
      <w:pPr>
        <w:spacing w:line="360" w:lineRule="auto"/>
        <w:ind w:left="6" w:right="80" w:firstLine="52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(2)除合同另有规定外，承包人应承担并</w:t>
      </w:r>
      <w:r>
        <w:rPr>
          <w:rFonts w:ascii="宋体" w:hAnsi="宋体" w:cs="宋体"/>
          <w:color w:val="000000" w:themeColor="text1"/>
          <w:sz w:val="24"/>
          <w:highlight w:val="none"/>
          <w14:textFill>
            <w14:solidFill>
              <w14:schemeClr w14:val="tx1"/>
            </w14:solidFill>
          </w14:textFill>
        </w:rPr>
        <w:t>支付为获得本合同工程所需的石料、砂、</w:t>
      </w:r>
      <w:r>
        <w:rPr>
          <w:rFonts w:ascii="宋体" w:hAnsi="宋体" w:cs="宋体"/>
          <w:color w:val="000000" w:themeColor="text1"/>
          <w:spacing w:val="-1"/>
          <w:sz w:val="24"/>
          <w:highlight w:val="none"/>
          <w14:textFill>
            <w14:solidFill>
              <w14:schemeClr w14:val="tx1"/>
            </w14:solidFill>
          </w14:textFill>
        </w:rPr>
        <w:t>砾石、黏土或其他当地材料等所发生的料场</w:t>
      </w:r>
      <w:r>
        <w:rPr>
          <w:rFonts w:ascii="宋体" w:hAnsi="宋体" w:cs="宋体"/>
          <w:color w:val="000000" w:themeColor="text1"/>
          <w:spacing w:val="-2"/>
          <w:sz w:val="24"/>
          <w:highlight w:val="none"/>
          <w14:textFill>
            <w14:solidFill>
              <w14:schemeClr w14:val="tx1"/>
            </w14:solidFill>
          </w14:textFill>
        </w:rPr>
        <w:t>使用费及其他开支或补偿费。发包人应尽可</w:t>
      </w:r>
      <w:r>
        <w:rPr>
          <w:rFonts w:ascii="宋体" w:hAnsi="宋体" w:cs="宋体"/>
          <w:color w:val="000000" w:themeColor="text1"/>
          <w:spacing w:val="-1"/>
          <w:sz w:val="24"/>
          <w:highlight w:val="none"/>
          <w14:textFill>
            <w14:solidFill>
              <w14:schemeClr w14:val="tx1"/>
            </w14:solidFill>
          </w14:textFill>
        </w:rPr>
        <w:t>能协助承包人办理料场租用手续及解决使用</w:t>
      </w:r>
      <w:r>
        <w:rPr>
          <w:rFonts w:ascii="宋体" w:hAnsi="宋体" w:cs="宋体"/>
          <w:color w:val="000000" w:themeColor="text1"/>
          <w:spacing w:val="-2"/>
          <w:sz w:val="24"/>
          <w:highlight w:val="none"/>
          <w14:textFill>
            <w14:solidFill>
              <w14:schemeClr w14:val="tx1"/>
            </w14:solidFill>
          </w14:textFill>
        </w:rPr>
        <w:t>过程中的有关问题。承包人应按发包人要求</w:t>
      </w:r>
      <w:r>
        <w:rPr>
          <w:rFonts w:ascii="宋体" w:hAnsi="宋体" w:cs="宋体"/>
          <w:color w:val="000000" w:themeColor="text1"/>
          <w:spacing w:val="-1"/>
          <w:sz w:val="24"/>
          <w:highlight w:val="none"/>
          <w14:textFill>
            <w14:solidFill>
              <w14:schemeClr w14:val="tx1"/>
            </w14:solidFill>
          </w14:textFill>
        </w:rPr>
        <w:t>将砂、石料等地材的供货合同等资料提供给</w:t>
      </w:r>
      <w:r>
        <w:rPr>
          <w:rFonts w:ascii="宋体" w:hAnsi="宋体" w:cs="宋体"/>
          <w:color w:val="000000" w:themeColor="text1"/>
          <w:spacing w:val="-2"/>
          <w:sz w:val="24"/>
          <w:highlight w:val="none"/>
          <w14:textFill>
            <w14:solidFill>
              <w14:schemeClr w14:val="tx1"/>
            </w14:solidFill>
          </w14:textFill>
        </w:rPr>
        <w:t>发包人和监理人备案。取材的料场和货源应</w:t>
      </w:r>
      <w:r>
        <w:rPr>
          <w:rFonts w:ascii="宋体" w:hAnsi="宋体" w:cs="宋体"/>
          <w:color w:val="000000" w:themeColor="text1"/>
          <w:spacing w:val="-1"/>
          <w:sz w:val="24"/>
          <w:highlight w:val="none"/>
          <w14:textFill>
            <w14:solidFill>
              <w14:schemeClr w14:val="tx1"/>
            </w14:solidFill>
          </w14:textFill>
        </w:rPr>
        <w:t>保持相对固定，承包人及其供货人应接受发</w:t>
      </w:r>
      <w:r>
        <w:rPr>
          <w:rFonts w:ascii="宋体" w:hAnsi="宋体" w:cs="宋体"/>
          <w:color w:val="000000" w:themeColor="text1"/>
          <w:spacing w:val="-2"/>
          <w:sz w:val="24"/>
          <w:highlight w:val="none"/>
          <w14:textFill>
            <w14:solidFill>
              <w14:schemeClr w14:val="tx1"/>
            </w14:solidFill>
          </w14:textFill>
        </w:rPr>
        <w:t>包人和监理人的监督检查，如有变更应及时</w:t>
      </w:r>
      <w:r>
        <w:rPr>
          <w:rFonts w:ascii="宋体" w:hAnsi="宋体" w:cs="宋体"/>
          <w:color w:val="000000" w:themeColor="text1"/>
          <w:spacing w:val="-1"/>
          <w:sz w:val="24"/>
          <w:highlight w:val="none"/>
          <w14:textFill>
            <w14:solidFill>
              <w14:schemeClr w14:val="tx1"/>
            </w14:solidFill>
          </w14:textFill>
        </w:rPr>
        <w:t>通知发包人或监理人并送交相应有关资料。</w:t>
      </w:r>
      <w:r>
        <w:rPr>
          <w:rFonts w:ascii="宋体" w:hAnsi="宋体" w:cs="宋体"/>
          <w:color w:val="000000" w:themeColor="text1"/>
          <w:spacing w:val="-2"/>
          <w:sz w:val="24"/>
          <w:highlight w:val="none"/>
          <w14:textFill>
            <w14:solidFill>
              <w14:schemeClr w14:val="tx1"/>
            </w14:solidFill>
          </w14:textFill>
        </w:rPr>
        <w:t>监理人征得发包人同意后有权要求承包人更</w:t>
      </w:r>
      <w:r>
        <w:rPr>
          <w:rFonts w:ascii="宋体" w:hAnsi="宋体" w:cs="宋体"/>
          <w:color w:val="000000" w:themeColor="text1"/>
          <w:spacing w:val="-1"/>
          <w:sz w:val="24"/>
          <w:highlight w:val="none"/>
          <w14:textFill>
            <w14:solidFill>
              <w14:schemeClr w14:val="tx1"/>
            </w14:solidFill>
          </w14:textFill>
        </w:rPr>
        <w:t>换不符合要求的料场，承包人必须接受。</w:t>
      </w:r>
    </w:p>
    <w:p w14:paraId="559D0F24">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4.1.10(3)目细化为：</w:t>
      </w:r>
    </w:p>
    <w:p w14:paraId="784D50D7">
      <w:pPr>
        <w:spacing w:line="360" w:lineRule="auto"/>
        <w:ind w:left="6" w:right="80" w:firstLine="524"/>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监督管理系统。</w:t>
      </w:r>
    </w:p>
    <w:p w14:paraId="55B74C61">
      <w:pPr>
        <w:spacing w:line="360" w:lineRule="auto"/>
        <w:ind w:left="6" w:right="80" w:firstLine="524"/>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承包人的项目经理部是民工工资支付行为的主体，承包人的项目经理是民工工资支付的责任人。为切实保障农民工权益，承包人须遵守国家有关法律、行政法规规定，自行办理和完善各种手续，合法使用农民工，保护农民工合法权益，工程施工期间按月足额发放农民工工资。发包人支付承包人的人工费用总额的比例（不得乘以合同工程款支付比例）按工程实际完成工程量的1</w:t>
      </w:r>
      <w:r>
        <w:rPr>
          <w:rFonts w:hint="eastAsia" w:ascii="宋体" w:hAnsi="宋体" w:cs="宋体"/>
          <w:color w:val="000000" w:themeColor="text1"/>
          <w:spacing w:val="1"/>
          <w:sz w:val="24"/>
          <w:highlight w:val="none"/>
          <w:lang w:val="en-US" w:eastAsia="zh-CN"/>
          <w14:textFill>
            <w14:solidFill>
              <w14:schemeClr w14:val="tx1"/>
            </w14:solidFill>
          </w14:textFill>
        </w:rPr>
        <w:t>7</w:t>
      </w:r>
      <w:r>
        <w:rPr>
          <w:rFonts w:hint="eastAsia" w:ascii="宋体" w:hAnsi="宋体" w:eastAsia="宋体" w:cs="宋体"/>
          <w:color w:val="000000" w:themeColor="text1"/>
          <w:spacing w:val="1"/>
          <w:sz w:val="24"/>
          <w:highlight w:val="none"/>
          <w14:textFill>
            <w14:solidFill>
              <w14:schemeClr w14:val="tx1"/>
            </w14:solidFill>
          </w14:textFill>
        </w:rPr>
        <w:t>%以上，承包人直接按时足额发放给工人账户，人工费用拨付周期不得超过一个月。每月20日前100%发放工人工资，发放期从工人开工之日至本岗位工作完成为止。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 (实名制管理系统) 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1358331B">
      <w:pPr>
        <w:spacing w:line="360" w:lineRule="auto"/>
        <w:ind w:left="6" w:right="80" w:firstLine="524"/>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p w14:paraId="20BF2864">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4.1.10(4)目细化为：</w:t>
      </w:r>
    </w:p>
    <w:p w14:paraId="008D6B99">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分解工程价款中的人工费用，在工程项目所在地银行开设民工工资（劳务费）专用账户，专项用于支付民工工资。项目实行分包人农民工工资委托承包人代发制度，分包人负责按月计算每位民工当月或上月应得工资额，承包人核查分包人提交的经民工签字确认的工资支付表，承包人的开户银行应根据承包人提供的经民工本人签字确认工资支付表，通过承包人设立的民工工资（劳务费）专用账户直接将工资划入民工个人工资账户。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w:t>
      </w:r>
      <w:r>
        <w:rPr>
          <w:rFonts w:ascii="宋体" w:hAnsi="宋体" w:cs="宋体"/>
          <w:color w:val="000000" w:themeColor="text1"/>
          <w:spacing w:val="-1"/>
          <w:sz w:val="24"/>
          <w:highlight w:val="none"/>
          <w14:textFill>
            <w14:solidFill>
              <w14:schemeClr w14:val="tx1"/>
            </w14:solidFill>
          </w14:textFill>
        </w:rPr>
        <w:t>人力资源社会保障部门和交通运输主管部门报告。</w:t>
      </w:r>
    </w:p>
    <w:p w14:paraId="600F0963">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4.1.10(6)目细化为：</w:t>
      </w:r>
    </w:p>
    <w:p w14:paraId="49CFAECE">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承包人应履行的其他义务：</w:t>
      </w:r>
    </w:p>
    <w:p w14:paraId="772CA4F2">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①工序衔接与协调</w:t>
      </w:r>
    </w:p>
    <w:p w14:paraId="3CCDC68E">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多个承包人在同一区域施工时，发包人和监理人有权协调工程的实施并对工程的衔接发出指示，承包人应在发包人和监理人的统一协调下工作，承包人由此增加的费用已</w:t>
      </w:r>
      <w:r>
        <w:rPr>
          <w:rFonts w:ascii="宋体" w:hAnsi="宋体" w:cs="宋体"/>
          <w:color w:val="000000" w:themeColor="text1"/>
          <w:spacing w:val="-1"/>
          <w:sz w:val="24"/>
          <w:highlight w:val="none"/>
          <w14:textFill>
            <w14:solidFill>
              <w14:schemeClr w14:val="tx1"/>
            </w14:solidFill>
          </w14:textFill>
        </w:rPr>
        <w:t>包含在合同总价中。</w:t>
      </w:r>
    </w:p>
    <w:p w14:paraId="175BA587">
      <w:pPr>
        <w:spacing w:line="360" w:lineRule="auto"/>
        <w:ind w:left="10"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施工用地和临时用地交付承包人后，承包人应采取有效的措施进行管控，包括必要的围蔽和安保措施，防止与本项目无关的人员或单位进入、借用、占用或侵占（发包人同意的除外</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否则由此引起的施工干扰、工程方案变更、工期延后、费用增加等一切后果由承包人承担。</w:t>
      </w:r>
    </w:p>
    <w:p w14:paraId="5630C3B6">
      <w:pPr>
        <w:spacing w:line="360" w:lineRule="auto"/>
        <w:rPr>
          <w:rFonts w:hint="eastAsia" w:ascii="宋体" w:hAnsi="宋体" w:cs="宋体"/>
          <w:color w:val="000000" w:themeColor="text1"/>
          <w:sz w:val="24"/>
          <w:highlight w:val="none"/>
          <w14:textFill>
            <w14:solidFill>
              <w14:schemeClr w14:val="tx1"/>
            </w14:solidFill>
          </w14:textFill>
        </w:rPr>
        <w:sectPr>
          <w:footerReference r:id="rId38" w:type="default"/>
          <w:pgSz w:w="11906" w:h="16839"/>
          <w:pgMar w:top="1182" w:right="1337" w:bottom="1168" w:left="1417" w:header="849" w:footer="934" w:gutter="0"/>
          <w:cols w:space="720" w:num="1"/>
        </w:sectPr>
      </w:pPr>
    </w:p>
    <w:p w14:paraId="27E68D1C">
      <w:pPr>
        <w:pStyle w:val="3"/>
        <w:spacing w:line="360" w:lineRule="auto"/>
        <w:rPr>
          <w:color w:val="000000" w:themeColor="text1"/>
          <w:highlight w:val="none"/>
          <w14:textFill>
            <w14:solidFill>
              <w14:schemeClr w14:val="tx1"/>
            </w14:solidFill>
          </w14:textFill>
        </w:rPr>
      </w:pPr>
    </w:p>
    <w:p w14:paraId="0F3CFF61">
      <w:pPr>
        <w:spacing w:line="360" w:lineRule="auto"/>
        <w:ind w:left="9"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交工验收前，承包人应将测量控制点、高边坡、软基、桥梁等观测点的资料移交给养护单位使用。</w:t>
      </w:r>
    </w:p>
    <w:p w14:paraId="7EAA6589">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②施工工艺要求</w:t>
      </w:r>
    </w:p>
    <w:p w14:paraId="58446250">
      <w:pPr>
        <w:spacing w:line="360" w:lineRule="auto"/>
        <w:ind w:left="8"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采取一切必要的措施，严格执行《广东省公路工程施工标准化指南》《广东省高速公路公路施工安全标准化指南》和施工过程中发包人下发的工程管理手册（或创新工艺工法要求）、标准化和标杆管理、技术规范的各项规定，以及在建设过程中发包人提出的工艺工法要求，以保证达到合同规定的质量标准。在工程竣工质量要求较招标文件技术规范未发生改变的情况下，发包人或监理人对施工工艺提出的合理要求，原则上承包人不得就此要求发包人给予额外费用补偿，由此发生的一切费用视为已计入合</w:t>
      </w:r>
      <w:r>
        <w:rPr>
          <w:rFonts w:ascii="宋体" w:hAnsi="宋体" w:cs="宋体"/>
          <w:color w:val="000000" w:themeColor="text1"/>
          <w:spacing w:val="1"/>
          <w:sz w:val="24"/>
          <w:highlight w:val="none"/>
          <w14:textFill>
            <w14:solidFill>
              <w14:schemeClr w14:val="tx1"/>
            </w14:solidFill>
          </w14:textFill>
        </w:rPr>
        <w:t>同总价中。发包人提出或受施工条件限制需</w:t>
      </w:r>
      <w:r>
        <w:rPr>
          <w:rFonts w:ascii="宋体" w:hAnsi="宋体" w:cs="宋体"/>
          <w:color w:val="000000" w:themeColor="text1"/>
          <w:sz w:val="24"/>
          <w:highlight w:val="none"/>
          <w14:textFill>
            <w14:solidFill>
              <w14:schemeClr w14:val="tx1"/>
            </w14:solidFill>
          </w14:textFill>
        </w:rPr>
        <w:t>改变原施工工艺（工法）的，按</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16.5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款约</w:t>
      </w:r>
      <w:r>
        <w:rPr>
          <w:rFonts w:ascii="宋体" w:hAnsi="宋体" w:cs="宋体"/>
          <w:color w:val="000000" w:themeColor="text1"/>
          <w:spacing w:val="-2"/>
          <w:sz w:val="24"/>
          <w:highlight w:val="none"/>
          <w14:textFill>
            <w14:solidFill>
              <w14:schemeClr w14:val="tx1"/>
            </w14:solidFill>
          </w14:textFill>
        </w:rPr>
        <w:t>定执行。发包人推广先进工艺工法，如钢筋部品工艺、高温蒸养环形生产线预制场等，原则上承包人不得就此要求发包人给予额外费用补偿，由此发生的一切费用视为已计入合同总价中。</w:t>
      </w:r>
    </w:p>
    <w:p w14:paraId="16B07594">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③卫生与供水</w:t>
      </w:r>
    </w:p>
    <w:p w14:paraId="317A6C31">
      <w:pPr>
        <w:spacing w:line="360" w:lineRule="auto"/>
        <w:ind w:left="9" w:right="6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承包人应自费采取应有的卫生防护措施，经常保持现场及其驻地整洁和卫生，为其雇用的员工供应清洁的饮用水和合格的生活用水，以保护职员和工人的健康。在炎热的</w:t>
      </w:r>
      <w:r>
        <w:rPr>
          <w:rFonts w:ascii="宋体" w:hAnsi="宋体" w:cs="宋体"/>
          <w:color w:val="000000" w:themeColor="text1"/>
          <w:spacing w:val="-1"/>
          <w:sz w:val="24"/>
          <w:highlight w:val="none"/>
          <w14:textFill>
            <w14:solidFill>
              <w14:schemeClr w14:val="tx1"/>
            </w14:solidFill>
          </w14:textFill>
        </w:rPr>
        <w:t>高温条件下施工时，承包人应注意采取防暑降温措施。</w:t>
      </w:r>
    </w:p>
    <w:p w14:paraId="6FC8DB59">
      <w:pPr>
        <w:spacing w:line="360" w:lineRule="auto"/>
        <w:ind w:left="10" w:right="61"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组织人员进驻工程现场时，应切实采取预防疫情的有效措施，配备必要的医疗用品、以及消毒、测温、通风等设施、设备，加强疫情防控工作。承包人应至少设一名专职的、具有一定卫生常识及传染病防治知识的卫生督查员，负责承包人所在施工</w:t>
      </w:r>
      <w:r>
        <w:rPr>
          <w:rFonts w:ascii="宋体" w:hAnsi="宋体" w:cs="宋体"/>
          <w:color w:val="000000" w:themeColor="text1"/>
          <w:spacing w:val="1"/>
          <w:sz w:val="24"/>
          <w:highlight w:val="none"/>
          <w14:textFill>
            <w14:solidFill>
              <w14:schemeClr w14:val="tx1"/>
            </w14:solidFill>
          </w14:textFill>
        </w:rPr>
        <w:t>现场的传染病检查、控制和报告工作。供餐</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人以上食堂必须向</w:t>
      </w:r>
      <w:r>
        <w:rPr>
          <w:rFonts w:ascii="宋体" w:hAnsi="宋体" w:cs="宋体"/>
          <w:color w:val="000000" w:themeColor="text1"/>
          <w:sz w:val="24"/>
          <w:highlight w:val="none"/>
          <w14:textFill>
            <w14:solidFill>
              <w14:schemeClr w14:val="tx1"/>
            </w14:solidFill>
          </w14:textFill>
        </w:rPr>
        <w:t>当地县级市场监管部</w:t>
      </w:r>
      <w:r>
        <w:rPr>
          <w:rFonts w:ascii="宋体" w:hAnsi="宋体" w:cs="宋体"/>
          <w:color w:val="000000" w:themeColor="text1"/>
          <w:spacing w:val="-2"/>
          <w:sz w:val="24"/>
          <w:highlight w:val="none"/>
          <w14:textFill>
            <w14:solidFill>
              <w14:schemeClr w14:val="tx1"/>
            </w14:solidFill>
          </w14:textFill>
        </w:rPr>
        <w:t>门申办食品经营许可证。</w:t>
      </w:r>
    </w:p>
    <w:p w14:paraId="3C8C9AE6">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承包人还应建立人员流动登记制度，信息报告制度</w:t>
      </w:r>
      <w:r>
        <w:rPr>
          <w:rFonts w:ascii="宋体" w:hAnsi="宋体" w:cs="宋体"/>
          <w:color w:val="000000" w:themeColor="text1"/>
          <w:spacing w:val="-7"/>
          <w:sz w:val="24"/>
          <w:highlight w:val="none"/>
          <w14:textFill>
            <w14:solidFill>
              <w14:schemeClr w14:val="tx1"/>
            </w14:solidFill>
          </w14:textFill>
        </w:rPr>
        <w:t>，与当地卫生防疫部门积极合作，</w:t>
      </w:r>
      <w:r>
        <w:rPr>
          <w:rFonts w:ascii="宋体" w:hAnsi="宋体" w:cs="宋体"/>
          <w:color w:val="000000" w:themeColor="text1"/>
          <w:spacing w:val="-2"/>
          <w:sz w:val="24"/>
          <w:highlight w:val="none"/>
          <w14:textFill>
            <w14:solidFill>
              <w14:schemeClr w14:val="tx1"/>
            </w14:solidFill>
          </w14:textFill>
        </w:rPr>
        <w:t>做好各项防范措施的落实工作。一旦暴发任何具有传染性的疾病时，承包人应遵守并执</w:t>
      </w:r>
      <w:r>
        <w:rPr>
          <w:rFonts w:ascii="宋体" w:hAnsi="宋体" w:cs="宋体"/>
          <w:color w:val="000000" w:themeColor="text1"/>
          <w:sz w:val="24"/>
          <w:highlight w:val="none"/>
          <w14:textFill>
            <w14:solidFill>
              <w14:schemeClr w14:val="tx1"/>
            </w14:solidFill>
          </w14:textFill>
        </w:rPr>
        <w:t>行当地政府或卫生防疫部门为防治和消灭上述传染病蔓延而制订的规章、命令和要求，</w:t>
      </w:r>
      <w:r>
        <w:rPr>
          <w:rFonts w:ascii="宋体" w:hAnsi="宋体" w:cs="宋体"/>
          <w:color w:val="000000" w:themeColor="text1"/>
          <w:spacing w:val="-1"/>
          <w:sz w:val="24"/>
          <w:highlight w:val="none"/>
          <w14:textFill>
            <w14:solidFill>
              <w14:schemeClr w14:val="tx1"/>
            </w14:solidFill>
          </w14:textFill>
        </w:rPr>
        <w:t>并及时报告当地卫生防疫部门及发包人。</w:t>
      </w:r>
    </w:p>
    <w:p w14:paraId="42C688AF">
      <w:pPr>
        <w:spacing w:line="360" w:lineRule="auto"/>
        <w:ind w:left="7"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将其采取上述措施而可能发生的全部费用计入投标报价中，发包人将不另行支付。如发生属不可抗力的公共卫生事件，承包人采取防控措施而发生的费用，参照政府部门的相关规定，予以合理补偿。因承包人采取措施不力所造成的一切后果，均由承包人自行负责。</w:t>
      </w:r>
    </w:p>
    <w:p w14:paraId="28B15EC6">
      <w:pPr>
        <w:spacing w:line="360" w:lineRule="auto"/>
        <w:rPr>
          <w:rFonts w:hint="eastAsia" w:ascii="宋体" w:hAnsi="宋体" w:cs="宋体"/>
          <w:color w:val="000000" w:themeColor="text1"/>
          <w:sz w:val="24"/>
          <w:highlight w:val="none"/>
          <w14:textFill>
            <w14:solidFill>
              <w14:schemeClr w14:val="tx1"/>
            </w14:solidFill>
          </w14:textFill>
        </w:rPr>
        <w:sectPr>
          <w:headerReference r:id="rId39" w:type="default"/>
          <w:footerReference r:id="rId40" w:type="default"/>
          <w:pgSz w:w="11906" w:h="16839"/>
          <w:pgMar w:top="1182" w:right="1356" w:bottom="1168" w:left="1417" w:header="849" w:footer="934" w:gutter="0"/>
          <w:cols w:space="720" w:num="1"/>
        </w:sectPr>
      </w:pPr>
    </w:p>
    <w:p w14:paraId="510D8B7D">
      <w:pPr>
        <w:pStyle w:val="3"/>
        <w:spacing w:line="360" w:lineRule="auto"/>
        <w:rPr>
          <w:color w:val="000000" w:themeColor="text1"/>
          <w:highlight w:val="none"/>
          <w14:textFill>
            <w14:solidFill>
              <w14:schemeClr w14:val="tx1"/>
            </w14:solidFill>
          </w14:textFill>
        </w:rPr>
      </w:pPr>
    </w:p>
    <w:p w14:paraId="02AC1AF8">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④项目审计、稽查和检查等的配合</w:t>
      </w:r>
    </w:p>
    <w:p w14:paraId="1BA627D1">
      <w:pPr>
        <w:spacing w:line="360" w:lineRule="auto"/>
        <w:ind w:left="7" w:firstLine="47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A、与本工程项目相关的审计和稽查，承包人应高度重视并委派专人积极予以配合，</w:t>
      </w:r>
      <w:r>
        <w:rPr>
          <w:rFonts w:ascii="宋体" w:hAnsi="宋体" w:cs="宋体"/>
          <w:color w:val="000000" w:themeColor="text1"/>
          <w:spacing w:val="-1"/>
          <w:sz w:val="24"/>
          <w:highlight w:val="none"/>
          <w14:textFill>
            <w14:solidFill>
              <w14:schemeClr w14:val="tx1"/>
            </w14:solidFill>
          </w14:textFill>
        </w:rPr>
        <w:t>对审计和稽查的有关意见承包人应无条件地及时整改。</w:t>
      </w:r>
    </w:p>
    <w:p w14:paraId="1BA9E8CA">
      <w:pPr>
        <w:spacing w:line="360" w:lineRule="auto"/>
        <w:ind w:left="9" w:right="61" w:firstLine="47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B、有关单位对本项目的各种检查和视察等活动，承包人和监理人有</w:t>
      </w:r>
      <w:r>
        <w:rPr>
          <w:rFonts w:ascii="宋体" w:hAnsi="宋体" w:cs="宋体"/>
          <w:color w:val="000000" w:themeColor="text1"/>
          <w:spacing w:val="1"/>
          <w:sz w:val="24"/>
          <w:highlight w:val="none"/>
          <w14:textFill>
            <w14:solidFill>
              <w14:schemeClr w14:val="tx1"/>
            </w14:solidFill>
          </w14:textFill>
        </w:rPr>
        <w:t>义务积极配合</w:t>
      </w:r>
      <w:r>
        <w:rPr>
          <w:rFonts w:ascii="宋体" w:hAnsi="宋体" w:cs="宋体"/>
          <w:color w:val="000000" w:themeColor="text1"/>
          <w:spacing w:val="-2"/>
          <w:sz w:val="24"/>
          <w:highlight w:val="none"/>
          <w14:textFill>
            <w14:solidFill>
              <w14:schemeClr w14:val="tx1"/>
            </w14:solidFill>
          </w14:textFill>
        </w:rPr>
        <w:t>开展各项工作。</w:t>
      </w:r>
    </w:p>
    <w:p w14:paraId="52DDB4B1">
      <w:pPr>
        <w:spacing w:line="360" w:lineRule="auto"/>
        <w:ind w:left="11" w:right="61" w:firstLine="47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C、本工程项目有关的各类统计报表和汇报材料包括项目后评</w:t>
      </w:r>
      <w:r>
        <w:rPr>
          <w:rFonts w:ascii="宋体" w:hAnsi="宋体" w:cs="宋体"/>
          <w:color w:val="000000" w:themeColor="text1"/>
          <w:spacing w:val="1"/>
          <w:sz w:val="24"/>
          <w:highlight w:val="none"/>
          <w14:textFill>
            <w14:solidFill>
              <w14:schemeClr w14:val="tx1"/>
            </w14:solidFill>
          </w14:textFill>
        </w:rPr>
        <w:t>价报告，承包人和监</w:t>
      </w:r>
      <w:r>
        <w:rPr>
          <w:rFonts w:ascii="宋体" w:hAnsi="宋体" w:cs="宋体"/>
          <w:color w:val="000000" w:themeColor="text1"/>
          <w:spacing w:val="-1"/>
          <w:sz w:val="24"/>
          <w:highlight w:val="none"/>
          <w14:textFill>
            <w14:solidFill>
              <w14:schemeClr w14:val="tx1"/>
            </w14:solidFill>
          </w14:textFill>
        </w:rPr>
        <w:t>理人有义务配合发包人做好编制工作并提供相应的资料。</w:t>
      </w:r>
    </w:p>
    <w:p w14:paraId="29EF6E7C">
      <w:pPr>
        <w:spacing w:line="360" w:lineRule="auto"/>
        <w:ind w:left="9" w:right="61" w:firstLine="47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D、承包人应按监理人和发包人的有关要求，建立相应的计量、支</w:t>
      </w:r>
      <w:r>
        <w:rPr>
          <w:rFonts w:ascii="宋体" w:hAnsi="宋体" w:cs="宋体"/>
          <w:color w:val="000000" w:themeColor="text1"/>
          <w:spacing w:val="1"/>
          <w:sz w:val="24"/>
          <w:highlight w:val="none"/>
          <w14:textFill>
            <w14:solidFill>
              <w14:schemeClr w14:val="tx1"/>
            </w14:solidFill>
          </w14:textFill>
        </w:rPr>
        <w:t>付、变更和造价</w:t>
      </w:r>
      <w:r>
        <w:rPr>
          <w:rFonts w:ascii="宋体" w:hAnsi="宋体" w:cs="宋体"/>
          <w:color w:val="000000" w:themeColor="text1"/>
          <w:spacing w:val="-2"/>
          <w:sz w:val="24"/>
          <w:highlight w:val="none"/>
          <w14:textFill>
            <w14:solidFill>
              <w14:schemeClr w14:val="tx1"/>
            </w14:solidFill>
          </w14:textFill>
        </w:rPr>
        <w:t>等台帐，同时承包人和监理人应配合发包人建立相应的台帐，三方各自的台帐应动态更新，并确保一致，直至工程结算完成。承包人应按省级公路工程造价管理信息化平台的</w:t>
      </w:r>
      <w:r>
        <w:rPr>
          <w:rFonts w:ascii="宋体" w:hAnsi="宋体" w:cs="宋体"/>
          <w:color w:val="000000" w:themeColor="text1"/>
          <w:spacing w:val="-1"/>
          <w:sz w:val="24"/>
          <w:highlight w:val="none"/>
          <w14:textFill>
            <w14:solidFill>
              <w14:schemeClr w14:val="tx1"/>
            </w14:solidFill>
          </w14:textFill>
        </w:rPr>
        <w:t>要求，及时上传造价文件。</w:t>
      </w:r>
    </w:p>
    <w:p w14:paraId="480DCFC7">
      <w:pPr>
        <w:spacing w:line="360" w:lineRule="auto"/>
        <w:ind w:left="486"/>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1"/>
          <w:position w:val="4"/>
          <w:sz w:val="24"/>
          <w:highlight w:val="none"/>
          <w14:textFill>
            <w14:solidFill>
              <w14:schemeClr w14:val="tx1"/>
            </w14:solidFill>
          </w14:textFill>
        </w:rPr>
        <w:t>⑤双标管理（标杆管理、标准化管理）</w:t>
      </w:r>
    </w:p>
    <w:p w14:paraId="5D210AC7">
      <w:pPr>
        <w:spacing w:line="360" w:lineRule="auto"/>
        <w:ind w:left="8"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承包人须贯彻落实交通运输部和广东省交通运输厅“平安百年品质工程</w:t>
      </w:r>
      <w:r>
        <w:rPr>
          <w:rFonts w:ascii="宋体" w:hAnsi="宋体" w:cs="宋体"/>
          <w:color w:val="000000" w:themeColor="text1"/>
          <w:spacing w:val="-7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”建设有关</w:t>
      </w:r>
      <w:r>
        <w:rPr>
          <w:rFonts w:ascii="宋体" w:hAnsi="宋体" w:cs="宋体"/>
          <w:color w:val="000000" w:themeColor="text1"/>
          <w:spacing w:val="-2"/>
          <w:sz w:val="24"/>
          <w:highlight w:val="none"/>
          <w14:textFill>
            <w14:solidFill>
              <w14:schemeClr w14:val="tx1"/>
            </w14:solidFill>
          </w14:textFill>
        </w:rPr>
        <w:t>要求，进一步深化标准化管理和标杆管理，推进精品建造和精细管理；严格遵守和执行交通运输部、广东省交通运输厅有关高速公路建设标准化管理（含发包人下发的标准化管理指南，如有</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高速公路建设样板（标杆）工程，高速公路施工优质优价，安全生</w:t>
      </w:r>
      <w:r>
        <w:rPr>
          <w:rFonts w:ascii="宋体" w:hAnsi="宋体" w:cs="宋体"/>
          <w:color w:val="000000" w:themeColor="text1"/>
          <w:sz w:val="24"/>
          <w:highlight w:val="none"/>
          <w14:textFill>
            <w14:solidFill>
              <w14:schemeClr w14:val="tx1"/>
            </w14:solidFill>
          </w14:textFill>
        </w:rPr>
        <w:t>产标准化，平安工地建设活动以及发包人制定</w:t>
      </w:r>
      <w:r>
        <w:rPr>
          <w:rFonts w:ascii="宋体" w:hAnsi="宋体" w:cs="宋体"/>
          <w:color w:val="000000" w:themeColor="text1"/>
          <w:spacing w:val="-1"/>
          <w:sz w:val="24"/>
          <w:highlight w:val="none"/>
          <w14:textFill>
            <w14:solidFill>
              <w14:schemeClr w14:val="tx1"/>
            </w14:solidFill>
          </w14:textFill>
        </w:rPr>
        <w:t>的工程管理手册等规定。</w:t>
      </w:r>
    </w:p>
    <w:p w14:paraId="00C4BB90">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⑥工程质量和施工档案</w:t>
      </w:r>
    </w:p>
    <w:p w14:paraId="1114E73C">
      <w:pPr>
        <w:spacing w:line="360" w:lineRule="auto"/>
        <w:ind w:left="9" w:right="61"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在施工过程中，如果工程质量不符合设计和规范要求以及优质工程有关管理规定，监理人或发包人要求停工和返工的，承包人必须立即执行，由此产生的各种费用由承包</w:t>
      </w:r>
      <w:r>
        <w:rPr>
          <w:rFonts w:ascii="宋体" w:hAnsi="宋体" w:cs="宋体"/>
          <w:color w:val="000000" w:themeColor="text1"/>
          <w:spacing w:val="-1"/>
          <w:sz w:val="24"/>
          <w:highlight w:val="none"/>
          <w14:textFill>
            <w14:solidFill>
              <w14:schemeClr w14:val="tx1"/>
            </w14:solidFill>
          </w14:textFill>
        </w:rPr>
        <w:t>人承担，工期不予顺延。</w:t>
      </w:r>
    </w:p>
    <w:p w14:paraId="7942B27C">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承包人应针对工序管理建立的自检、互检、专检</w:t>
      </w:r>
      <w:r>
        <w:rPr>
          <w:rFonts w:ascii="宋体" w:hAnsi="宋体" w:cs="宋体"/>
          <w:color w:val="000000" w:themeColor="text1"/>
          <w:spacing w:val="-1"/>
          <w:sz w:val="24"/>
          <w:highlight w:val="none"/>
          <w14:textFill>
            <w14:solidFill>
              <w14:schemeClr w14:val="tx1"/>
            </w14:solidFill>
          </w14:textFill>
        </w:rPr>
        <w:t>相结合的质量检验制度。</w:t>
      </w:r>
    </w:p>
    <w:p w14:paraId="14CA0DDA">
      <w:pPr>
        <w:spacing w:line="360" w:lineRule="auto"/>
        <w:ind w:left="11" w:right="61" w:firstLine="46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5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自检</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”责任主体为施工班组长，负责落实现场班组技术交底，检查工序各项质量</w:t>
      </w:r>
      <w:r>
        <w:rPr>
          <w:rFonts w:ascii="宋体" w:hAnsi="宋体" w:cs="宋体"/>
          <w:color w:val="000000" w:themeColor="text1"/>
          <w:spacing w:val="-2"/>
          <w:sz w:val="24"/>
          <w:highlight w:val="none"/>
          <w14:textFill>
            <w14:solidFill>
              <w14:schemeClr w14:val="tx1"/>
            </w14:solidFill>
          </w14:textFill>
        </w:rPr>
        <w:t>指标，对自检发现的问题进行整改，</w:t>
      </w:r>
      <w:r>
        <w:rPr>
          <w:rFonts w:ascii="宋体" w:hAnsi="宋体" w:cs="宋体"/>
          <w:color w:val="000000" w:themeColor="text1"/>
          <w:spacing w:val="-6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自检合格后向现场技术员或施工员报验。</w:t>
      </w:r>
    </w:p>
    <w:p w14:paraId="782D534D">
      <w:pPr>
        <w:spacing w:line="360" w:lineRule="auto"/>
        <w:ind w:left="8" w:right="61" w:firstLine="4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“互检</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”责任主体为项目部现场技术员或施工员，负责指导施工班</w:t>
      </w:r>
      <w:r>
        <w:rPr>
          <w:rFonts w:ascii="宋体" w:hAnsi="宋体" w:cs="宋体"/>
          <w:color w:val="000000" w:themeColor="text1"/>
          <w:spacing w:val="-3"/>
          <w:sz w:val="24"/>
          <w:highlight w:val="none"/>
          <w14:textFill>
            <w14:solidFill>
              <w14:schemeClr w14:val="tx1"/>
            </w14:solidFill>
          </w14:textFill>
        </w:rPr>
        <w:t>组按照方案、图</w:t>
      </w:r>
      <w:r>
        <w:rPr>
          <w:rFonts w:ascii="宋体" w:hAnsi="宋体" w:cs="宋体"/>
          <w:color w:val="000000" w:themeColor="text1"/>
          <w:spacing w:val="-2"/>
          <w:sz w:val="24"/>
          <w:highlight w:val="none"/>
          <w14:textFill>
            <w14:solidFill>
              <w14:schemeClr w14:val="tx1"/>
            </w14:solidFill>
          </w14:textFill>
        </w:rPr>
        <w:t>纸、规范施工，检查工序各项质量指标，督促对检查发现的质量问题进行整改，检查合</w:t>
      </w:r>
      <w:r>
        <w:rPr>
          <w:rFonts w:ascii="宋体" w:hAnsi="宋体" w:cs="宋体"/>
          <w:color w:val="000000" w:themeColor="text1"/>
          <w:spacing w:val="-1"/>
          <w:sz w:val="24"/>
          <w:highlight w:val="none"/>
          <w14:textFill>
            <w14:solidFill>
              <w14:schemeClr w14:val="tx1"/>
            </w14:solidFill>
          </w14:textFill>
        </w:rPr>
        <w:t>格后向专职质检员报验。</w:t>
      </w:r>
    </w:p>
    <w:p w14:paraId="39134565">
      <w:pPr>
        <w:spacing w:line="360" w:lineRule="auto"/>
        <w:ind w:left="8" w:right="53" w:firstLine="4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“专检</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”责任主体为专职质检员，负责现场工序质量检查、隐蔽工</w:t>
      </w:r>
      <w:r>
        <w:rPr>
          <w:rFonts w:ascii="宋体" w:hAnsi="宋体" w:cs="宋体"/>
          <w:color w:val="000000" w:themeColor="text1"/>
          <w:spacing w:val="-3"/>
          <w:sz w:val="24"/>
          <w:highlight w:val="none"/>
          <w14:textFill>
            <w14:solidFill>
              <w14:schemeClr w14:val="tx1"/>
            </w14:solidFill>
          </w14:textFill>
        </w:rPr>
        <w:t>程验收，检查合</w:t>
      </w:r>
      <w:bookmarkStart w:id="169" w:name="bookmark311"/>
      <w:bookmarkEnd w:id="169"/>
      <w:r>
        <w:rPr>
          <w:rFonts w:ascii="宋体" w:hAnsi="宋体" w:cs="宋体"/>
          <w:color w:val="000000" w:themeColor="text1"/>
          <w:spacing w:val="-1"/>
          <w:sz w:val="24"/>
          <w:highlight w:val="none"/>
          <w14:textFill>
            <w14:solidFill>
              <w14:schemeClr w14:val="tx1"/>
            </w14:solidFill>
          </w14:textFill>
        </w:rPr>
        <w:t>格后，向监理工程师提出验收申请，由监理工程师验收合</w:t>
      </w:r>
      <w:r>
        <w:rPr>
          <w:rFonts w:ascii="宋体" w:hAnsi="宋体" w:cs="宋体"/>
          <w:color w:val="000000" w:themeColor="text1"/>
          <w:spacing w:val="-2"/>
          <w:sz w:val="24"/>
          <w:highlight w:val="none"/>
          <w14:textFill>
            <w14:solidFill>
              <w14:schemeClr w14:val="tx1"/>
            </w14:solidFill>
          </w14:textFill>
        </w:rPr>
        <w:t>格后方可进入下道工序施工。</w:t>
      </w:r>
    </w:p>
    <w:p w14:paraId="3C01D12E">
      <w:pPr>
        <w:spacing w:line="360" w:lineRule="auto"/>
        <w:rPr>
          <w:rFonts w:hint="eastAsia" w:ascii="宋体" w:hAnsi="宋体" w:cs="宋体"/>
          <w:color w:val="000000" w:themeColor="text1"/>
          <w:sz w:val="18"/>
          <w:szCs w:val="18"/>
          <w:highlight w:val="none"/>
          <w14:textFill>
            <w14:solidFill>
              <w14:schemeClr w14:val="tx1"/>
            </w14:solidFill>
          </w14:textFill>
        </w:rPr>
        <w:sectPr>
          <w:footerReference r:id="rId41" w:type="default"/>
          <w:pgSz w:w="11906" w:h="16839"/>
          <w:pgMar w:top="1182" w:right="1356" w:bottom="1168" w:left="1417" w:header="849" w:footer="934" w:gutter="0"/>
          <w:cols w:space="720" w:num="1"/>
        </w:sectPr>
      </w:pPr>
    </w:p>
    <w:p w14:paraId="10ECFACD">
      <w:pPr>
        <w:pStyle w:val="3"/>
        <w:spacing w:line="360" w:lineRule="auto"/>
        <w:rPr>
          <w:color w:val="000000" w:themeColor="text1"/>
          <w:highlight w:val="none"/>
          <w14:textFill>
            <w14:solidFill>
              <w14:schemeClr w14:val="tx1"/>
            </w14:solidFill>
          </w14:textFill>
        </w:rPr>
      </w:pPr>
    </w:p>
    <w:p w14:paraId="42D7F540">
      <w:pPr>
        <w:spacing w:line="360" w:lineRule="auto"/>
        <w:ind w:left="11"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承包人质量部应建立工序验收台帐，统计“工序验收一次性通过率</w:t>
      </w:r>
      <w:r>
        <w:rPr>
          <w:rFonts w:ascii="宋体" w:hAnsi="宋体" w:cs="宋体"/>
          <w:color w:val="000000" w:themeColor="text1"/>
          <w:spacing w:val="-7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”。对在一定时</w:t>
      </w:r>
      <w:r>
        <w:rPr>
          <w:rFonts w:ascii="宋体" w:hAnsi="宋体" w:cs="宋体"/>
          <w:color w:val="000000" w:themeColor="text1"/>
          <w:sz w:val="24"/>
          <w:highlight w:val="none"/>
          <w14:textFill>
            <w14:solidFill>
              <w14:schemeClr w14:val="tx1"/>
            </w14:solidFill>
          </w14:textFill>
        </w:rPr>
        <w:t>间段内工序验收一次性通过率低于</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90%的班组应重新组织技</w:t>
      </w:r>
      <w:r>
        <w:rPr>
          <w:rFonts w:ascii="宋体" w:hAnsi="宋体" w:cs="宋体"/>
          <w:color w:val="000000" w:themeColor="text1"/>
          <w:spacing w:val="-1"/>
          <w:sz w:val="24"/>
          <w:highlight w:val="none"/>
          <w14:textFill>
            <w14:solidFill>
              <w14:schemeClr w14:val="tx1"/>
            </w14:solidFill>
          </w14:textFill>
        </w:rPr>
        <w:t>术交底和技能培训，加强施工过程中重点指导和管控，实施差异化管理。</w:t>
      </w:r>
    </w:p>
    <w:p w14:paraId="606E1CAD">
      <w:pPr>
        <w:spacing w:line="360" w:lineRule="auto"/>
        <w:ind w:left="1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差异化管理评价对象含分包队伍、施工班组。质量部应加强过程管理，发现问题及时督导改进。对于施工质量不能显著提升的班组，由质量总监主持召开质量专题会，分</w:t>
      </w:r>
      <w:r>
        <w:rPr>
          <w:rFonts w:ascii="宋体" w:hAnsi="宋体" w:cs="宋体"/>
          <w:color w:val="000000" w:themeColor="text1"/>
          <w:spacing w:val="-6"/>
          <w:sz w:val="24"/>
          <w:highlight w:val="none"/>
          <w14:textFill>
            <w14:solidFill>
              <w14:schemeClr w14:val="tx1"/>
            </w14:solidFill>
          </w14:textFill>
        </w:rPr>
        <w:t>析相关原因，制定整改措施；对于后续施工质量仍无显著提升的班组，应采取通报批评、</w:t>
      </w:r>
      <w:r>
        <w:rPr>
          <w:rFonts w:ascii="宋体" w:hAnsi="宋体" w:cs="宋体"/>
          <w:color w:val="000000" w:themeColor="text1"/>
          <w:spacing w:val="-2"/>
          <w:sz w:val="24"/>
          <w:highlight w:val="none"/>
          <w14:textFill>
            <w14:solidFill>
              <w14:schemeClr w14:val="tx1"/>
            </w14:solidFill>
          </w14:textFill>
        </w:rPr>
        <w:t>经济处罚、清退等措施。</w:t>
      </w:r>
    </w:p>
    <w:p w14:paraId="24CE2C0A">
      <w:pPr>
        <w:spacing w:line="360" w:lineRule="auto"/>
        <w:ind w:left="6" w:right="72"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承包人对已完工程必须进行严格的质量自检，只</w:t>
      </w:r>
      <w:r>
        <w:rPr>
          <w:rFonts w:ascii="宋体" w:hAnsi="宋体" w:cs="宋体"/>
          <w:color w:val="000000" w:themeColor="text1"/>
          <w:spacing w:val="-2"/>
          <w:sz w:val="24"/>
          <w:highlight w:val="none"/>
          <w14:textFill>
            <w14:solidFill>
              <w14:schemeClr w14:val="tx1"/>
            </w14:solidFill>
          </w14:textFill>
        </w:rPr>
        <w:t>有自检合格的工程才能向监理人、</w:t>
      </w:r>
      <w:r>
        <w:rPr>
          <w:rFonts w:ascii="宋体" w:hAnsi="宋体" w:cs="宋体"/>
          <w:color w:val="000000" w:themeColor="text1"/>
          <w:spacing w:val="3"/>
          <w:sz w:val="24"/>
          <w:highlight w:val="none"/>
          <w14:textFill>
            <w14:solidFill>
              <w14:schemeClr w14:val="tx1"/>
            </w14:solidFill>
          </w14:textFill>
        </w:rPr>
        <w:t>发包人提出验收和计量的申请。监理人在收到验收申请后的48</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小</w:t>
      </w:r>
      <w:r>
        <w:rPr>
          <w:rFonts w:ascii="宋体" w:hAnsi="宋体" w:cs="宋体"/>
          <w:color w:val="000000" w:themeColor="text1"/>
          <w:spacing w:val="2"/>
          <w:sz w:val="24"/>
          <w:highlight w:val="none"/>
          <w14:textFill>
            <w14:solidFill>
              <w14:schemeClr w14:val="tx1"/>
            </w14:solidFill>
          </w14:textFill>
        </w:rPr>
        <w:t>时内对工程进行抽检</w:t>
      </w:r>
      <w:r>
        <w:rPr>
          <w:rFonts w:ascii="宋体" w:hAnsi="宋体" w:cs="宋体"/>
          <w:color w:val="000000" w:themeColor="text1"/>
          <w:spacing w:val="-1"/>
          <w:sz w:val="24"/>
          <w:highlight w:val="none"/>
          <w14:textFill>
            <w14:solidFill>
              <w14:schemeClr w14:val="tx1"/>
            </w14:solidFill>
          </w14:textFill>
        </w:rPr>
        <w:t>和验收，对检验不合格的工程由承包人自费</w:t>
      </w:r>
      <w:r>
        <w:rPr>
          <w:rFonts w:ascii="宋体" w:hAnsi="宋体" w:cs="宋体"/>
          <w:color w:val="000000" w:themeColor="text1"/>
          <w:spacing w:val="-2"/>
          <w:sz w:val="24"/>
          <w:highlight w:val="none"/>
          <w14:textFill>
            <w14:solidFill>
              <w14:schemeClr w14:val="tx1"/>
            </w14:solidFill>
          </w14:textFill>
        </w:rPr>
        <w:t>修复或返工。如果工程不合格是由于承包人</w:t>
      </w:r>
      <w:r>
        <w:rPr>
          <w:rFonts w:ascii="宋体" w:hAnsi="宋体" w:cs="宋体"/>
          <w:color w:val="000000" w:themeColor="text1"/>
          <w:spacing w:val="-1"/>
          <w:sz w:val="24"/>
          <w:highlight w:val="none"/>
          <w14:textFill>
            <w14:solidFill>
              <w14:schemeClr w14:val="tx1"/>
            </w14:solidFill>
          </w14:textFill>
        </w:rPr>
        <w:t>的原因所致，则对承包人按项目专用合同条</w:t>
      </w:r>
      <w:r>
        <w:rPr>
          <w:rFonts w:ascii="宋体" w:hAnsi="宋体" w:cs="宋体"/>
          <w:color w:val="000000" w:themeColor="text1"/>
          <w:spacing w:val="-2"/>
          <w:sz w:val="24"/>
          <w:highlight w:val="none"/>
          <w14:textFill>
            <w14:solidFill>
              <w14:schemeClr w14:val="tx1"/>
            </w14:solidFill>
          </w14:textFill>
        </w:rPr>
        <w:t>款及发包人下发的工程质量管理办法的规定进行处罚。</w:t>
      </w:r>
    </w:p>
    <w:p w14:paraId="2EF5BD74">
      <w:pPr>
        <w:spacing w:line="360" w:lineRule="auto"/>
        <w:ind w:left="8" w:right="1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承包人必须设置专职档案员（资料员</w:t>
      </w:r>
      <w:r>
        <w:rPr>
          <w:rFonts w:ascii="宋体" w:hAnsi="宋体" w:cs="宋体"/>
          <w:color w:val="000000" w:themeColor="text1"/>
          <w:spacing w:val="-12"/>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专职档案员应具有高速公路项目的竣</w:t>
      </w:r>
      <w:r>
        <w:rPr>
          <w:rFonts w:ascii="宋体" w:hAnsi="宋体" w:cs="宋体"/>
          <w:color w:val="000000" w:themeColor="text1"/>
          <w:spacing w:val="-2"/>
          <w:sz w:val="24"/>
          <w:highlight w:val="none"/>
          <w14:textFill>
            <w14:solidFill>
              <w14:schemeClr w14:val="tx1"/>
            </w14:solidFill>
          </w14:textFill>
        </w:rPr>
        <w:t>工资料编制经验。承包人应将项目竣工文件材料的收集、整理、立卷、归档，纳入项目的日</w:t>
      </w:r>
      <w:r>
        <w:rPr>
          <w:rFonts w:ascii="宋体" w:hAnsi="宋体" w:cs="宋体"/>
          <w:color w:val="000000" w:themeColor="text1"/>
          <w:spacing w:val="-6"/>
          <w:sz w:val="24"/>
          <w:highlight w:val="none"/>
          <w14:textFill>
            <w14:solidFill>
              <w14:schemeClr w14:val="tx1"/>
            </w14:solidFill>
          </w14:textFill>
        </w:rPr>
        <w:t>常管理工作中，落实档案材料管理领导责任人制，专人负责竣工文件材料立卷归档</w:t>
      </w:r>
      <w:r>
        <w:rPr>
          <w:rFonts w:ascii="宋体" w:hAnsi="宋体" w:cs="宋体"/>
          <w:color w:val="000000" w:themeColor="text1"/>
          <w:spacing w:val="-7"/>
          <w:sz w:val="24"/>
          <w:highlight w:val="none"/>
          <w14:textFill>
            <w14:solidFill>
              <w14:schemeClr w14:val="tx1"/>
            </w14:solidFill>
          </w14:textFill>
        </w:rPr>
        <w:t>工作，</w:t>
      </w:r>
      <w:r>
        <w:rPr>
          <w:rFonts w:ascii="宋体" w:hAnsi="宋体" w:cs="宋体"/>
          <w:color w:val="000000" w:themeColor="text1"/>
          <w:spacing w:val="-2"/>
          <w:sz w:val="24"/>
          <w:highlight w:val="none"/>
          <w14:textFill>
            <w14:solidFill>
              <w14:schemeClr w14:val="tx1"/>
            </w14:solidFill>
          </w14:textFill>
        </w:rPr>
        <w:t>确保项目竣工文件材料的完整、准确与系统。工程结束后需按时、按质、按量提交符合</w:t>
      </w:r>
      <w:r>
        <w:rPr>
          <w:rFonts w:ascii="宋体" w:hAnsi="宋体" w:cs="宋体"/>
          <w:color w:val="000000" w:themeColor="text1"/>
          <w:spacing w:val="-1"/>
          <w:sz w:val="24"/>
          <w:highlight w:val="none"/>
          <w14:textFill>
            <w14:solidFill>
              <w14:schemeClr w14:val="tx1"/>
            </w14:solidFill>
          </w14:textFill>
        </w:rPr>
        <w:t>发包人要求的竣工文件纸质档案及电子档案。</w:t>
      </w:r>
    </w:p>
    <w:p w14:paraId="2381C18D">
      <w:pPr>
        <w:spacing w:line="360" w:lineRule="auto"/>
        <w:ind w:left="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项目部质量总监可行使质量管理“一票否决</w:t>
      </w:r>
      <w:r>
        <w:rPr>
          <w:rFonts w:ascii="宋体" w:hAnsi="宋体" w:cs="宋体"/>
          <w:color w:val="000000" w:themeColor="text1"/>
          <w:spacing w:val="-7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”权，当施工过程出现质量红线问题、</w:t>
      </w:r>
      <w:r>
        <w:rPr>
          <w:rFonts w:ascii="宋体" w:hAnsi="宋体" w:cs="宋体"/>
          <w:color w:val="000000" w:themeColor="text1"/>
          <w:spacing w:val="-6"/>
          <w:sz w:val="24"/>
          <w:highlight w:val="none"/>
          <w14:textFill>
            <w14:solidFill>
              <w14:schemeClr w14:val="tx1"/>
            </w14:solidFill>
          </w14:textFill>
        </w:rPr>
        <w:t>严重不良行为时，可采取责令停工整改、返工处理等措施，必要时直接向施工单位报告。</w:t>
      </w:r>
    </w:p>
    <w:p w14:paraId="02383DFC">
      <w:pPr>
        <w:spacing w:line="360" w:lineRule="auto"/>
        <w:ind w:left="10" w:right="80"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安全总监应协助项目经理制定职业危害防治计划和实施方案，建立监督检查制度，落实过程检查与整改闭环管理，建立职业卫生档案和作业人员健康监护档案，健全职业危害事故应急救援预案。</w:t>
      </w:r>
    </w:p>
    <w:p w14:paraId="5FAA89CA">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⑦施工补勘</w:t>
      </w:r>
    </w:p>
    <w:p w14:paraId="5B3BBF9A">
      <w:pPr>
        <w:spacing w:line="360" w:lineRule="auto"/>
        <w:ind w:left="11" w:right="80"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在工程施工期间，如果监理人要求承包人进行补钻孔或勘探性的开挖工作，须事先</w:t>
      </w:r>
      <w:r>
        <w:rPr>
          <w:rFonts w:ascii="宋体" w:hAnsi="宋体" w:cs="宋体"/>
          <w:color w:val="000000" w:themeColor="text1"/>
          <w:sz w:val="24"/>
          <w:highlight w:val="none"/>
          <w14:textFill>
            <w14:solidFill>
              <w14:schemeClr w14:val="tx1"/>
            </w14:solidFill>
          </w14:textFill>
        </w:rPr>
        <w:t>征得发包人同意。如果此项费用未包含在工程</w:t>
      </w:r>
      <w:r>
        <w:rPr>
          <w:rFonts w:ascii="宋体" w:hAnsi="宋体" w:cs="宋体"/>
          <w:color w:val="000000" w:themeColor="text1"/>
          <w:spacing w:val="-1"/>
          <w:sz w:val="24"/>
          <w:highlight w:val="none"/>
          <w14:textFill>
            <w14:solidFill>
              <w14:schemeClr w14:val="tx1"/>
            </w14:solidFill>
          </w14:textFill>
        </w:rPr>
        <w:t>量清单项目中，则按变更处理。</w:t>
      </w:r>
    </w:p>
    <w:p w14:paraId="432B6CB7">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⑧遗留问题的处理</w:t>
      </w:r>
    </w:p>
    <w:p w14:paraId="749C5F73">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施工过程中应与相关单位或部门多协调、多沟通，妥善处理因施工引起的对地方所产生的影响。承包人在施工过程中应自觉缴纳地方政府及相关单位要求的各类押金、保证金、租金或补偿及使用费用等。如承包人未能妥善处理与地方政府及相关单位的关系而影响施工的，发包人有权不需经承包人同意，代付上述各类款项，并从承包</w:t>
      </w:r>
    </w:p>
    <w:p w14:paraId="34A199A8">
      <w:pPr>
        <w:spacing w:line="360" w:lineRule="auto"/>
        <w:rPr>
          <w:rFonts w:hint="eastAsia" w:ascii="宋体" w:hAnsi="宋体" w:cs="宋体"/>
          <w:color w:val="000000" w:themeColor="text1"/>
          <w:sz w:val="24"/>
          <w:highlight w:val="none"/>
          <w14:textFill>
            <w14:solidFill>
              <w14:schemeClr w14:val="tx1"/>
            </w14:solidFill>
          </w14:textFill>
        </w:rPr>
        <w:sectPr>
          <w:headerReference r:id="rId42" w:type="default"/>
          <w:footerReference r:id="rId43" w:type="default"/>
          <w:pgSz w:w="11906" w:h="16839"/>
          <w:pgMar w:top="1182" w:right="1337" w:bottom="1168" w:left="1417" w:header="849" w:footer="934" w:gutter="0"/>
          <w:cols w:space="720" w:num="1"/>
        </w:sectPr>
      </w:pPr>
    </w:p>
    <w:p w14:paraId="515A5E22">
      <w:pPr>
        <w:pStyle w:val="3"/>
        <w:spacing w:line="360" w:lineRule="auto"/>
        <w:rPr>
          <w:color w:val="000000" w:themeColor="text1"/>
          <w:highlight w:val="none"/>
          <w14:textFill>
            <w14:solidFill>
              <w14:schemeClr w14:val="tx1"/>
            </w14:solidFill>
          </w14:textFill>
        </w:rPr>
      </w:pPr>
    </w:p>
    <w:p w14:paraId="4DC070EB">
      <w:pPr>
        <w:spacing w:line="360" w:lineRule="auto"/>
        <w:ind w:left="1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人计量款中扣回，最终从承包人结算款中予以如数</w:t>
      </w:r>
      <w:r>
        <w:rPr>
          <w:rFonts w:ascii="宋体" w:hAnsi="宋体" w:cs="宋体"/>
          <w:color w:val="000000" w:themeColor="text1"/>
          <w:spacing w:val="-1"/>
          <w:sz w:val="24"/>
          <w:highlight w:val="none"/>
          <w14:textFill>
            <w14:solidFill>
              <w14:schemeClr w14:val="tx1"/>
            </w14:solidFill>
          </w14:textFill>
        </w:rPr>
        <w:t>扣回，承包人应无条件接受。</w:t>
      </w:r>
    </w:p>
    <w:p w14:paraId="37EBD07A">
      <w:pPr>
        <w:spacing w:line="360" w:lineRule="auto"/>
        <w:ind w:left="10"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工程交工后竣工验收前，承包人所在合同段遗留的问题，承包人应积极主动地进行处理和解决并承担所有费用。如上述问题特别是与地方有关的遗留问题，承包人在发包人规定的期限内不能妥善处理的，发包人有权另行委托其他单位进行处理，发生的全部</w:t>
      </w:r>
      <w:r>
        <w:rPr>
          <w:rFonts w:ascii="宋体" w:hAnsi="宋体" w:cs="宋体"/>
          <w:color w:val="000000" w:themeColor="text1"/>
          <w:spacing w:val="-1"/>
          <w:sz w:val="24"/>
          <w:highlight w:val="none"/>
          <w14:textFill>
            <w14:solidFill>
              <w14:schemeClr w14:val="tx1"/>
            </w14:solidFill>
          </w14:textFill>
        </w:rPr>
        <w:t>费用从应付给承包人的任何款项中扣回，承包人须无条件接受。</w:t>
      </w:r>
    </w:p>
    <w:p w14:paraId="3189AADA">
      <w:pPr>
        <w:spacing w:line="360" w:lineRule="auto"/>
        <w:ind w:left="486"/>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⑨验收及其他</w:t>
      </w:r>
    </w:p>
    <w:p w14:paraId="70CF43A4">
      <w:pPr>
        <w:spacing w:line="360" w:lineRule="auto"/>
        <w:ind w:left="9"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根据《广东省交通运输厅关于进一步加强公路水路建设工程防雷工作的通知》要求，</w:t>
      </w:r>
      <w:r>
        <w:rPr>
          <w:rFonts w:ascii="宋体" w:hAnsi="宋体" w:cs="宋体"/>
          <w:color w:val="000000" w:themeColor="text1"/>
          <w:spacing w:val="-2"/>
          <w:sz w:val="24"/>
          <w:highlight w:val="none"/>
          <w14:textFill>
            <w14:solidFill>
              <w14:schemeClr w14:val="tx1"/>
            </w14:solidFill>
          </w14:textFill>
        </w:rPr>
        <w:t>本项目将防雷减灾工作纳入安全生产日常管理，发包人将根据上级要求及相关技术规范统筹安排，在本项目中落实防雷装置与主体工程同时设计、同时施工、同时验收，承包人必须承担相应防雷工作的主体责任，严格按本项目防雷设计与相关要求组织实施防雷工程施工，必须采购满足设计文件技术指标和功能参数的材料设备，材料设备必须提供</w:t>
      </w:r>
      <w:r>
        <w:rPr>
          <w:rFonts w:ascii="宋体" w:hAnsi="宋体" w:cs="宋体"/>
          <w:color w:val="000000" w:themeColor="text1"/>
          <w:spacing w:val="-6"/>
          <w:sz w:val="24"/>
          <w:highlight w:val="none"/>
          <w14:textFill>
            <w14:solidFill>
              <w14:schemeClr w14:val="tx1"/>
            </w14:solidFill>
          </w14:textFill>
        </w:rPr>
        <w:t>质量检验报告并接受质量监督，相关设备需报监理人批准，确保项目防雷工程验收合格。</w:t>
      </w:r>
    </w:p>
    <w:p w14:paraId="7DB2712F">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⑩应履行的其他义务</w:t>
      </w:r>
    </w:p>
    <w:p w14:paraId="178A5AD4">
      <w:pPr>
        <w:spacing w:line="360" w:lineRule="auto"/>
        <w:ind w:left="7" w:right="80" w:firstLine="47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A、承包人因非本合同项目的诉讼、仲裁或行政处罚，导致法院或其他有</w:t>
      </w:r>
      <w:r>
        <w:rPr>
          <w:rFonts w:ascii="宋体" w:hAnsi="宋体" w:cs="宋体"/>
          <w:color w:val="000000" w:themeColor="text1"/>
          <w:spacing w:val="1"/>
          <w:sz w:val="24"/>
          <w:highlight w:val="none"/>
          <w14:textFill>
            <w14:solidFill>
              <w14:schemeClr w14:val="tx1"/>
            </w14:solidFill>
          </w14:textFill>
        </w:rPr>
        <w:t>权机关依</w:t>
      </w:r>
      <w:r>
        <w:rPr>
          <w:rFonts w:ascii="宋体" w:hAnsi="宋体" w:cs="宋体"/>
          <w:color w:val="000000" w:themeColor="text1"/>
          <w:spacing w:val="-2"/>
          <w:sz w:val="24"/>
          <w:highlight w:val="none"/>
          <w14:textFill>
            <w14:solidFill>
              <w14:schemeClr w14:val="tx1"/>
            </w14:solidFill>
          </w14:textFill>
        </w:rPr>
        <w:t>法到发包人或发包人开户银行执行扣除承包人已完成工程量结算款项的，承包人须无条件接受该项执行扣款事实，承认已经收到发包人应付的该项工程进度款。此外，承包人还须对因该事件构成对发包人的负面影响与经济损失承担全额赔偿责任，同时视为承包</w:t>
      </w:r>
      <w:r>
        <w:rPr>
          <w:rFonts w:ascii="宋体" w:hAnsi="宋体" w:cs="宋体"/>
          <w:color w:val="000000" w:themeColor="text1"/>
          <w:spacing w:val="-1"/>
          <w:sz w:val="24"/>
          <w:highlight w:val="none"/>
          <w14:textFill>
            <w14:solidFill>
              <w14:schemeClr w14:val="tx1"/>
            </w14:solidFill>
          </w14:textFill>
        </w:rPr>
        <w:t>人违反工程价款专款专用的约定，按</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4.9</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款约定进行处</w:t>
      </w:r>
      <w:r>
        <w:rPr>
          <w:rFonts w:ascii="宋体" w:hAnsi="宋体" w:cs="宋体"/>
          <w:color w:val="000000" w:themeColor="text1"/>
          <w:spacing w:val="-2"/>
          <w:sz w:val="24"/>
          <w:highlight w:val="none"/>
          <w14:textFill>
            <w14:solidFill>
              <w14:schemeClr w14:val="tx1"/>
            </w14:solidFill>
          </w14:textFill>
        </w:rPr>
        <w:t>理。</w:t>
      </w:r>
    </w:p>
    <w:p w14:paraId="105BAD24">
      <w:pPr>
        <w:spacing w:line="360" w:lineRule="auto"/>
        <w:ind w:left="28" w:right="80" w:firstLine="45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B、承包人应根据发包人的要求和施工现场实际情况开展施工作业，</w:t>
      </w:r>
      <w:r>
        <w:rPr>
          <w:rFonts w:ascii="宋体" w:hAnsi="宋体" w:cs="宋体"/>
          <w:color w:val="000000" w:themeColor="text1"/>
          <w:spacing w:val="1"/>
          <w:sz w:val="24"/>
          <w:highlight w:val="none"/>
          <w14:textFill>
            <w14:solidFill>
              <w14:schemeClr w14:val="tx1"/>
            </w14:solidFill>
          </w14:textFill>
        </w:rPr>
        <w:t>必须按发包人</w:t>
      </w:r>
      <w:r>
        <w:rPr>
          <w:rFonts w:ascii="宋体" w:hAnsi="宋体" w:cs="宋体"/>
          <w:color w:val="000000" w:themeColor="text1"/>
          <w:spacing w:val="-1"/>
          <w:sz w:val="24"/>
          <w:highlight w:val="none"/>
          <w14:textFill>
            <w14:solidFill>
              <w14:schemeClr w14:val="tx1"/>
            </w14:solidFill>
          </w14:textFill>
        </w:rPr>
        <w:t>的指令开展施工，必要时必须借助地方道路或收费公路作为运输通道。</w:t>
      </w:r>
    </w:p>
    <w:p w14:paraId="0E75BE79">
      <w:pPr>
        <w:spacing w:line="360" w:lineRule="auto"/>
        <w:ind w:left="9"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C、海事、海洋、航道、环保、边防、公安、渔政、港口、交</w:t>
      </w:r>
      <w:r>
        <w:rPr>
          <w:rFonts w:ascii="宋体" w:hAnsi="宋体" w:cs="宋体"/>
          <w:color w:val="000000" w:themeColor="text1"/>
          <w:spacing w:val="1"/>
          <w:sz w:val="24"/>
          <w:highlight w:val="none"/>
          <w14:textFill>
            <w14:solidFill>
              <w14:schemeClr w14:val="tx1"/>
            </w14:solidFill>
          </w14:textFill>
        </w:rPr>
        <w:t>通维护、治安协调等</w:t>
      </w:r>
      <w:r>
        <w:rPr>
          <w:rFonts w:ascii="宋体" w:hAnsi="宋体" w:cs="宋体"/>
          <w:color w:val="000000" w:themeColor="text1"/>
          <w:spacing w:val="-2"/>
          <w:sz w:val="24"/>
          <w:highlight w:val="none"/>
          <w14:textFill>
            <w14:solidFill>
              <w14:schemeClr w14:val="tx1"/>
            </w14:solidFill>
          </w14:textFill>
        </w:rPr>
        <w:t>有关事宜费用。</w:t>
      </w:r>
    </w:p>
    <w:p w14:paraId="3DA3FEBD">
      <w:pPr>
        <w:spacing w:line="360" w:lineRule="auto"/>
        <w:ind w:left="7" w:right="2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对渔业资源、电力电缆、通信电缆（包括国防电</w:t>
      </w:r>
      <w:r>
        <w:rPr>
          <w:rFonts w:ascii="宋体" w:hAnsi="宋体" w:cs="宋体"/>
          <w:color w:val="000000" w:themeColor="text1"/>
          <w:spacing w:val="-7"/>
          <w:sz w:val="24"/>
          <w:highlight w:val="none"/>
          <w14:textFill>
            <w14:solidFill>
              <w14:schemeClr w14:val="tx1"/>
            </w14:solidFill>
          </w14:textFill>
        </w:rPr>
        <w:t>缆等）、供水排水管道等影响补偿：</w:t>
      </w:r>
      <w:r>
        <w:rPr>
          <w:rFonts w:ascii="宋体" w:hAnsi="宋体" w:cs="宋体"/>
          <w:color w:val="000000" w:themeColor="text1"/>
          <w:spacing w:val="-2"/>
          <w:sz w:val="24"/>
          <w:highlight w:val="none"/>
          <w14:textFill>
            <w14:solidFill>
              <w14:schemeClr w14:val="tx1"/>
            </w14:solidFill>
          </w14:textFill>
        </w:rPr>
        <w:t>承包人须就施工对渔业资源、电力电缆、通信电缆（包括国防电缆等）、供水排水管道等的影响与相关部门协商，并承担相应的补偿费用。因承包人施工给渔业资源、电力电缆、通信电缆（包括国防电缆等）、供水排水管道等造成损害的，承包人应承担一切责任和赔偿费用。</w:t>
      </w:r>
    </w:p>
    <w:p w14:paraId="6E88FA6A">
      <w:pPr>
        <w:spacing w:line="360" w:lineRule="auto"/>
        <w:ind w:left="5" w:right="80" w:firstLine="484"/>
        <w:rPr>
          <w:rFonts w:hint="eastAsia" w:ascii="宋体" w:hAnsi="宋体" w:cs="宋体"/>
          <w:color w:val="000000" w:themeColor="text1"/>
          <w:sz w:val="18"/>
          <w:szCs w:val="18"/>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现有航道的占用、改移和恢复：如本项目施工对现有航道造成直接影响，为保证施</w:t>
      </w:r>
      <w:bookmarkStart w:id="170" w:name="bookmark312"/>
      <w:bookmarkEnd w:id="170"/>
      <w:r>
        <w:rPr>
          <w:rFonts w:ascii="宋体" w:hAnsi="宋体" w:cs="宋体"/>
          <w:color w:val="000000" w:themeColor="text1"/>
          <w:spacing w:val="-1"/>
          <w:sz w:val="24"/>
          <w:highlight w:val="none"/>
          <w14:textFill>
            <w14:solidFill>
              <w14:schemeClr w14:val="tx1"/>
            </w14:solidFill>
          </w14:textFill>
        </w:rPr>
        <w:t>工期间各类船舶的正常通行和行驶安全，承包</w:t>
      </w:r>
      <w:r>
        <w:rPr>
          <w:rFonts w:ascii="宋体" w:hAnsi="宋体" w:cs="宋体"/>
          <w:color w:val="000000" w:themeColor="text1"/>
          <w:spacing w:val="-2"/>
          <w:sz w:val="24"/>
          <w:highlight w:val="none"/>
          <w14:textFill>
            <w14:solidFill>
              <w14:schemeClr w14:val="tx1"/>
            </w14:solidFill>
          </w14:textFill>
        </w:rPr>
        <w:t>人须对现有航道进行临时改移和维护，待</w:t>
      </w:r>
    </w:p>
    <w:p w14:paraId="0E9221DB">
      <w:pPr>
        <w:spacing w:line="360" w:lineRule="auto"/>
        <w:rPr>
          <w:rFonts w:hint="eastAsia" w:ascii="宋体" w:hAnsi="宋体" w:cs="宋体"/>
          <w:color w:val="000000" w:themeColor="text1"/>
          <w:sz w:val="18"/>
          <w:szCs w:val="18"/>
          <w:highlight w:val="none"/>
          <w14:textFill>
            <w14:solidFill>
              <w14:schemeClr w14:val="tx1"/>
            </w14:solidFill>
          </w14:textFill>
        </w:rPr>
        <w:sectPr>
          <w:footerReference r:id="rId44" w:type="default"/>
          <w:pgSz w:w="11906" w:h="16839"/>
          <w:pgMar w:top="1182" w:right="1337" w:bottom="1168" w:left="1417" w:header="849" w:footer="934" w:gutter="0"/>
          <w:cols w:space="720" w:num="1"/>
        </w:sectPr>
      </w:pPr>
    </w:p>
    <w:p w14:paraId="192E05CC">
      <w:pPr>
        <w:spacing w:line="360" w:lineRule="auto"/>
        <w:ind w:left="8" w:right="5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相关工程完成施工、现有航道具备恢复通航条件时再按原通航标准及时予以恢复，工作</w:t>
      </w:r>
      <w:r>
        <w:rPr>
          <w:rFonts w:ascii="宋体" w:hAnsi="宋体" w:cs="宋体"/>
          <w:color w:val="000000" w:themeColor="text1"/>
          <w:spacing w:val="-1"/>
          <w:sz w:val="24"/>
          <w:highlight w:val="none"/>
          <w14:textFill>
            <w14:solidFill>
              <w14:schemeClr w14:val="tx1"/>
            </w14:solidFill>
          </w14:textFill>
        </w:rPr>
        <w:t>内容包括但不限于勘察、设计、办理各种报批、施工许可</w:t>
      </w:r>
      <w:r>
        <w:rPr>
          <w:rFonts w:ascii="宋体" w:hAnsi="宋体" w:cs="宋体"/>
          <w:color w:val="000000" w:themeColor="text1"/>
          <w:spacing w:val="-2"/>
          <w:sz w:val="24"/>
          <w:highlight w:val="none"/>
          <w14:textFill>
            <w14:solidFill>
              <w14:schemeClr w14:val="tx1"/>
            </w14:solidFill>
          </w14:textFill>
        </w:rPr>
        <w:t>手续、施工、临时航道验收、航道维护、既有航道恢复以及验收等，相关费用已包含在合同总价中（除合同另有约定</w:t>
      </w:r>
      <w:r>
        <w:rPr>
          <w:rFonts w:ascii="宋体" w:hAnsi="宋体" w:cs="宋体"/>
          <w:color w:val="000000" w:themeColor="text1"/>
          <w:spacing w:val="-4"/>
          <w:sz w:val="24"/>
          <w:highlight w:val="none"/>
          <w14:textFill>
            <w14:solidFill>
              <w14:schemeClr w14:val="tx1"/>
            </w14:solidFill>
          </w14:textFill>
        </w:rPr>
        <w:t>外）。</w:t>
      </w:r>
    </w:p>
    <w:p w14:paraId="2FDC13DA">
      <w:pPr>
        <w:spacing w:line="360" w:lineRule="auto"/>
        <w:ind w:left="10"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现有道路、市政设施及绿化、青苗的占用和恢复：如本项目施工需临时占用现有道路、路灯照明、人行设施、绿化、青苗等，承包人应在施工前编制占用恢复计划，及时</w:t>
      </w:r>
      <w:r>
        <w:rPr>
          <w:rFonts w:ascii="宋体" w:hAnsi="宋体" w:cs="宋体"/>
          <w:color w:val="000000" w:themeColor="text1"/>
          <w:sz w:val="24"/>
          <w:highlight w:val="none"/>
          <w14:textFill>
            <w14:solidFill>
              <w14:schemeClr w14:val="tx1"/>
            </w14:solidFill>
          </w14:textFill>
        </w:rPr>
        <w:t>向公路、交警、市政园林等部门办理有关手续，并</w:t>
      </w:r>
      <w:r>
        <w:rPr>
          <w:rFonts w:ascii="宋体" w:hAnsi="宋体" w:cs="宋体"/>
          <w:color w:val="000000" w:themeColor="text1"/>
          <w:spacing w:val="-1"/>
          <w:sz w:val="24"/>
          <w:highlight w:val="none"/>
          <w14:textFill>
            <w14:solidFill>
              <w14:schemeClr w14:val="tx1"/>
            </w14:solidFill>
          </w14:textFill>
        </w:rPr>
        <w:t>承担相应的修复和补偿费用。</w:t>
      </w:r>
    </w:p>
    <w:p w14:paraId="3D99AFA2">
      <w:pPr>
        <w:spacing w:line="360" w:lineRule="auto"/>
        <w:ind w:left="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D、承担因违反有关部门规定造成的损失和违约金</w:t>
      </w:r>
    </w:p>
    <w:p w14:paraId="4D5DA30A">
      <w:pPr>
        <w:spacing w:line="360" w:lineRule="auto"/>
        <w:ind w:left="9"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承包人必须严格按照有关部门的规定和要求组织施工，如有违反，应承担相应的损失及违约金。同时，应充分考虑相关行业主管部门的监测保护要求和受影响单位的管制</w:t>
      </w:r>
      <w:r>
        <w:rPr>
          <w:rFonts w:ascii="宋体" w:hAnsi="宋体" w:cs="宋体"/>
          <w:color w:val="000000" w:themeColor="text1"/>
          <w:spacing w:val="-6"/>
          <w:sz w:val="24"/>
          <w:highlight w:val="none"/>
          <w14:textFill>
            <w14:solidFill>
              <w14:schemeClr w14:val="tx1"/>
            </w14:solidFill>
          </w14:textFill>
        </w:rPr>
        <w:t>要求，以及可能对作业点的控制或作业强度、作业时间等限制，对合同工期产生</w:t>
      </w:r>
      <w:r>
        <w:rPr>
          <w:rFonts w:ascii="宋体" w:hAnsi="宋体" w:cs="宋体"/>
          <w:color w:val="000000" w:themeColor="text1"/>
          <w:spacing w:val="-7"/>
          <w:sz w:val="24"/>
          <w:highlight w:val="none"/>
          <w14:textFill>
            <w14:solidFill>
              <w14:schemeClr w14:val="tx1"/>
            </w14:solidFill>
          </w14:textFill>
        </w:rPr>
        <w:t>的影响，</w:t>
      </w:r>
      <w:r>
        <w:rPr>
          <w:rFonts w:ascii="宋体" w:hAnsi="宋体" w:cs="宋体"/>
          <w:color w:val="000000" w:themeColor="text1"/>
          <w:spacing w:val="-1"/>
          <w:sz w:val="24"/>
          <w:highlight w:val="none"/>
          <w14:textFill>
            <w14:solidFill>
              <w14:schemeClr w14:val="tx1"/>
            </w14:solidFill>
          </w14:textFill>
        </w:rPr>
        <w:t>发包人不因此延长工期和增加费用（除合同另有约定外）。</w:t>
      </w:r>
    </w:p>
    <w:p w14:paraId="5606E10B">
      <w:pPr>
        <w:spacing w:line="360" w:lineRule="auto"/>
        <w:ind w:left="8" w:right="6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E、承包人应根据工程施工情况及监理人的指令，及时向监理人</w:t>
      </w:r>
      <w:r>
        <w:rPr>
          <w:rFonts w:ascii="宋体" w:hAnsi="宋体" w:cs="宋体"/>
          <w:color w:val="000000" w:themeColor="text1"/>
          <w:spacing w:val="1"/>
          <w:sz w:val="24"/>
          <w:highlight w:val="none"/>
          <w14:textFill>
            <w14:solidFill>
              <w14:schemeClr w14:val="tx1"/>
            </w14:solidFill>
          </w14:textFill>
        </w:rPr>
        <w:t>提交开工报告、测</w:t>
      </w:r>
      <w:r>
        <w:rPr>
          <w:rFonts w:ascii="宋体" w:hAnsi="宋体" w:cs="宋体"/>
          <w:color w:val="000000" w:themeColor="text1"/>
          <w:spacing w:val="-2"/>
          <w:sz w:val="24"/>
          <w:highlight w:val="none"/>
          <w14:textFill>
            <w14:solidFill>
              <w14:schemeClr w14:val="tx1"/>
            </w14:solidFill>
          </w14:textFill>
        </w:rPr>
        <w:t>量报告、试验检验报告、隐蔽工程验收通知、工程质量自检报告、交工验收申请报告及工程事故报告等。</w:t>
      </w:r>
    </w:p>
    <w:p w14:paraId="28D4B2C0">
      <w:pPr>
        <w:spacing w:line="360" w:lineRule="auto"/>
        <w:ind w:left="13" w:right="61" w:firstLine="47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F、承包人在进场后</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个月内对用地红线进行全面复</w:t>
      </w:r>
      <w:r>
        <w:rPr>
          <w:rFonts w:ascii="宋体" w:hAnsi="宋体" w:cs="宋体"/>
          <w:color w:val="000000" w:themeColor="text1"/>
          <w:sz w:val="24"/>
          <w:highlight w:val="none"/>
          <w14:textFill>
            <w14:solidFill>
              <w14:schemeClr w14:val="tx1"/>
            </w14:solidFill>
          </w14:textFill>
        </w:rPr>
        <w:t>核，如有误，必须立即书面通</w:t>
      </w:r>
      <w:r>
        <w:rPr>
          <w:rFonts w:ascii="宋体" w:hAnsi="宋体" w:cs="宋体"/>
          <w:color w:val="000000" w:themeColor="text1"/>
          <w:spacing w:val="-3"/>
          <w:sz w:val="24"/>
          <w:highlight w:val="none"/>
          <w14:textFill>
            <w14:solidFill>
              <w14:schemeClr w14:val="tx1"/>
            </w14:solidFill>
          </w14:textFill>
        </w:rPr>
        <w:t>知发包人。</w:t>
      </w:r>
    </w:p>
    <w:p w14:paraId="4AD5F55B">
      <w:pPr>
        <w:spacing w:line="360" w:lineRule="auto"/>
        <w:ind w:left="8" w:right="6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G、承包人进场后应对施工位置进行复核，对管线（包括但不限</w:t>
      </w:r>
      <w:r>
        <w:rPr>
          <w:rFonts w:ascii="宋体" w:hAnsi="宋体" w:cs="宋体"/>
          <w:color w:val="000000" w:themeColor="text1"/>
          <w:spacing w:val="1"/>
          <w:sz w:val="24"/>
          <w:highlight w:val="none"/>
          <w14:textFill>
            <w14:solidFill>
              <w14:schemeClr w14:val="tx1"/>
            </w14:solidFill>
          </w14:textFill>
        </w:rPr>
        <w:t>于电力电缆、通信</w:t>
      </w:r>
      <w:r>
        <w:rPr>
          <w:rFonts w:ascii="宋体" w:hAnsi="宋体" w:cs="宋体"/>
          <w:color w:val="000000" w:themeColor="text1"/>
          <w:spacing w:val="-2"/>
          <w:sz w:val="24"/>
          <w:highlight w:val="none"/>
          <w14:textFill>
            <w14:solidFill>
              <w14:schemeClr w14:val="tx1"/>
            </w14:solidFill>
          </w14:textFill>
        </w:rPr>
        <w:t>电缆、国防电缆、供水排水管道等）进行复核排查，对影响施工的管线等及时摸排清楚并通知监理人及发包人。如承包人未及时复查管线，施工造成管线破坏的，一切责任和损失由承包人承担。</w:t>
      </w:r>
    </w:p>
    <w:p w14:paraId="3700344D">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补充第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4.1.10(7)</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w:t>
      </w:r>
    </w:p>
    <w:p w14:paraId="7D78448E">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①建设质量保证体系义务</w:t>
      </w:r>
    </w:p>
    <w:p w14:paraId="63D8B81B">
      <w:pPr>
        <w:spacing w:line="360" w:lineRule="auto"/>
        <w:ind w:left="9" w:right="53"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项目部应建立质量管理组织机构，构建涵盖技术保证、过程保证、经济保证、思想保证的质量保证体系，成立以项目经理为第一责任人的质量管理领导小组，明确各部门</w:t>
      </w:r>
      <w:r>
        <w:rPr>
          <w:rFonts w:ascii="宋体" w:hAnsi="宋体" w:cs="宋体"/>
          <w:color w:val="000000" w:themeColor="text1"/>
          <w:spacing w:val="-1"/>
          <w:sz w:val="24"/>
          <w:highlight w:val="none"/>
          <w14:textFill>
            <w14:solidFill>
              <w14:schemeClr w14:val="tx1"/>
            </w14:solidFill>
          </w14:textFill>
        </w:rPr>
        <w:t>质量管理职责，建立全员岗位质量责任制，制定质量管</w:t>
      </w:r>
      <w:r>
        <w:rPr>
          <w:rFonts w:ascii="宋体" w:hAnsi="宋体" w:cs="宋体"/>
          <w:color w:val="000000" w:themeColor="text1"/>
          <w:spacing w:val="-2"/>
          <w:sz w:val="24"/>
          <w:highlight w:val="none"/>
          <w14:textFill>
            <w14:solidFill>
              <w14:schemeClr w14:val="tx1"/>
            </w14:solidFill>
          </w14:textFill>
        </w:rPr>
        <w:t>理制度及管理措施。实行“管、监</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”分离，建立质量自控与内部监督体系，设置质</w:t>
      </w:r>
      <w:r>
        <w:rPr>
          <w:rFonts w:ascii="宋体" w:hAnsi="宋体" w:cs="宋体"/>
          <w:color w:val="000000" w:themeColor="text1"/>
          <w:spacing w:val="-3"/>
          <w:sz w:val="24"/>
          <w:highlight w:val="none"/>
          <w14:textFill>
            <w14:solidFill>
              <w14:schemeClr w14:val="tx1"/>
            </w14:solidFill>
          </w14:textFill>
        </w:rPr>
        <w:t>量总监和质量管理部门，按要求配备</w:t>
      </w:r>
      <w:r>
        <w:rPr>
          <w:rFonts w:ascii="宋体" w:hAnsi="宋体" w:cs="宋体"/>
          <w:color w:val="000000" w:themeColor="text1"/>
          <w:spacing w:val="-1"/>
          <w:sz w:val="24"/>
          <w:highlight w:val="none"/>
          <w14:textFill>
            <w14:solidFill>
              <w14:schemeClr w14:val="tx1"/>
            </w14:solidFill>
          </w14:textFill>
        </w:rPr>
        <w:t>专职质量管理人员，对项目质量负检查监督责任。</w:t>
      </w:r>
    </w:p>
    <w:p w14:paraId="71C31A2A">
      <w:pPr>
        <w:spacing w:line="360" w:lineRule="auto"/>
        <w:ind w:left="15" w:right="61" w:firstLine="470"/>
        <w:rPr>
          <w:color w:val="000000" w:themeColor="text1"/>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②需建立首件工程制、工序检验“三检制</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、质量差异化管理、质量管理“一票否决</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”、“两清单一台帐</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”机制、质量内部监督等质</w:t>
      </w:r>
      <w:r>
        <w:rPr>
          <w:rFonts w:ascii="宋体" w:hAnsi="宋体" w:cs="宋体"/>
          <w:color w:val="000000" w:themeColor="text1"/>
          <w:spacing w:val="-4"/>
          <w:sz w:val="24"/>
          <w:highlight w:val="none"/>
          <w14:textFill>
            <w14:solidFill>
              <w14:schemeClr w14:val="tx1"/>
            </w14:solidFill>
          </w14:textFill>
        </w:rPr>
        <w:t>量管理制度，并完善质量内部监督机</w:t>
      </w:r>
    </w:p>
    <w:p w14:paraId="1F7CB7F5">
      <w:pPr>
        <w:spacing w:line="360" w:lineRule="auto"/>
        <w:ind w:left="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制。</w:t>
      </w:r>
    </w:p>
    <w:p w14:paraId="58AD0D34">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补充第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4.1.10(8)</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w:t>
      </w:r>
    </w:p>
    <w:p w14:paraId="7D5EA40B">
      <w:pPr>
        <w:spacing w:line="360" w:lineRule="auto"/>
        <w:ind w:left="1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承包人依据法律法规和施工合同约定，落实质量、</w:t>
      </w:r>
      <w:r>
        <w:rPr>
          <w:rFonts w:ascii="宋体" w:hAnsi="宋体" w:cs="宋体"/>
          <w:color w:val="000000" w:themeColor="text1"/>
          <w:spacing w:val="-7"/>
          <w:sz w:val="24"/>
          <w:highlight w:val="none"/>
          <w14:textFill>
            <w14:solidFill>
              <w14:schemeClr w14:val="tx1"/>
            </w14:solidFill>
          </w14:textFill>
        </w:rPr>
        <w:t>安全、进度、环（水）保等目标，</w:t>
      </w:r>
      <w:r>
        <w:rPr>
          <w:rFonts w:ascii="宋体" w:hAnsi="宋体" w:cs="宋体"/>
          <w:color w:val="000000" w:themeColor="text1"/>
          <w:spacing w:val="-1"/>
          <w:sz w:val="24"/>
          <w:highlight w:val="none"/>
          <w14:textFill>
            <w14:solidFill>
              <w14:schemeClr w14:val="tx1"/>
            </w14:solidFill>
          </w14:textFill>
        </w:rPr>
        <w:t>依法合规对项目进行全过程管控，对工程施工负主体责任。</w:t>
      </w:r>
    </w:p>
    <w:p w14:paraId="77414AAB">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补充第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4.1.10(9)</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w:t>
      </w:r>
    </w:p>
    <w:p w14:paraId="3BF1A1A8">
      <w:pPr>
        <w:spacing w:line="360" w:lineRule="auto"/>
        <w:ind w:left="6"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对于涉及土地征用、海域使用申请、林地占用审批等手续，项目部应安排专人负责</w:t>
      </w:r>
      <w:r>
        <w:rPr>
          <w:rFonts w:ascii="宋体" w:hAnsi="宋体" w:cs="宋体"/>
          <w:color w:val="000000" w:themeColor="text1"/>
          <w:spacing w:val="-1"/>
          <w:sz w:val="24"/>
          <w:highlight w:val="none"/>
          <w14:textFill>
            <w14:solidFill>
              <w14:schemeClr w14:val="tx1"/>
            </w14:solidFill>
          </w14:textFill>
        </w:rPr>
        <w:t>跟进办理，确保在取得合法手续后方可开展相应施工活动。</w:t>
      </w:r>
    </w:p>
    <w:p w14:paraId="6076CCBE">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4.1.10(10)</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472BF41D">
      <w:pPr>
        <w:spacing w:line="360" w:lineRule="auto"/>
        <w:ind w:left="31" w:right="61" w:firstLine="45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承包人应按照广东省《公路工程造价管理指南》的要求负责本合同段造价管理台账</w:t>
      </w:r>
      <w:r>
        <w:rPr>
          <w:rFonts w:ascii="宋体" w:hAnsi="宋体" w:cs="宋体"/>
          <w:color w:val="000000" w:themeColor="text1"/>
          <w:spacing w:val="-1"/>
          <w:sz w:val="24"/>
          <w:highlight w:val="none"/>
          <w14:textFill>
            <w14:solidFill>
              <w14:schemeClr w14:val="tx1"/>
            </w14:solidFill>
          </w14:textFill>
        </w:rPr>
        <w:t>乙组文件的编制和上报。造价管理台账编制应符合造价数据链文件编制的要求。</w:t>
      </w:r>
    </w:p>
    <w:p w14:paraId="6BEABFCC">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4.1.10(11)</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27B6A606">
      <w:pPr>
        <w:spacing w:line="360" w:lineRule="auto"/>
        <w:ind w:left="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统一维权信息告示牌设立主体和设立内容：</w:t>
      </w:r>
    </w:p>
    <w:p w14:paraId="2FB8761A">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（一）设立主体：施工总承包单位。</w:t>
      </w:r>
    </w:p>
    <w:p w14:paraId="793D54E2">
      <w:pPr>
        <w:spacing w:line="360" w:lineRule="auto"/>
        <w:ind w:left="7" w:right="61"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（二）设立内容：1.建设单位、施工总承包单位及所在项目部、分包单位、相关行</w:t>
      </w:r>
      <w:r>
        <w:rPr>
          <w:rFonts w:ascii="宋体" w:hAnsi="宋体" w:cs="宋体"/>
          <w:color w:val="000000" w:themeColor="text1"/>
          <w:spacing w:val="-1"/>
          <w:sz w:val="24"/>
          <w:highlight w:val="none"/>
          <w14:textFill>
            <w14:solidFill>
              <w14:schemeClr w14:val="tx1"/>
            </w14:solidFill>
          </w14:textFill>
        </w:rPr>
        <w:t>业工程建设主管部门、劳资专管员等基本信息</w:t>
      </w:r>
      <w:r>
        <w:rPr>
          <w:rFonts w:ascii="宋体" w:hAnsi="宋体" w:cs="宋体"/>
          <w:color w:val="000000" w:themeColor="text1"/>
          <w:spacing w:val="-2"/>
          <w:sz w:val="24"/>
          <w:highlight w:val="none"/>
          <w14:textFill>
            <w14:solidFill>
              <w14:schemeClr w14:val="tx1"/>
            </w14:solidFill>
          </w14:textFill>
        </w:rPr>
        <w:t>；2.当地最低工资标准、工资支付日期等</w:t>
      </w:r>
      <w:r>
        <w:rPr>
          <w:rFonts w:ascii="宋体" w:hAnsi="宋体" w:cs="宋体"/>
          <w:color w:val="000000" w:themeColor="text1"/>
          <w:spacing w:val="-1"/>
          <w:sz w:val="24"/>
          <w:highlight w:val="none"/>
          <w14:textFill>
            <w14:solidFill>
              <w14:schemeClr w14:val="tx1"/>
            </w14:solidFill>
          </w14:textFill>
        </w:rPr>
        <w:t>基本信息；3.相关行业工程建设主管部门和</w:t>
      </w:r>
      <w:r>
        <w:rPr>
          <w:rFonts w:ascii="宋体" w:hAnsi="宋体" w:cs="宋体"/>
          <w:color w:val="000000" w:themeColor="text1"/>
          <w:spacing w:val="-2"/>
          <w:sz w:val="24"/>
          <w:highlight w:val="none"/>
          <w14:textFill>
            <w14:solidFill>
              <w14:schemeClr w14:val="tx1"/>
            </w14:solidFill>
          </w14:textFill>
        </w:rPr>
        <w:t>劳动保障监察投诉举报电话、劳动争议调解</w:t>
      </w:r>
      <w:r>
        <w:rPr>
          <w:rFonts w:ascii="宋体" w:hAnsi="宋体" w:cs="宋体"/>
          <w:color w:val="000000" w:themeColor="text1"/>
          <w:spacing w:val="-1"/>
          <w:sz w:val="24"/>
          <w:highlight w:val="none"/>
          <w14:textFill>
            <w14:solidFill>
              <w14:schemeClr w14:val="tx1"/>
            </w14:solidFill>
          </w14:textFill>
        </w:rPr>
        <w:t>仲裁申请渠道、法律援助申请渠道、公共法律服务热线等信息。</w:t>
      </w:r>
    </w:p>
    <w:p w14:paraId="497088B0">
      <w:pPr>
        <w:spacing w:line="360" w:lineRule="auto"/>
        <w:ind w:left="72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4.1.10(12)</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26C461D7">
      <w:pPr>
        <w:spacing w:line="360" w:lineRule="auto"/>
        <w:ind w:left="11" w:firstLine="7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承包人应严格按照投标承诺，切实履行对项目部的管理职责，从资源调配、管理</w:t>
      </w:r>
      <w:r>
        <w:rPr>
          <w:rFonts w:ascii="宋体" w:hAnsi="宋体" w:cs="宋体"/>
          <w:color w:val="000000" w:themeColor="text1"/>
          <w:spacing w:val="-6"/>
          <w:sz w:val="24"/>
          <w:highlight w:val="none"/>
          <w14:textFill>
            <w14:solidFill>
              <w14:schemeClr w14:val="tx1"/>
            </w14:solidFill>
          </w14:textFill>
        </w:rPr>
        <w:t>统筹、技术支持等方面提供全方位支持保障，对施工组织总体策划等重要事</w:t>
      </w:r>
      <w:r>
        <w:rPr>
          <w:rFonts w:ascii="宋体" w:hAnsi="宋体" w:cs="宋体"/>
          <w:color w:val="000000" w:themeColor="text1"/>
          <w:spacing w:val="-7"/>
          <w:sz w:val="24"/>
          <w:highlight w:val="none"/>
          <w14:textFill>
            <w14:solidFill>
              <w14:schemeClr w14:val="tx1"/>
            </w14:solidFill>
          </w14:textFill>
        </w:rPr>
        <w:t>项提级管理，</w:t>
      </w:r>
      <w:r>
        <w:rPr>
          <w:rFonts w:ascii="宋体" w:hAnsi="宋体" w:cs="宋体"/>
          <w:color w:val="000000" w:themeColor="text1"/>
          <w:spacing w:val="-2"/>
          <w:sz w:val="24"/>
          <w:highlight w:val="none"/>
          <w14:textFill>
            <w14:solidFill>
              <w14:schemeClr w14:val="tx1"/>
            </w14:solidFill>
          </w14:textFill>
        </w:rPr>
        <w:t>建立公开透明的内部监管机制，制定过程监管措施，定期对项目部的履约情况进行检查</w:t>
      </w:r>
      <w:r>
        <w:rPr>
          <w:rFonts w:ascii="宋体" w:hAnsi="宋体" w:cs="宋体"/>
          <w:color w:val="000000" w:themeColor="text1"/>
          <w:spacing w:val="-1"/>
          <w:sz w:val="24"/>
          <w:highlight w:val="none"/>
          <w14:textFill>
            <w14:solidFill>
              <w14:schemeClr w14:val="tx1"/>
            </w14:solidFill>
          </w14:textFill>
        </w:rPr>
        <w:t>指导，检查结果及时上报发包人、监理单位。</w:t>
      </w:r>
    </w:p>
    <w:p w14:paraId="399BC737">
      <w:pPr>
        <w:spacing w:line="360" w:lineRule="auto"/>
        <w:ind w:left="72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4.1.10(13)</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01B40C01">
      <w:pPr>
        <w:spacing w:line="360" w:lineRule="auto"/>
        <w:ind w:left="6" w:right="61" w:firstLine="7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承包人在建设过程中对“项目现场管理机构</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”的履约情况每季</w:t>
      </w:r>
      <w:r>
        <w:rPr>
          <w:rFonts w:ascii="宋体" w:hAnsi="宋体" w:cs="宋体"/>
          <w:color w:val="000000" w:themeColor="text1"/>
          <w:sz w:val="24"/>
          <w:highlight w:val="none"/>
          <w14:textFill>
            <w14:solidFill>
              <w14:schemeClr w14:val="tx1"/>
            </w14:solidFill>
          </w14:textFill>
        </w:rPr>
        <w:t>度/半年进行监管</w:t>
      </w:r>
      <w:r>
        <w:rPr>
          <w:rFonts w:ascii="宋体" w:hAnsi="宋体" w:cs="宋体"/>
          <w:color w:val="000000" w:themeColor="text1"/>
          <w:spacing w:val="-1"/>
          <w:sz w:val="24"/>
          <w:highlight w:val="none"/>
          <w14:textFill>
            <w14:solidFill>
              <w14:schemeClr w14:val="tx1"/>
            </w14:solidFill>
          </w14:textFill>
        </w:rPr>
        <w:t>和支持，重要事项（主要包括主要负责人员</w:t>
      </w:r>
      <w:r>
        <w:rPr>
          <w:rFonts w:ascii="宋体" w:hAnsi="宋体" w:cs="宋体"/>
          <w:color w:val="000000" w:themeColor="text1"/>
          <w:spacing w:val="-2"/>
          <w:sz w:val="24"/>
          <w:highlight w:val="none"/>
          <w14:textFill>
            <w14:solidFill>
              <w14:schemeClr w14:val="tx1"/>
            </w14:solidFill>
          </w14:textFill>
        </w:rPr>
        <w:t>履职情况、质量安全保证体系运转情况、施</w:t>
      </w:r>
      <w:r>
        <w:rPr>
          <w:rFonts w:ascii="宋体" w:hAnsi="宋体" w:cs="宋体"/>
          <w:color w:val="000000" w:themeColor="text1"/>
          <w:spacing w:val="-1"/>
          <w:sz w:val="24"/>
          <w:highlight w:val="none"/>
          <w14:textFill>
            <w14:solidFill>
              <w14:schemeClr w14:val="tx1"/>
            </w14:solidFill>
          </w14:textFill>
        </w:rPr>
        <w:t>工组织总体策划、现场施工质量安全情况、</w:t>
      </w:r>
      <w:r>
        <w:rPr>
          <w:rFonts w:ascii="宋体" w:hAnsi="宋体" w:cs="宋体"/>
          <w:color w:val="000000" w:themeColor="text1"/>
          <w:spacing w:val="-2"/>
          <w:sz w:val="24"/>
          <w:highlight w:val="none"/>
          <w14:textFill>
            <w14:solidFill>
              <w14:schemeClr w14:val="tx1"/>
            </w14:solidFill>
          </w14:textFill>
        </w:rPr>
        <w:t>危大工程施工情况、变更申报及过程结算开</w:t>
      </w:r>
      <w:r>
        <w:rPr>
          <w:rFonts w:ascii="宋体" w:hAnsi="宋体" w:cs="宋体"/>
          <w:color w:val="000000" w:themeColor="text1"/>
          <w:spacing w:val="-1"/>
          <w:sz w:val="24"/>
          <w:highlight w:val="none"/>
          <w14:textFill>
            <w14:solidFill>
              <w14:schemeClr w14:val="tx1"/>
            </w14:solidFill>
          </w14:textFill>
        </w:rPr>
        <w:t>展情况等）提级管理，接受发包人对该项工</w:t>
      </w:r>
      <w:r>
        <w:rPr>
          <w:rFonts w:ascii="宋体" w:hAnsi="宋体" w:cs="宋体"/>
          <w:color w:val="000000" w:themeColor="text1"/>
          <w:spacing w:val="-2"/>
          <w:sz w:val="24"/>
          <w:highlight w:val="none"/>
          <w14:textFill>
            <w14:solidFill>
              <w14:schemeClr w14:val="tx1"/>
            </w14:solidFill>
          </w14:textFill>
        </w:rPr>
        <w:t>作进行专项管理，接受发包人对施工单位项</w:t>
      </w:r>
      <w:r>
        <w:rPr>
          <w:rFonts w:ascii="宋体" w:hAnsi="宋体" w:cs="宋体"/>
          <w:color w:val="000000" w:themeColor="text1"/>
          <w:spacing w:val="-1"/>
          <w:sz w:val="24"/>
          <w:highlight w:val="none"/>
          <w14:textFill>
            <w14:solidFill>
              <w14:schemeClr w14:val="tx1"/>
            </w14:solidFill>
          </w14:textFill>
        </w:rPr>
        <w:t>目部的履约情况进行检查指导，承包人的履</w:t>
      </w:r>
      <w:r>
        <w:rPr>
          <w:rFonts w:ascii="宋体" w:hAnsi="宋体" w:cs="宋体"/>
          <w:color w:val="000000" w:themeColor="text1"/>
          <w:spacing w:val="-2"/>
          <w:sz w:val="24"/>
          <w:highlight w:val="none"/>
          <w14:textFill>
            <w14:solidFill>
              <w14:schemeClr w14:val="tx1"/>
            </w14:solidFill>
          </w14:textFill>
        </w:rPr>
        <w:t>约情况将纳入其年度信用管理。承包人应当</w:t>
      </w:r>
      <w:r>
        <w:rPr>
          <w:rFonts w:ascii="宋体" w:hAnsi="宋体" w:cs="宋体"/>
          <w:color w:val="000000" w:themeColor="text1"/>
          <w:spacing w:val="-1"/>
          <w:sz w:val="24"/>
          <w:highlight w:val="none"/>
          <w14:textFill>
            <w14:solidFill>
              <w14:schemeClr w14:val="tx1"/>
            </w14:solidFill>
          </w14:textFill>
        </w:rPr>
        <w:t>将检查情况形成书面报告，提交发包人与监理人。</w:t>
      </w:r>
    </w:p>
    <w:p w14:paraId="157B140B">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4.2 履约保证金</w:t>
      </w:r>
    </w:p>
    <w:p w14:paraId="6F207059">
      <w:pPr>
        <w:spacing w:line="360" w:lineRule="auto"/>
        <w:rPr>
          <w:rFonts w:hint="eastAsia" w:ascii="宋体" w:hAnsi="宋体" w:cs="宋体"/>
          <w:color w:val="000000" w:themeColor="text1"/>
          <w:sz w:val="24"/>
          <w:highlight w:val="none"/>
          <w14:textFill>
            <w14:solidFill>
              <w14:schemeClr w14:val="tx1"/>
            </w14:solidFill>
          </w14:textFill>
        </w:rPr>
        <w:sectPr>
          <w:headerReference r:id="rId45" w:type="default"/>
          <w:footerReference r:id="rId46" w:type="default"/>
          <w:pgSz w:w="11906" w:h="16839"/>
          <w:pgMar w:top="1182" w:right="1356" w:bottom="1168" w:left="1417" w:header="849" w:footer="934" w:gutter="0"/>
          <w:cols w:space="720" w:num="1"/>
        </w:sectPr>
      </w:pPr>
    </w:p>
    <w:p w14:paraId="3A9AD36F">
      <w:pPr>
        <w:pStyle w:val="3"/>
        <w:spacing w:line="360" w:lineRule="auto"/>
        <w:rPr>
          <w:color w:val="000000" w:themeColor="text1"/>
          <w:highlight w:val="none"/>
          <w14:textFill>
            <w14:solidFill>
              <w14:schemeClr w14:val="tx1"/>
            </w14:solidFill>
          </w14:textFill>
        </w:rPr>
      </w:pPr>
    </w:p>
    <w:p w14:paraId="4E92A3C3">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25E8BFF9">
      <w:pPr>
        <w:spacing w:line="360"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承包人在收到中标通知书后</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28</w:t>
      </w:r>
      <w:r>
        <w:rPr>
          <w:rFonts w:ascii="宋体" w:hAnsi="宋体" w:cs="宋体"/>
          <w:color w:val="000000" w:themeColor="text1"/>
          <w:spacing w:val="-43"/>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天之内</w:t>
      </w:r>
      <w:r>
        <w:rPr>
          <w:rFonts w:ascii="宋体" w:hAnsi="宋体" w:cs="宋体"/>
          <w:color w:val="000000" w:themeColor="text1"/>
          <w:spacing w:val="1"/>
          <w:sz w:val="24"/>
          <w:highlight w:val="none"/>
          <w14:textFill>
            <w14:solidFill>
              <w14:schemeClr w14:val="tx1"/>
            </w14:solidFill>
          </w14:textFill>
        </w:rPr>
        <w:t>并在签订合同协议书之前，应</w:t>
      </w:r>
      <w:r>
        <w:rPr>
          <w:rFonts w:ascii="宋体" w:hAnsi="宋体" w:cs="宋体"/>
          <w:color w:val="000000" w:themeColor="text1"/>
          <w:sz w:val="24"/>
          <w:highlight w:val="none"/>
          <w14:textFill>
            <w14:solidFill>
              <w14:schemeClr w14:val="tx1"/>
            </w14:solidFill>
          </w14:textFill>
        </w:rPr>
        <w:t>按投标人须知</w:t>
      </w:r>
      <w:r>
        <w:rPr>
          <w:rFonts w:ascii="宋体" w:hAnsi="宋体" w:cs="宋体"/>
          <w:color w:val="000000" w:themeColor="text1"/>
          <w:spacing w:val="-2"/>
          <w:sz w:val="24"/>
          <w:highlight w:val="none"/>
          <w14:textFill>
            <w14:solidFill>
              <w14:schemeClr w14:val="tx1"/>
            </w14:solidFill>
          </w14:textFill>
        </w:rPr>
        <w:t>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7.7.1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项规定的金额和形式提交履约保证金，由此所发生的费用由承</w:t>
      </w:r>
      <w:r>
        <w:rPr>
          <w:rFonts w:ascii="宋体" w:hAnsi="宋体" w:cs="宋体"/>
          <w:color w:val="000000" w:themeColor="text1"/>
          <w:spacing w:val="-3"/>
          <w:sz w:val="24"/>
          <w:highlight w:val="none"/>
          <w14:textFill>
            <w14:solidFill>
              <w14:schemeClr w14:val="tx1"/>
            </w14:solidFill>
          </w14:textFill>
        </w:rPr>
        <w:t>包人承担。承包</w:t>
      </w:r>
      <w:r>
        <w:rPr>
          <w:rFonts w:ascii="宋体" w:hAnsi="宋体" w:cs="宋体"/>
          <w:color w:val="000000" w:themeColor="text1"/>
          <w:spacing w:val="-2"/>
          <w:sz w:val="24"/>
          <w:highlight w:val="none"/>
          <w14:textFill>
            <w14:solidFill>
              <w14:schemeClr w14:val="tx1"/>
            </w14:solidFill>
          </w14:textFill>
        </w:rPr>
        <w:t>人应保证其履约保证金在发包人开始扣留质量保证金前一直有效。发包人开始扣留质量</w:t>
      </w:r>
      <w:r>
        <w:rPr>
          <w:rFonts w:ascii="宋体" w:hAnsi="宋体" w:cs="宋体"/>
          <w:color w:val="000000" w:themeColor="text1"/>
          <w:spacing w:val="-1"/>
          <w:sz w:val="24"/>
          <w:highlight w:val="none"/>
          <w14:textFill>
            <w14:solidFill>
              <w14:schemeClr w14:val="tx1"/>
            </w14:solidFill>
          </w14:textFill>
        </w:rPr>
        <w:t>保证金时同步一次性向承包人退还全部履约保证金。</w:t>
      </w:r>
    </w:p>
    <w:p w14:paraId="2F9EBD13">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 转包、分包和劳务合作</w:t>
      </w:r>
    </w:p>
    <w:p w14:paraId="10CB863D">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03D2B6A0">
      <w:pPr>
        <w:spacing w:line="360" w:lineRule="auto"/>
        <w:ind w:left="10"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4.3.1 承包人不得将其承包的全部工程</w:t>
      </w:r>
      <w:r>
        <w:rPr>
          <w:rFonts w:ascii="宋体" w:hAnsi="宋体" w:cs="宋体"/>
          <w:color w:val="000000" w:themeColor="text1"/>
          <w:spacing w:val="-2"/>
          <w:sz w:val="24"/>
          <w:highlight w:val="none"/>
          <w14:textFill>
            <w14:solidFill>
              <w14:schemeClr w14:val="tx1"/>
            </w14:solidFill>
          </w14:textFill>
        </w:rPr>
        <w:t>转包给第三人，或将其承包的全部工程支解</w:t>
      </w:r>
      <w:r>
        <w:rPr>
          <w:rFonts w:ascii="宋体" w:hAnsi="宋体" w:cs="宋体"/>
          <w:color w:val="000000" w:themeColor="text1"/>
          <w:spacing w:val="-1"/>
          <w:sz w:val="24"/>
          <w:highlight w:val="none"/>
          <w14:textFill>
            <w14:solidFill>
              <w14:schemeClr w14:val="tx1"/>
            </w14:solidFill>
          </w14:textFill>
        </w:rPr>
        <w:t>后以施工分包的名义转包给第三人。</w:t>
      </w:r>
    </w:p>
    <w:p w14:paraId="5575EEA3">
      <w:pPr>
        <w:spacing w:line="360" w:lineRule="auto"/>
        <w:ind w:left="10"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4.3.2 承包人可以将部分单位工程、分</w:t>
      </w:r>
      <w:r>
        <w:rPr>
          <w:rFonts w:ascii="宋体" w:hAnsi="宋体" w:cs="宋体"/>
          <w:color w:val="000000" w:themeColor="text1"/>
          <w:spacing w:val="-2"/>
          <w:sz w:val="24"/>
          <w:highlight w:val="none"/>
          <w14:textFill>
            <w14:solidFill>
              <w14:schemeClr w14:val="tx1"/>
            </w14:solidFill>
          </w14:textFill>
        </w:rPr>
        <w:t>部工程或者分项工程分包给第三人，但不得涉及发包人不允许分包的工程范围。除承包人在投标文件中已明确的分包计划外，承包</w:t>
      </w:r>
      <w:r>
        <w:rPr>
          <w:rFonts w:ascii="宋体" w:hAnsi="宋体" w:cs="宋体"/>
          <w:color w:val="000000" w:themeColor="text1"/>
          <w:sz w:val="24"/>
          <w:highlight w:val="none"/>
          <w14:textFill>
            <w14:solidFill>
              <w14:schemeClr w14:val="tx1"/>
            </w14:solidFill>
          </w14:textFill>
        </w:rPr>
        <w:t>人拟进行分包的，应向监理人提出申请并经发</w:t>
      </w:r>
      <w:r>
        <w:rPr>
          <w:rFonts w:ascii="宋体" w:hAnsi="宋体" w:cs="宋体"/>
          <w:color w:val="000000" w:themeColor="text1"/>
          <w:spacing w:val="-1"/>
          <w:sz w:val="24"/>
          <w:highlight w:val="none"/>
          <w14:textFill>
            <w14:solidFill>
              <w14:schemeClr w14:val="tx1"/>
            </w14:solidFill>
          </w14:textFill>
        </w:rPr>
        <w:t>包人同意后，方可进行分包。</w:t>
      </w:r>
    </w:p>
    <w:p w14:paraId="7D7B44F4">
      <w:pPr>
        <w:spacing w:line="360"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发包人不允许分包的工程范围为：</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w:t>
      </w:r>
    </w:p>
    <w:p w14:paraId="241DB08A">
      <w:pPr>
        <w:spacing w:line="360" w:lineRule="auto"/>
        <w:ind w:left="11"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承包人如有分包计划，所有的分包必须符合交通运输部现行《公路工程施工分包管理办法》及《广东省交通运输厅关于公路工程施工分包管理实施细则》关于施工分包和劳务合作的有关规定。</w:t>
      </w:r>
    </w:p>
    <w:p w14:paraId="1F604CEB">
      <w:pPr>
        <w:spacing w:line="360" w:lineRule="auto"/>
        <w:ind w:left="9" w:right="1"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如实际的分包单价（或总额价）超出承包人与发包人签定的承包合同对应的清单单</w:t>
      </w:r>
      <w:r>
        <w:rPr>
          <w:rFonts w:ascii="宋体" w:hAnsi="宋体" w:cs="宋体"/>
          <w:color w:val="000000" w:themeColor="text1"/>
          <w:spacing w:val="-1"/>
          <w:sz w:val="24"/>
          <w:highlight w:val="none"/>
          <w14:textFill>
            <w14:solidFill>
              <w14:schemeClr w14:val="tx1"/>
            </w14:solidFill>
          </w14:textFill>
        </w:rPr>
        <w:t>价（或总额价</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视为承包人的风险，承包人应从合同总</w:t>
      </w:r>
      <w:r>
        <w:rPr>
          <w:rFonts w:ascii="宋体" w:hAnsi="宋体" w:cs="宋体"/>
          <w:color w:val="000000" w:themeColor="text1"/>
          <w:spacing w:val="-2"/>
          <w:sz w:val="24"/>
          <w:highlight w:val="none"/>
          <w14:textFill>
            <w14:solidFill>
              <w14:schemeClr w14:val="tx1"/>
            </w14:solidFill>
          </w14:textFill>
        </w:rPr>
        <w:t>价中进行调配，发包人不因此</w:t>
      </w:r>
      <w:r>
        <w:rPr>
          <w:rFonts w:ascii="宋体" w:hAnsi="宋体" w:cs="宋体"/>
          <w:color w:val="000000" w:themeColor="text1"/>
          <w:spacing w:val="-1"/>
          <w:sz w:val="24"/>
          <w:highlight w:val="none"/>
          <w14:textFill>
            <w14:solidFill>
              <w14:schemeClr w14:val="tx1"/>
            </w14:solidFill>
          </w14:textFill>
        </w:rPr>
        <w:t>向承包人增加支付任何费用。</w:t>
      </w:r>
    </w:p>
    <w:p w14:paraId="2DDC0183">
      <w:pPr>
        <w:spacing w:line="360" w:lineRule="auto"/>
        <w:ind w:left="11"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承包人应无条件提供本合同段的临时工程和设施（包括但不限于便道、便桥、电力</w:t>
      </w:r>
      <w:r>
        <w:rPr>
          <w:rFonts w:ascii="宋体" w:hAnsi="宋体" w:cs="宋体"/>
          <w:color w:val="000000" w:themeColor="text1"/>
          <w:spacing w:val="-1"/>
          <w:sz w:val="24"/>
          <w:highlight w:val="none"/>
          <w14:textFill>
            <w14:solidFill>
              <w14:schemeClr w14:val="tx1"/>
            </w14:solidFill>
          </w14:textFill>
        </w:rPr>
        <w:t>线路等）供分包人使用，不得向分包人收取临时工程和设施费用。</w:t>
      </w:r>
    </w:p>
    <w:p w14:paraId="54890521">
      <w:pPr>
        <w:spacing w:line="360" w:lineRule="auto"/>
        <w:ind w:left="7"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工程的计量由承包人负责统一上报，承包人应将发包人支付的属分包人部分的款项及时向分包人支付。发包人有权根据具体情况将相应款项直接向分包人支付，并从应付给承包人款项中相应扣回。承包人须负责分包部分原始资料的存档和竣工资料的统一编制等工作。发包人对承包人分包工程的同意并不免除承包人应承担的责任和义务。承包人应将任何分包人、分包代理人、雇员或工人的行为、违约和疏忽，视为承包人自己的</w:t>
      </w:r>
      <w:r>
        <w:rPr>
          <w:rFonts w:ascii="宋体" w:hAnsi="宋体" w:cs="宋体"/>
          <w:color w:val="000000" w:themeColor="text1"/>
          <w:spacing w:val="-1"/>
          <w:sz w:val="24"/>
          <w:highlight w:val="none"/>
          <w14:textFill>
            <w14:solidFill>
              <w14:schemeClr w14:val="tx1"/>
            </w14:solidFill>
          </w14:textFill>
        </w:rPr>
        <w:t>行为、违约和疏忽，并为之负完全的责任。</w:t>
      </w:r>
    </w:p>
    <w:p w14:paraId="4B5E0754">
      <w:pPr>
        <w:spacing w:line="360"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依照部、省相关公路工程分包管理规定，按照合同约定或者经发包人书面同意，可以将中标项目中负面清单以外的部分单位工程、分部工程或者分项工程分包给满足相应条件的其他专业施工单位完成。负面清单所列主体和关键性工作不得进行施工</w:t>
      </w:r>
    </w:p>
    <w:p w14:paraId="44F10903">
      <w:pPr>
        <w:spacing w:line="360" w:lineRule="auto"/>
        <w:rPr>
          <w:rFonts w:hint="eastAsia" w:ascii="宋体" w:hAnsi="宋体" w:cs="宋体"/>
          <w:color w:val="000000" w:themeColor="text1"/>
          <w:sz w:val="24"/>
          <w:highlight w:val="none"/>
          <w14:textFill>
            <w14:solidFill>
              <w14:schemeClr w14:val="tx1"/>
            </w14:solidFill>
          </w14:textFill>
        </w:rPr>
        <w:sectPr>
          <w:headerReference r:id="rId47" w:type="default"/>
          <w:footerReference r:id="rId48" w:type="default"/>
          <w:pgSz w:w="11906" w:h="16839"/>
          <w:pgMar w:top="1182" w:right="1416" w:bottom="1168" w:left="1417" w:header="849" w:footer="934" w:gutter="0"/>
          <w:cols w:space="720" w:num="1"/>
        </w:sectPr>
      </w:pPr>
    </w:p>
    <w:p w14:paraId="51178051">
      <w:pPr>
        <w:pStyle w:val="3"/>
        <w:spacing w:line="360" w:lineRule="auto"/>
        <w:rPr>
          <w:color w:val="000000" w:themeColor="text1"/>
          <w:highlight w:val="none"/>
          <w14:textFill>
            <w14:solidFill>
              <w14:schemeClr w14:val="tx1"/>
            </w14:solidFill>
          </w14:textFill>
        </w:rPr>
      </w:pPr>
    </w:p>
    <w:p w14:paraId="1E8608A0">
      <w:pPr>
        <w:spacing w:line="360" w:lineRule="auto"/>
        <w:ind w:left="9" w:right="80" w:firstLine="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分包。但因工程变更等原因，增加有特殊性技术要求、特殊工艺或者涉及专利保护等的专项工程，且按照规定无须再进行招标的，以及工程实施中承包人和发包人一致认为对专项工程实行专项分包，有利于项目工程质量、安全、进度和造价管理的，由承包人提</w:t>
      </w:r>
      <w:r>
        <w:rPr>
          <w:rFonts w:ascii="宋体" w:hAnsi="宋体" w:cs="宋体"/>
          <w:color w:val="000000" w:themeColor="text1"/>
          <w:spacing w:val="-1"/>
          <w:sz w:val="24"/>
          <w:highlight w:val="none"/>
          <w14:textFill>
            <w14:solidFill>
              <w14:schemeClr w14:val="tx1"/>
            </w14:solidFill>
          </w14:textFill>
        </w:rPr>
        <w:t>出书面申请，报监理人审查，经发包人书面同意，可以分包。</w:t>
      </w:r>
    </w:p>
    <w:p w14:paraId="1CA50477">
      <w:pPr>
        <w:spacing w:line="360" w:lineRule="auto"/>
        <w:ind w:left="11" w:right="8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房建工程分包或劳务合作应满足《广东省公路房建工程建设管理指南》中的人员管</w:t>
      </w:r>
      <w:r>
        <w:rPr>
          <w:rFonts w:ascii="宋体" w:hAnsi="宋体" w:cs="宋体"/>
          <w:color w:val="000000" w:themeColor="text1"/>
          <w:spacing w:val="-1"/>
          <w:sz w:val="24"/>
          <w:highlight w:val="none"/>
          <w14:textFill>
            <w14:solidFill>
              <w14:schemeClr w14:val="tx1"/>
            </w14:solidFill>
          </w14:textFill>
        </w:rPr>
        <w:t>理、施工管理、施工标准化、质量通病及防治措施等有关规定。</w:t>
      </w:r>
    </w:p>
    <w:p w14:paraId="3D5D52DC">
      <w:pPr>
        <w:spacing w:line="360" w:lineRule="auto"/>
        <w:ind w:left="15" w:right="80" w:firstLine="47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4.3.3 分包人的资格能力应与其分包工</w:t>
      </w:r>
      <w:r>
        <w:rPr>
          <w:rFonts w:ascii="宋体" w:hAnsi="宋体" w:cs="宋体"/>
          <w:color w:val="000000" w:themeColor="text1"/>
          <w:spacing w:val="-2"/>
          <w:sz w:val="24"/>
          <w:highlight w:val="none"/>
          <w14:textFill>
            <w14:solidFill>
              <w14:schemeClr w14:val="tx1"/>
            </w14:solidFill>
          </w14:textFill>
        </w:rPr>
        <w:t>程的标准和规模相适应，分包人应当具备如</w:t>
      </w:r>
      <w:r>
        <w:rPr>
          <w:rFonts w:ascii="宋体" w:hAnsi="宋体" w:cs="宋体"/>
          <w:color w:val="000000" w:themeColor="text1"/>
          <w:spacing w:val="-5"/>
          <w:sz w:val="24"/>
          <w:highlight w:val="none"/>
          <w14:textFill>
            <w14:solidFill>
              <w14:schemeClr w14:val="tx1"/>
            </w14:solidFill>
          </w14:textFill>
        </w:rPr>
        <w:t>下条件：</w:t>
      </w:r>
    </w:p>
    <w:p w14:paraId="7B520F0A">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a.具有经依法登记的法人资格；</w:t>
      </w:r>
    </w:p>
    <w:p w14:paraId="7FF4309D">
      <w:pPr>
        <w:spacing w:line="360" w:lineRule="auto"/>
        <w:ind w:left="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b.具有从事类似工程经验的管理与技术人员；</w:t>
      </w:r>
    </w:p>
    <w:p w14:paraId="74430AB8">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c.具有（自有或租赁）分包工程所需的施工设备和辅助设施；</w:t>
      </w:r>
    </w:p>
    <w:p w14:paraId="61603285">
      <w:pPr>
        <w:spacing w:line="360" w:lineRule="auto"/>
        <w:ind w:left="31" w:right="80" w:firstLine="46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d.单位工程设有资质要求的，单位工程及所含分部工程、分项工程的分包人应具备</w:t>
      </w:r>
      <w:r>
        <w:rPr>
          <w:rFonts w:ascii="宋体" w:hAnsi="宋体" w:cs="宋体"/>
          <w:color w:val="000000" w:themeColor="text1"/>
          <w:spacing w:val="-3"/>
          <w:sz w:val="24"/>
          <w:highlight w:val="none"/>
          <w14:textFill>
            <w14:solidFill>
              <w14:schemeClr w14:val="tx1"/>
            </w14:solidFill>
          </w14:textFill>
        </w:rPr>
        <w:t>国家规定的相应专业承包资质条件；</w:t>
      </w:r>
    </w:p>
    <w:p w14:paraId="6688E842">
      <w:pPr>
        <w:spacing w:line="360" w:lineRule="auto"/>
        <w:ind w:left="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e.</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w:t>
      </w:r>
    </w:p>
    <w:p w14:paraId="30F1F3D7">
      <w:pPr>
        <w:spacing w:line="360" w:lineRule="auto"/>
        <w:ind w:left="9" w:right="8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4.3.4 分包人不得将承接的分包工程再</w:t>
      </w:r>
      <w:r>
        <w:rPr>
          <w:rFonts w:ascii="宋体" w:hAnsi="宋体" w:cs="宋体"/>
          <w:color w:val="000000" w:themeColor="text1"/>
          <w:spacing w:val="-2"/>
          <w:sz w:val="24"/>
          <w:highlight w:val="none"/>
          <w14:textFill>
            <w14:solidFill>
              <w14:schemeClr w14:val="tx1"/>
            </w14:solidFill>
          </w14:textFill>
        </w:rPr>
        <w:t>进行分包和转包，但可将劳务作业分包给具</w:t>
      </w:r>
      <w:r>
        <w:rPr>
          <w:rFonts w:ascii="宋体" w:hAnsi="宋体" w:cs="宋体"/>
          <w:color w:val="000000" w:themeColor="text1"/>
          <w:spacing w:val="-1"/>
          <w:sz w:val="24"/>
          <w:highlight w:val="none"/>
          <w14:textFill>
            <w14:solidFill>
              <w14:schemeClr w14:val="tx1"/>
            </w14:solidFill>
          </w14:textFill>
        </w:rPr>
        <w:t>有施工劳务资质或专业作业资质的劳务合作企业。</w:t>
      </w:r>
    </w:p>
    <w:p w14:paraId="1DE808E6">
      <w:pPr>
        <w:spacing w:line="360" w:lineRule="auto"/>
        <w:ind w:lef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4.3.5 承包人和分包人应依法签订分包</w:t>
      </w:r>
      <w:r>
        <w:rPr>
          <w:rFonts w:ascii="宋体" w:hAnsi="宋体" w:cs="宋体"/>
          <w:color w:val="000000" w:themeColor="text1"/>
          <w:spacing w:val="-2"/>
          <w:sz w:val="24"/>
          <w:highlight w:val="none"/>
          <w14:textFill>
            <w14:solidFill>
              <w14:schemeClr w14:val="tx1"/>
            </w14:solidFill>
          </w14:textFill>
        </w:rPr>
        <w:t>合同，并履行合同约定的义务。分包合同可</w:t>
      </w:r>
      <w:r>
        <w:rPr>
          <w:rFonts w:ascii="宋体" w:hAnsi="宋体" w:cs="宋体"/>
          <w:color w:val="000000" w:themeColor="text1"/>
          <w:sz w:val="24"/>
          <w:highlight w:val="none"/>
          <w14:textFill>
            <w14:solidFill>
              <w14:schemeClr w14:val="tx1"/>
            </w14:solidFill>
          </w14:textFill>
        </w:rPr>
        <w:t>参照交通运输主管部门制定的示范格式文本编写，但必须遵循本合同约定的各项原则，</w:t>
      </w:r>
      <w:r>
        <w:rPr>
          <w:rFonts w:ascii="宋体" w:hAnsi="宋体" w:cs="宋体"/>
          <w:color w:val="000000" w:themeColor="text1"/>
          <w:spacing w:val="-6"/>
          <w:sz w:val="24"/>
          <w:highlight w:val="none"/>
          <w14:textFill>
            <w14:solidFill>
              <w14:schemeClr w14:val="tx1"/>
            </w14:solidFill>
          </w14:textFill>
        </w:rPr>
        <w:t>满足本合同中的质量、安全、进度、环保、农民工工资管理以及其他技术、经济等要求。</w:t>
      </w:r>
      <w:r>
        <w:rPr>
          <w:rFonts w:ascii="宋体" w:hAnsi="宋体" w:cs="宋体"/>
          <w:color w:val="000000" w:themeColor="text1"/>
          <w:spacing w:val="-2"/>
          <w:sz w:val="24"/>
          <w:highlight w:val="none"/>
          <w14:textFill>
            <w14:solidFill>
              <w14:schemeClr w14:val="tx1"/>
            </w14:solidFill>
          </w14:textFill>
        </w:rPr>
        <w:t>分包合同必须明确约定工程款支付条款、结算方式以及保证按期支付的相应措施，确保工程款的支付。</w:t>
      </w:r>
    </w:p>
    <w:p w14:paraId="08D9EB6B">
      <w:pPr>
        <w:spacing w:line="360" w:lineRule="auto"/>
        <w:ind w:lef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4.3.6 承包人、项目部应按照《广东省</w:t>
      </w:r>
      <w:r>
        <w:rPr>
          <w:rFonts w:ascii="宋体" w:hAnsi="宋体" w:cs="宋体"/>
          <w:color w:val="000000" w:themeColor="text1"/>
          <w:spacing w:val="-2"/>
          <w:sz w:val="24"/>
          <w:highlight w:val="none"/>
          <w14:textFill>
            <w14:solidFill>
              <w14:schemeClr w14:val="tx1"/>
            </w14:solidFill>
          </w14:textFill>
        </w:rPr>
        <w:t>公路工程施工项目部管理指南（试行）》第</w:t>
      </w:r>
      <w:r>
        <w:rPr>
          <w:rFonts w:ascii="宋体" w:hAnsi="宋体" w:cs="宋体"/>
          <w:color w:val="000000" w:themeColor="text1"/>
          <w:sz w:val="24"/>
          <w:highlight w:val="none"/>
          <w14:textFill>
            <w14:solidFill>
              <w14:schemeClr w14:val="tx1"/>
            </w14:solidFill>
          </w14:textFill>
        </w:rPr>
        <w:t>8</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点全面做好分包和劳务合作管理，应构建包括分包单位、劳务合作企业、施工班组、</w:t>
      </w:r>
      <w:r>
        <w:rPr>
          <w:rFonts w:ascii="宋体" w:hAnsi="宋体" w:cs="宋体"/>
          <w:color w:val="000000" w:themeColor="text1"/>
          <w:spacing w:val="-2"/>
          <w:sz w:val="24"/>
          <w:highlight w:val="none"/>
          <w14:textFill>
            <w14:solidFill>
              <w14:schemeClr w14:val="tx1"/>
            </w14:solidFill>
          </w14:textFill>
        </w:rPr>
        <w:t>材料供应商与机械设备租赁商的多层级组织管理架构</w:t>
      </w:r>
      <w:r>
        <w:rPr>
          <w:rFonts w:ascii="宋体" w:hAnsi="宋体" w:cs="宋体"/>
          <w:color w:val="000000" w:themeColor="text1"/>
          <w:spacing w:val="-3"/>
          <w:sz w:val="24"/>
          <w:highlight w:val="none"/>
          <w14:textFill>
            <w14:solidFill>
              <w14:schemeClr w14:val="tx1"/>
            </w14:solidFill>
          </w14:textFill>
        </w:rPr>
        <w:t>，建立“管、监</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”分离的质量安全</w:t>
      </w:r>
      <w:r>
        <w:rPr>
          <w:rFonts w:ascii="宋体" w:hAnsi="宋体" w:cs="宋体"/>
          <w:color w:val="000000" w:themeColor="text1"/>
          <w:spacing w:val="-2"/>
          <w:sz w:val="24"/>
          <w:highlight w:val="none"/>
          <w14:textFill>
            <w14:solidFill>
              <w14:schemeClr w14:val="tx1"/>
            </w14:solidFill>
          </w14:textFill>
        </w:rPr>
        <w:t>保证体系，确保在项目部、分包单位以及劳务合作企业各层级均有效运行，防止保证体</w:t>
      </w:r>
      <w:r>
        <w:rPr>
          <w:rFonts w:ascii="宋体" w:hAnsi="宋体" w:cs="宋体"/>
          <w:color w:val="000000" w:themeColor="text1"/>
          <w:spacing w:val="-7"/>
          <w:sz w:val="24"/>
          <w:highlight w:val="none"/>
          <w14:textFill>
            <w14:solidFill>
              <w14:schemeClr w14:val="tx1"/>
            </w14:solidFill>
          </w14:textFill>
        </w:rPr>
        <w:t>系“空转</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”。切实加强对分包单位及施工班组管理的透明</w:t>
      </w:r>
      <w:r>
        <w:rPr>
          <w:rFonts w:ascii="宋体" w:hAnsi="宋体" w:cs="宋体"/>
          <w:color w:val="000000" w:themeColor="text1"/>
          <w:spacing w:val="-8"/>
          <w:sz w:val="24"/>
          <w:highlight w:val="none"/>
          <w14:textFill>
            <w14:solidFill>
              <w14:schemeClr w14:val="tx1"/>
            </w14:solidFill>
          </w14:textFill>
        </w:rPr>
        <w:t>化、规范化，不得“</w:t>
      </w:r>
      <w:r>
        <w:rPr>
          <w:rFonts w:ascii="宋体" w:hAnsi="宋体" w:cs="宋体"/>
          <w:color w:val="000000" w:themeColor="text1"/>
          <w:spacing w:val="-84"/>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以包代管、</w:t>
      </w:r>
      <w:r>
        <w:rPr>
          <w:rFonts w:ascii="宋体" w:hAnsi="宋体" w:cs="宋体"/>
          <w:color w:val="000000" w:themeColor="text1"/>
          <w:spacing w:val="-2"/>
          <w:sz w:val="24"/>
          <w:highlight w:val="none"/>
          <w14:textFill>
            <w14:solidFill>
              <w14:schemeClr w14:val="tx1"/>
            </w14:solidFill>
          </w14:textFill>
        </w:rPr>
        <w:t>包而不管</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”，重点抓好对施工分包单位的分包工程质</w:t>
      </w:r>
      <w:r>
        <w:rPr>
          <w:rFonts w:ascii="宋体" w:hAnsi="宋体" w:cs="宋体"/>
          <w:color w:val="000000" w:themeColor="text1"/>
          <w:spacing w:val="-3"/>
          <w:sz w:val="24"/>
          <w:highlight w:val="none"/>
          <w14:textFill>
            <w14:solidFill>
              <w14:schemeClr w14:val="tx1"/>
            </w14:solidFill>
          </w14:textFill>
        </w:rPr>
        <w:t>量、安全、进度、资金使用和管理</w:t>
      </w:r>
      <w:r>
        <w:rPr>
          <w:rFonts w:ascii="宋体" w:hAnsi="宋体" w:cs="宋体"/>
          <w:color w:val="000000" w:themeColor="text1"/>
          <w:spacing w:val="-6"/>
          <w:sz w:val="24"/>
          <w:highlight w:val="none"/>
          <w14:textFill>
            <w14:solidFill>
              <w14:schemeClr w14:val="tx1"/>
            </w14:solidFill>
          </w14:textFill>
        </w:rPr>
        <w:t>行为等全过程管理，加强对其内控管理体系和主要人员履约、设备、材料等穿透式管理。</w:t>
      </w:r>
    </w:p>
    <w:p w14:paraId="409568D2">
      <w:pPr>
        <w:spacing w:line="360" w:lineRule="auto"/>
        <w:ind w:left="28" w:right="80" w:firstLine="45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4.3.7 承包人应在分包工程实施前，将</w:t>
      </w:r>
      <w:r>
        <w:rPr>
          <w:rFonts w:ascii="宋体" w:hAnsi="宋体" w:cs="宋体"/>
          <w:color w:val="000000" w:themeColor="text1"/>
          <w:spacing w:val="-2"/>
          <w:sz w:val="24"/>
          <w:highlight w:val="none"/>
          <w14:textFill>
            <w14:solidFill>
              <w14:schemeClr w14:val="tx1"/>
            </w14:solidFill>
          </w14:textFill>
        </w:rPr>
        <w:t>经监理人审查同意后的分包合同以及分包人的资格能力证明材料报发包人批准。</w:t>
      </w:r>
    </w:p>
    <w:p w14:paraId="6DEF6988">
      <w:pPr>
        <w:spacing w:line="360" w:lineRule="auto"/>
        <w:rPr>
          <w:rFonts w:hint="eastAsia" w:ascii="宋体" w:hAnsi="宋体" w:cs="宋体"/>
          <w:color w:val="000000" w:themeColor="text1"/>
          <w:sz w:val="24"/>
          <w:highlight w:val="none"/>
          <w14:textFill>
            <w14:solidFill>
              <w14:schemeClr w14:val="tx1"/>
            </w14:solidFill>
          </w14:textFill>
        </w:rPr>
        <w:sectPr>
          <w:headerReference r:id="rId49" w:type="default"/>
          <w:footerReference r:id="rId50" w:type="default"/>
          <w:pgSz w:w="11906" w:h="16839"/>
          <w:pgMar w:top="1182" w:right="1337" w:bottom="1168" w:left="1417" w:header="849" w:footer="934" w:gutter="0"/>
          <w:cols w:space="720" w:num="1"/>
        </w:sectPr>
      </w:pPr>
    </w:p>
    <w:p w14:paraId="7389982D">
      <w:pPr>
        <w:pStyle w:val="3"/>
        <w:spacing w:line="360" w:lineRule="auto"/>
        <w:rPr>
          <w:color w:val="000000" w:themeColor="text1"/>
          <w:highlight w:val="none"/>
          <w14:textFill>
            <w14:solidFill>
              <w14:schemeClr w14:val="tx1"/>
            </w14:solidFill>
          </w14:textFill>
        </w:rPr>
      </w:pPr>
    </w:p>
    <w:p w14:paraId="06F0CC22">
      <w:pPr>
        <w:spacing w:line="360" w:lineRule="auto"/>
        <w:ind w:left="7" w:right="10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4.3.8 承包人应建立健全相关分包管理</w:t>
      </w:r>
      <w:r>
        <w:rPr>
          <w:rFonts w:ascii="宋体" w:hAnsi="宋体" w:cs="宋体"/>
          <w:color w:val="000000" w:themeColor="text1"/>
          <w:spacing w:val="-2"/>
          <w:sz w:val="24"/>
          <w:highlight w:val="none"/>
          <w14:textFill>
            <w14:solidFill>
              <w14:schemeClr w14:val="tx1"/>
            </w14:solidFill>
          </w14:textFill>
        </w:rPr>
        <w:t>制度和台账，对分包工程的质量、安全、进度、资金使用和分包人的行为等实施全过程管理，按照本合同约定对分包工程的实施向</w:t>
      </w:r>
      <w:r>
        <w:rPr>
          <w:rFonts w:ascii="宋体" w:hAnsi="宋体" w:cs="宋体"/>
          <w:color w:val="000000" w:themeColor="text1"/>
          <w:spacing w:val="-1"/>
          <w:sz w:val="24"/>
          <w:highlight w:val="none"/>
          <w14:textFill>
            <w14:solidFill>
              <w14:schemeClr w14:val="tx1"/>
            </w14:solidFill>
          </w14:textFill>
        </w:rPr>
        <w:t>发包人负责，并承担赔偿责任。</w:t>
      </w:r>
    </w:p>
    <w:p w14:paraId="12DA6B0B">
      <w:pPr>
        <w:spacing w:line="360" w:lineRule="auto"/>
        <w:ind w:left="7" w:right="10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4.3.9 分包人应设立现场管理机构，对</w:t>
      </w:r>
      <w:r>
        <w:rPr>
          <w:rFonts w:ascii="宋体" w:hAnsi="宋体" w:cs="宋体"/>
          <w:color w:val="000000" w:themeColor="text1"/>
          <w:spacing w:val="-2"/>
          <w:sz w:val="24"/>
          <w:highlight w:val="none"/>
          <w14:textFill>
            <w14:solidFill>
              <w14:schemeClr w14:val="tx1"/>
            </w14:solidFill>
          </w14:textFill>
        </w:rPr>
        <w:t>所分包工程的施工活动实施管理。现场管理机构应具有与分包工程的规模、技术复杂程度相适应的技术、经济管理人员，其中项目</w:t>
      </w:r>
      <w:r>
        <w:rPr>
          <w:rFonts w:ascii="宋体" w:hAnsi="宋体" w:cs="宋体"/>
          <w:color w:val="000000" w:themeColor="text1"/>
          <w:sz w:val="24"/>
          <w:highlight w:val="none"/>
          <w14:textFill>
            <w14:solidFill>
              <w14:schemeClr w14:val="tx1"/>
            </w14:solidFill>
          </w14:textFill>
        </w:rPr>
        <w:t>负责人和技术、财务、计量、质量、安全等主要管理人员必须</w:t>
      </w:r>
      <w:r>
        <w:rPr>
          <w:rFonts w:ascii="宋体" w:hAnsi="宋体" w:cs="宋体"/>
          <w:color w:val="000000" w:themeColor="text1"/>
          <w:spacing w:val="-1"/>
          <w:sz w:val="24"/>
          <w:highlight w:val="none"/>
          <w14:textFill>
            <w14:solidFill>
              <w14:schemeClr w14:val="tx1"/>
            </w14:solidFill>
          </w14:textFill>
        </w:rPr>
        <w:t>是分包人本单位人员。</w:t>
      </w:r>
    </w:p>
    <w:p w14:paraId="52338AEE">
      <w:pPr>
        <w:spacing w:line="360" w:lineRule="auto"/>
        <w:ind w:left="10" w:right="10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4.3.10 分包人应自行编制分包工程的施工方</w:t>
      </w:r>
      <w:r>
        <w:rPr>
          <w:rFonts w:ascii="宋体" w:hAnsi="宋体" w:cs="宋体"/>
          <w:color w:val="000000" w:themeColor="text1"/>
          <w:spacing w:val="1"/>
          <w:sz w:val="24"/>
          <w:highlight w:val="none"/>
          <w14:textFill>
            <w14:solidFill>
              <w14:schemeClr w14:val="tx1"/>
            </w14:solidFill>
          </w14:textFill>
        </w:rPr>
        <w:t>案，经承包人审查同意后报监理人批</w:t>
      </w:r>
      <w:r>
        <w:rPr>
          <w:rFonts w:ascii="宋体" w:hAnsi="宋体" w:cs="宋体"/>
          <w:color w:val="000000" w:themeColor="text1"/>
          <w:spacing w:val="-3"/>
          <w:sz w:val="24"/>
          <w:highlight w:val="none"/>
          <w14:textFill>
            <w14:solidFill>
              <w14:schemeClr w14:val="tx1"/>
            </w14:solidFill>
          </w14:textFill>
        </w:rPr>
        <w:t>准。分包人应依据分包合同的约定，</w:t>
      </w:r>
      <w:r>
        <w:rPr>
          <w:rFonts w:ascii="宋体" w:hAnsi="宋体" w:cs="宋体"/>
          <w:color w:val="000000" w:themeColor="text1"/>
          <w:spacing w:val="-5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自行组织分包工程的施工，并对分包工程的质量、</w:t>
      </w:r>
      <w:r>
        <w:rPr>
          <w:rFonts w:ascii="宋体" w:hAnsi="宋体" w:cs="宋体"/>
          <w:color w:val="000000" w:themeColor="text1"/>
          <w:spacing w:val="-2"/>
          <w:sz w:val="24"/>
          <w:highlight w:val="none"/>
          <w14:textFill>
            <w14:solidFill>
              <w14:schemeClr w14:val="tx1"/>
            </w14:solidFill>
          </w14:textFill>
        </w:rPr>
        <w:t>安全和进度等实施有效控制。分包人对其分包的工程向承包人负责，并就所分包的工程向发包人承担连带责任。</w:t>
      </w:r>
    </w:p>
    <w:p w14:paraId="5C1AA46C">
      <w:pPr>
        <w:spacing w:line="360" w:lineRule="auto"/>
        <w:ind w:left="7" w:right="10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4.3.11 施工分包不减轻或免除承包人的责任</w:t>
      </w:r>
      <w:r>
        <w:rPr>
          <w:rFonts w:ascii="宋体" w:hAnsi="宋体" w:cs="宋体"/>
          <w:color w:val="000000" w:themeColor="text1"/>
          <w:spacing w:val="1"/>
          <w:sz w:val="24"/>
          <w:highlight w:val="none"/>
          <w14:textFill>
            <w14:solidFill>
              <w14:schemeClr w14:val="tx1"/>
            </w14:solidFill>
          </w14:textFill>
        </w:rPr>
        <w:t>和义务，承包人应与分包人就分包工</w:t>
      </w:r>
      <w:r>
        <w:rPr>
          <w:rFonts w:ascii="宋体" w:hAnsi="宋体" w:cs="宋体"/>
          <w:color w:val="000000" w:themeColor="text1"/>
          <w:spacing w:val="-1"/>
          <w:sz w:val="24"/>
          <w:highlight w:val="none"/>
          <w14:textFill>
            <w14:solidFill>
              <w14:schemeClr w14:val="tx1"/>
            </w14:solidFill>
          </w14:textFill>
        </w:rPr>
        <w:t>程向发包人承担连带责任。</w:t>
      </w:r>
    </w:p>
    <w:p w14:paraId="7FEEED42">
      <w:pPr>
        <w:spacing w:line="360" w:lineRule="auto"/>
        <w:ind w:left="7" w:right="2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4.3.12 劳务合作企业应具有施工劳务资质或</w:t>
      </w:r>
      <w:r>
        <w:rPr>
          <w:rFonts w:ascii="宋体" w:hAnsi="宋体" w:cs="宋体"/>
          <w:color w:val="000000" w:themeColor="text1"/>
          <w:spacing w:val="1"/>
          <w:sz w:val="24"/>
          <w:highlight w:val="none"/>
          <w14:textFill>
            <w14:solidFill>
              <w14:schemeClr w14:val="tx1"/>
            </w14:solidFill>
          </w14:textFill>
        </w:rPr>
        <w:t>专业作业资质。承包人和劳务合作企</w:t>
      </w:r>
      <w:r>
        <w:rPr>
          <w:rFonts w:ascii="宋体" w:hAnsi="宋体" w:cs="宋体"/>
          <w:color w:val="000000" w:themeColor="text1"/>
          <w:spacing w:val="-6"/>
          <w:sz w:val="24"/>
          <w:highlight w:val="none"/>
          <w14:textFill>
            <w14:solidFill>
              <w14:schemeClr w14:val="tx1"/>
            </w14:solidFill>
          </w14:textFill>
        </w:rPr>
        <w:t>业应依法签订劳务合作合同。承包人应对劳务合作企业提供的劳务作业进行技术、质量、</w:t>
      </w:r>
      <w:r>
        <w:rPr>
          <w:rFonts w:ascii="宋体" w:hAnsi="宋体" w:cs="宋体"/>
          <w:color w:val="000000" w:themeColor="text1"/>
          <w:spacing w:val="-1"/>
          <w:sz w:val="24"/>
          <w:highlight w:val="none"/>
          <w14:textFill>
            <w14:solidFill>
              <w14:schemeClr w14:val="tx1"/>
            </w14:solidFill>
          </w14:textFill>
        </w:rPr>
        <w:t>安全等方面的指导培训和有效管理。</w:t>
      </w:r>
    </w:p>
    <w:p w14:paraId="23DC597A">
      <w:pPr>
        <w:spacing w:line="360" w:lineRule="auto"/>
        <w:ind w:lef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4.3.13 承包人应按照劳务合作合同约定对劳务合作企业的劳务作业人员进行管理，有关施工方案编制以及相关试验检测、工程控制测量、工程档案资料编制、质量安全管理等工作均由承包人统一组织实施。劳务作业人员应经培训后上岗，特殊工种人员应持</w:t>
      </w:r>
      <w:r>
        <w:rPr>
          <w:rFonts w:ascii="宋体" w:hAnsi="宋体" w:cs="宋体"/>
          <w:color w:val="000000" w:themeColor="text1"/>
          <w:spacing w:val="-3"/>
          <w:sz w:val="24"/>
          <w:highlight w:val="none"/>
          <w14:textFill>
            <w14:solidFill>
              <w14:schemeClr w14:val="tx1"/>
            </w14:solidFill>
          </w14:textFill>
        </w:rPr>
        <w:t>证上岗。</w:t>
      </w:r>
    </w:p>
    <w:p w14:paraId="39B93E88">
      <w:pPr>
        <w:spacing w:line="360" w:lineRule="auto"/>
        <w:ind w:left="9" w:right="109"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4.3.14 承包人应妥善处理其与分包人、劳务</w:t>
      </w:r>
      <w:r>
        <w:rPr>
          <w:rFonts w:ascii="宋体" w:hAnsi="宋体" w:cs="宋体"/>
          <w:color w:val="000000" w:themeColor="text1"/>
          <w:spacing w:val="1"/>
          <w:sz w:val="24"/>
          <w:highlight w:val="none"/>
          <w14:textFill>
            <w14:solidFill>
              <w14:schemeClr w14:val="tx1"/>
            </w14:solidFill>
          </w14:textFill>
        </w:rPr>
        <w:t>合作企业之间的合同争议、纠纷，并</w:t>
      </w:r>
      <w:r>
        <w:rPr>
          <w:rFonts w:ascii="宋体" w:hAnsi="宋体" w:cs="宋体"/>
          <w:color w:val="000000" w:themeColor="text1"/>
          <w:spacing w:val="-1"/>
          <w:sz w:val="24"/>
          <w:highlight w:val="none"/>
          <w14:textFill>
            <w14:solidFill>
              <w14:schemeClr w14:val="tx1"/>
            </w14:solidFill>
          </w14:textFill>
        </w:rPr>
        <w:t>保证发包人免于承担相应法律责任。</w:t>
      </w:r>
    </w:p>
    <w:p w14:paraId="0318257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本款补充第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4.3.15、4.3.16</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w:t>
      </w:r>
    </w:p>
    <w:p w14:paraId="410FB4F6">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4.3.15</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特殊的分包人或供货人</w:t>
      </w:r>
    </w:p>
    <w:p w14:paraId="689F73E3">
      <w:pPr>
        <w:spacing w:line="360" w:lineRule="auto"/>
        <w:ind w:left="8" w:right="10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了履行合同中某专业化的或特殊工程或关键的、专项的材料、设备、供货，根据金额规模可以通过合法方式选定作为发包人的特殊分包人或供货人，并要求承包人与进行专项或供货分包的特殊分包人或供货人签订分包合同。分包合同须符合《广东省交通</w:t>
      </w:r>
      <w:r>
        <w:rPr>
          <w:rFonts w:ascii="宋体" w:hAnsi="宋体" w:cs="宋体"/>
          <w:color w:val="000000" w:themeColor="text1"/>
          <w:spacing w:val="-1"/>
          <w:sz w:val="24"/>
          <w:highlight w:val="none"/>
          <w14:textFill>
            <w14:solidFill>
              <w14:schemeClr w14:val="tx1"/>
            </w14:solidFill>
          </w14:textFill>
        </w:rPr>
        <w:t>运输厅关于公路工程施工分包管理实施细则》的有关规定。</w:t>
      </w:r>
    </w:p>
    <w:p w14:paraId="18C13657">
      <w:pPr>
        <w:spacing w:line="360" w:lineRule="auto"/>
        <w:ind w:left="10" w:right="47"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有关特殊分包的合同中，特殊分包人（或供货人</w:t>
      </w:r>
      <w:r>
        <w:rPr>
          <w:rFonts w:ascii="宋体" w:hAnsi="宋体" w:cs="宋体"/>
          <w:color w:val="000000" w:themeColor="text1"/>
          <w:spacing w:val="-7"/>
          <w:sz w:val="24"/>
          <w:highlight w:val="none"/>
          <w14:textFill>
            <w14:solidFill>
              <w14:schemeClr w14:val="tx1"/>
            </w14:solidFill>
          </w14:textFill>
        </w:rPr>
        <w:t>）应独立地承担其合同责任和义务，</w:t>
      </w:r>
      <w:r>
        <w:rPr>
          <w:rFonts w:ascii="宋体" w:hAnsi="宋体" w:cs="宋体"/>
          <w:color w:val="000000" w:themeColor="text1"/>
          <w:spacing w:val="-2"/>
          <w:sz w:val="24"/>
          <w:highlight w:val="none"/>
          <w14:textFill>
            <w14:solidFill>
              <w14:schemeClr w14:val="tx1"/>
            </w14:solidFill>
          </w14:textFill>
        </w:rPr>
        <w:t>不使承包人对发包人承担的合同责任和义务受到损害，也不使承包人承担因特殊的分包人（或供货人）未能履行责任、义务而引起的索赔、赔偿、诉讼费用及其他开支。承包</w:t>
      </w:r>
    </w:p>
    <w:p w14:paraId="22E26334">
      <w:pPr>
        <w:spacing w:line="360" w:lineRule="auto"/>
        <w:rPr>
          <w:rFonts w:hint="eastAsia" w:ascii="宋体" w:hAnsi="宋体" w:cs="宋体"/>
          <w:color w:val="000000" w:themeColor="text1"/>
          <w:sz w:val="24"/>
          <w:highlight w:val="none"/>
          <w14:textFill>
            <w14:solidFill>
              <w14:schemeClr w14:val="tx1"/>
            </w14:solidFill>
          </w14:textFill>
        </w:rPr>
        <w:sectPr>
          <w:headerReference r:id="rId51" w:type="default"/>
          <w:footerReference r:id="rId52" w:type="default"/>
          <w:pgSz w:w="11906" w:h="16839"/>
          <w:pgMar w:top="1182" w:right="1308" w:bottom="1168" w:left="1417" w:header="849" w:footer="934" w:gutter="0"/>
          <w:cols w:space="720" w:num="1"/>
        </w:sectPr>
      </w:pPr>
    </w:p>
    <w:p w14:paraId="4859CD28">
      <w:pPr>
        <w:pStyle w:val="3"/>
        <w:spacing w:line="360" w:lineRule="auto"/>
        <w:rPr>
          <w:color w:val="000000" w:themeColor="text1"/>
          <w:highlight w:val="none"/>
          <w14:textFill>
            <w14:solidFill>
              <w14:schemeClr w14:val="tx1"/>
            </w14:solidFill>
          </w14:textFill>
        </w:rPr>
      </w:pPr>
    </w:p>
    <w:p w14:paraId="644035C1">
      <w:pPr>
        <w:spacing w:line="360" w:lineRule="auto"/>
        <w:ind w:left="8" w:right="101" w:firstLine="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人对于特殊分包人（或供货人）及其职工的过失而造成的损失不承担任何责任。如果特</w:t>
      </w:r>
      <w:r>
        <w:rPr>
          <w:rFonts w:ascii="宋体" w:hAnsi="宋体" w:cs="宋体"/>
          <w:color w:val="000000" w:themeColor="text1"/>
          <w:spacing w:val="-5"/>
          <w:sz w:val="24"/>
          <w:highlight w:val="none"/>
          <w14:textFill>
            <w14:solidFill>
              <w14:schemeClr w14:val="tx1"/>
            </w14:solidFill>
          </w14:textFill>
        </w:rPr>
        <w:t>殊分包合同中含有与上述规定有悖的条款，承包人有权拒绝与此特殊分包人（</w:t>
      </w:r>
      <w:r>
        <w:rPr>
          <w:rFonts w:ascii="宋体" w:hAnsi="宋体" w:cs="宋体"/>
          <w:color w:val="000000" w:themeColor="text1"/>
          <w:spacing w:val="-6"/>
          <w:sz w:val="24"/>
          <w:highlight w:val="none"/>
          <w14:textFill>
            <w14:solidFill>
              <w14:schemeClr w14:val="tx1"/>
            </w14:solidFill>
          </w14:textFill>
        </w:rPr>
        <w:t>或供货人）</w:t>
      </w:r>
      <w:r>
        <w:rPr>
          <w:rFonts w:ascii="宋体" w:hAnsi="宋体" w:cs="宋体"/>
          <w:color w:val="000000" w:themeColor="text1"/>
          <w:spacing w:val="-2"/>
          <w:sz w:val="24"/>
          <w:highlight w:val="none"/>
          <w14:textFill>
            <w14:solidFill>
              <w14:schemeClr w14:val="tx1"/>
            </w14:solidFill>
          </w14:textFill>
        </w:rPr>
        <w:t>签订合同。</w:t>
      </w:r>
    </w:p>
    <w:p w14:paraId="1BFEFEA9">
      <w:pPr>
        <w:spacing w:line="360" w:lineRule="auto"/>
        <w:ind w:left="8" w:right="20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特殊分包人（或供货人）承担部分的计量由承包人负责统一上报，承包人应将属特</w:t>
      </w:r>
      <w:r>
        <w:rPr>
          <w:rFonts w:ascii="宋体" w:hAnsi="宋体" w:cs="宋体"/>
          <w:color w:val="000000" w:themeColor="text1"/>
          <w:sz w:val="24"/>
          <w:highlight w:val="none"/>
          <w14:textFill>
            <w14:solidFill>
              <w14:schemeClr w14:val="tx1"/>
            </w14:solidFill>
          </w14:textFill>
        </w:rPr>
        <w:t>殊分包人（或供货人）的计量支付款项，及时向特殊分</w:t>
      </w:r>
      <w:r>
        <w:rPr>
          <w:rFonts w:ascii="宋体" w:hAnsi="宋体" w:cs="宋体"/>
          <w:color w:val="000000" w:themeColor="text1"/>
          <w:spacing w:val="-1"/>
          <w:sz w:val="24"/>
          <w:highlight w:val="none"/>
          <w14:textFill>
            <w14:solidFill>
              <w14:schemeClr w14:val="tx1"/>
            </w14:solidFill>
          </w14:textFill>
        </w:rPr>
        <w:t>包人（或供货人）支付。</w:t>
      </w:r>
    </w:p>
    <w:p w14:paraId="4B260FCE">
      <w:pPr>
        <w:spacing w:line="360" w:lineRule="auto"/>
        <w:ind w:left="9" w:right="200"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特殊分包人（或供货人）承担部分的原始资料存档和竣工资料编制等工作，由所在合同段的承包人负责。</w:t>
      </w:r>
    </w:p>
    <w:p w14:paraId="32A5B7B3">
      <w:pPr>
        <w:spacing w:line="360" w:lineRule="auto"/>
        <w:ind w:left="10" w:right="20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承包人应无偿为特殊供货人的供料运输提供满足使用要求的便道便桥和码头，承包人负责卸料并负责将卸下的材料搬运至工地仓库或特定地点，由此所需的设备、人力和</w:t>
      </w:r>
      <w:r>
        <w:rPr>
          <w:rFonts w:ascii="宋体" w:hAnsi="宋体" w:cs="宋体"/>
          <w:color w:val="000000" w:themeColor="text1"/>
          <w:spacing w:val="-1"/>
          <w:sz w:val="24"/>
          <w:highlight w:val="none"/>
          <w14:textFill>
            <w14:solidFill>
              <w14:schemeClr w14:val="tx1"/>
            </w14:solidFill>
          </w14:textFill>
        </w:rPr>
        <w:t>费用由承包人自行负责，承包人的仓库容量应满足相关要求。</w:t>
      </w:r>
    </w:p>
    <w:p w14:paraId="081EC61F">
      <w:pPr>
        <w:spacing w:line="360" w:lineRule="auto"/>
        <w:ind w:left="6" w:right="20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如发生第</w:t>
      </w:r>
      <w:r>
        <w:rPr>
          <w:rFonts w:ascii="宋体" w:hAnsi="宋体" w:cs="宋体"/>
          <w:color w:val="000000" w:themeColor="text1"/>
          <w:spacing w:val="-1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11.5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款约定的承包人工程进度严重滞后，发包人有权对承包人部分工程</w:t>
      </w:r>
      <w:r>
        <w:rPr>
          <w:rFonts w:ascii="宋体" w:hAnsi="宋体" w:cs="宋体"/>
          <w:color w:val="000000" w:themeColor="text1"/>
          <w:spacing w:val="-2"/>
          <w:sz w:val="24"/>
          <w:highlight w:val="none"/>
          <w14:textFill>
            <w14:solidFill>
              <w14:schemeClr w14:val="tx1"/>
            </w14:solidFill>
          </w14:textFill>
        </w:rPr>
        <w:t>进行特殊分包，承包人应无条件接受，并按第</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款约定处理。</w:t>
      </w:r>
    </w:p>
    <w:p w14:paraId="6BB5C7B5">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4.3.16</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发包人的强制分包</w:t>
      </w:r>
    </w:p>
    <w:p w14:paraId="0A36BE46">
      <w:pPr>
        <w:spacing w:line="360" w:lineRule="auto"/>
        <w:ind w:left="9" w:right="20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（1）因承包人违约或发生重大的质量、安全事故以及出现进度严重滞后的情况和</w:t>
      </w:r>
      <w:r>
        <w:rPr>
          <w:rFonts w:ascii="宋体" w:hAnsi="宋体" w:cs="宋体"/>
          <w:color w:val="000000" w:themeColor="text1"/>
          <w:spacing w:val="-2"/>
          <w:sz w:val="24"/>
          <w:highlight w:val="none"/>
          <w14:textFill>
            <w14:solidFill>
              <w14:schemeClr w14:val="tx1"/>
            </w14:solidFill>
          </w14:textFill>
        </w:rPr>
        <w:t>工程专业化施工等的需要，发包人有权对承包人部分工程进行切割，做分包处理，因此</w:t>
      </w:r>
      <w:r>
        <w:rPr>
          <w:rFonts w:ascii="宋体" w:hAnsi="宋体" w:cs="宋体"/>
          <w:color w:val="000000" w:themeColor="text1"/>
          <w:spacing w:val="-1"/>
          <w:sz w:val="24"/>
          <w:highlight w:val="none"/>
          <w14:textFill>
            <w14:solidFill>
              <w14:schemeClr w14:val="tx1"/>
            </w14:solidFill>
          </w14:textFill>
        </w:rPr>
        <w:t>而增加的一切费用由承包人承担。</w:t>
      </w:r>
    </w:p>
    <w:p w14:paraId="695CCD85">
      <w:pPr>
        <w:spacing w:line="360" w:lineRule="auto"/>
        <w:ind w:left="10" w:right="200"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（2）当发包人决定采取分包时，承包人应无条件接受并全力配合发包人开展相关</w:t>
      </w:r>
      <w:r>
        <w:rPr>
          <w:rFonts w:ascii="宋体" w:hAnsi="宋体" w:cs="宋体"/>
          <w:color w:val="000000" w:themeColor="text1"/>
          <w:spacing w:val="-2"/>
          <w:sz w:val="24"/>
          <w:highlight w:val="none"/>
          <w14:textFill>
            <w14:solidFill>
              <w14:schemeClr w14:val="tx1"/>
            </w14:solidFill>
          </w14:textFill>
        </w:rPr>
        <w:t>工作，并无条件提供已有的临时设施（包括但不限于便道、便桥、电力线路等）供分包人使用，且不得为此要求增加或支付任何费用，否则视为承包人违约。分包部分的造价</w:t>
      </w:r>
      <w:r>
        <w:rPr>
          <w:rFonts w:ascii="宋体" w:hAnsi="宋体" w:cs="宋体"/>
          <w:color w:val="000000" w:themeColor="text1"/>
          <w:spacing w:val="-1"/>
          <w:sz w:val="24"/>
          <w:highlight w:val="none"/>
          <w14:textFill>
            <w14:solidFill>
              <w14:schemeClr w14:val="tx1"/>
            </w14:solidFill>
          </w14:textFill>
        </w:rPr>
        <w:t>按以下原则计算，并从承包人的合同价格中扣除:</w:t>
      </w:r>
    </w:p>
    <w:p w14:paraId="46153378">
      <w:pPr>
        <w:spacing w:line="360" w:lineRule="auto"/>
        <w:ind w:left="480"/>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8"/>
          <w:position w:val="-1"/>
          <w:sz w:val="24"/>
          <w:highlight w:val="none"/>
          <w14:textFill>
            <w14:solidFill>
              <w14:schemeClr w14:val="tx1"/>
            </w14:solidFill>
          </w14:textFill>
        </w:rPr>
        <w:t>A、</w:t>
      </w:r>
      <w:r>
        <w:rPr>
          <w:rFonts w:ascii="宋体" w:hAnsi="宋体" w:cs="宋体"/>
          <w:color w:val="000000" w:themeColor="text1"/>
          <w:position w:val="-1"/>
          <w:sz w:val="24"/>
          <w:highlight w:val="none"/>
          <w:u w:val="single"/>
          <w14:textFill>
            <w14:solidFill>
              <w14:schemeClr w14:val="tx1"/>
            </w14:solidFill>
          </w14:textFill>
        </w:rPr>
        <w:t xml:space="preserve">                                                           </w:t>
      </w:r>
      <w:r>
        <w:rPr>
          <w:rFonts w:ascii="宋体" w:hAnsi="宋体" w:cs="宋体"/>
          <w:color w:val="000000" w:themeColor="text1"/>
          <w:spacing w:val="-90"/>
          <w:position w:val="-1"/>
          <w:sz w:val="24"/>
          <w:highlight w:val="none"/>
          <w14:textFill>
            <w14:solidFill>
              <w14:schemeClr w14:val="tx1"/>
            </w14:solidFill>
          </w14:textFill>
        </w:rPr>
        <w:t xml:space="preserve"> </w:t>
      </w:r>
      <w:r>
        <w:rPr>
          <w:rFonts w:ascii="宋体" w:hAnsi="宋体" w:cs="宋体"/>
          <w:color w:val="000000" w:themeColor="text1"/>
          <w:spacing w:val="-8"/>
          <w:position w:val="-1"/>
          <w:sz w:val="24"/>
          <w:highlight w:val="none"/>
          <w14:textFill>
            <w14:solidFill>
              <w14:schemeClr w14:val="tx1"/>
            </w14:solidFill>
          </w14:textFill>
        </w:rPr>
        <w:t>；</w:t>
      </w:r>
    </w:p>
    <w:p w14:paraId="173C930B">
      <w:pPr>
        <w:spacing w:line="360" w:lineRule="auto"/>
        <w:ind w:left="14" w:right="210" w:firstLine="4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B、发包人有权选取第三方机构按</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15.4.4</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款约定的原则重新编制切割工程的预算，</w:t>
      </w:r>
      <w:r>
        <w:rPr>
          <w:rFonts w:ascii="宋体" w:hAnsi="宋体" w:cs="宋体"/>
          <w:color w:val="000000" w:themeColor="text1"/>
          <w:spacing w:val="-1"/>
          <w:sz w:val="24"/>
          <w:highlight w:val="none"/>
          <w14:textFill>
            <w14:solidFill>
              <w14:schemeClr w14:val="tx1"/>
            </w14:solidFill>
          </w14:textFill>
        </w:rPr>
        <w:t>并按预算金额（不下浮）从承包人的合同总价中扣除。</w:t>
      </w:r>
    </w:p>
    <w:p w14:paraId="5C32CAD9">
      <w:pPr>
        <w:spacing w:line="360" w:lineRule="auto"/>
        <w:ind w:left="8"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发包人有权按上述确定的造价要求承包人、分包</w:t>
      </w:r>
      <w:r>
        <w:rPr>
          <w:rFonts w:ascii="宋体" w:hAnsi="宋体" w:cs="宋体"/>
          <w:color w:val="000000" w:themeColor="text1"/>
          <w:spacing w:val="1"/>
          <w:sz w:val="24"/>
          <w:highlight w:val="none"/>
          <w14:textFill>
            <w14:solidFill>
              <w14:schemeClr w14:val="tx1"/>
            </w14:solidFill>
          </w14:textFill>
        </w:rPr>
        <w:t>人与发包人签订三方分包协议,或</w:t>
      </w:r>
      <w:r>
        <w:rPr>
          <w:rFonts w:ascii="宋体" w:hAnsi="宋体" w:cs="宋体"/>
          <w:color w:val="000000" w:themeColor="text1"/>
          <w:spacing w:val="-1"/>
          <w:sz w:val="24"/>
          <w:highlight w:val="none"/>
          <w14:textFill>
            <w14:solidFill>
              <w14:schemeClr w14:val="tx1"/>
            </w14:solidFill>
          </w14:textFill>
        </w:rPr>
        <w:t>由发包人与分包人签订协议。工程款根据签订的协议,由发包人对分包人按时计量支付。</w:t>
      </w:r>
      <w:r>
        <w:rPr>
          <w:rFonts w:ascii="宋体" w:hAnsi="宋体" w:cs="宋体"/>
          <w:color w:val="000000" w:themeColor="text1"/>
          <w:spacing w:val="2"/>
          <w:sz w:val="24"/>
          <w:highlight w:val="none"/>
          <w14:textFill>
            <w14:solidFill>
              <w14:schemeClr w14:val="tx1"/>
            </w14:solidFill>
          </w14:textFill>
        </w:rPr>
        <w:t>工程实施后，确定分包工程计量支付金额后,发包人</w:t>
      </w:r>
      <w:r>
        <w:rPr>
          <w:rFonts w:ascii="宋体" w:hAnsi="宋体" w:cs="宋体"/>
          <w:color w:val="000000" w:themeColor="text1"/>
          <w:spacing w:val="1"/>
          <w:sz w:val="24"/>
          <w:highlight w:val="none"/>
          <w14:textFill>
            <w14:solidFill>
              <w14:schemeClr w14:val="tx1"/>
            </w14:solidFill>
          </w14:textFill>
        </w:rPr>
        <w:t>可直接在承包人任意一期计量中扣</w:t>
      </w:r>
      <w:r>
        <w:rPr>
          <w:rFonts w:ascii="宋体" w:hAnsi="宋体" w:cs="宋体"/>
          <w:color w:val="000000" w:themeColor="text1"/>
          <w:spacing w:val="-3"/>
          <w:sz w:val="24"/>
          <w:highlight w:val="none"/>
          <w14:textFill>
            <w14:solidFill>
              <w14:schemeClr w14:val="tx1"/>
            </w14:solidFill>
          </w14:textFill>
        </w:rPr>
        <w:t>减相应分包费用。承包人须负责分包部分原始资料的存档和竣工资料的统一编制等工作。</w:t>
      </w:r>
      <w:bookmarkStart w:id="171" w:name="bookmark313"/>
      <w:bookmarkEnd w:id="171"/>
      <w:r>
        <w:rPr>
          <w:rFonts w:ascii="宋体" w:hAnsi="宋体" w:cs="宋体"/>
          <w:color w:val="000000" w:themeColor="text1"/>
          <w:spacing w:val="-2"/>
          <w:sz w:val="24"/>
          <w:highlight w:val="none"/>
          <w14:textFill>
            <w14:solidFill>
              <w14:schemeClr w14:val="tx1"/>
            </w14:solidFill>
          </w14:textFill>
        </w:rPr>
        <w:t>发包人对承包人分包工程的同意并不免除承包人应承担的责任和义务。承包人应将任何</w:t>
      </w:r>
    </w:p>
    <w:p w14:paraId="12BBA6EC">
      <w:pPr>
        <w:pStyle w:val="3"/>
        <w:spacing w:line="360" w:lineRule="auto"/>
        <w:rPr>
          <w:color w:val="000000" w:themeColor="text1"/>
          <w:highlight w:val="none"/>
          <w14:textFill>
            <w14:solidFill>
              <w14:schemeClr w14:val="tx1"/>
            </w14:solidFill>
          </w14:textFill>
        </w:rPr>
      </w:pPr>
    </w:p>
    <w:p w14:paraId="022AD43A">
      <w:pPr>
        <w:spacing w:line="360" w:lineRule="auto"/>
        <w:ind w:left="4"/>
        <w:rPr>
          <w:rFonts w:hint="eastAsia" w:ascii="宋体" w:hAnsi="宋体" w:cs="宋体"/>
          <w:color w:val="000000" w:themeColor="text1"/>
          <w:sz w:val="18"/>
          <w:szCs w:val="18"/>
          <w:highlight w:val="none"/>
          <w14:textFill>
            <w14:solidFill>
              <w14:schemeClr w14:val="tx1"/>
            </w14:solidFill>
          </w14:textFill>
        </w:rPr>
      </w:pPr>
      <w:bookmarkStart w:id="172" w:name="bookmark314"/>
      <w:bookmarkEnd w:id="172"/>
    </w:p>
    <w:p w14:paraId="3C3FA6A7">
      <w:pPr>
        <w:spacing w:line="360" w:lineRule="auto"/>
        <w:rPr>
          <w:rFonts w:hint="eastAsia" w:ascii="宋体" w:hAnsi="宋体" w:cs="宋体"/>
          <w:color w:val="000000" w:themeColor="text1"/>
          <w:sz w:val="18"/>
          <w:szCs w:val="18"/>
          <w:highlight w:val="none"/>
          <w14:textFill>
            <w14:solidFill>
              <w14:schemeClr w14:val="tx1"/>
            </w14:solidFill>
          </w14:textFill>
        </w:rPr>
        <w:sectPr>
          <w:headerReference r:id="rId53" w:type="default"/>
          <w:footerReference r:id="rId54" w:type="default"/>
          <w:pgSz w:w="11906" w:h="16839"/>
          <w:pgMar w:top="1182" w:right="1217" w:bottom="1168" w:left="1417" w:header="849" w:footer="934" w:gutter="0"/>
          <w:cols w:space="720" w:num="1"/>
        </w:sectPr>
      </w:pPr>
    </w:p>
    <w:p w14:paraId="449D4DC9">
      <w:pPr>
        <w:pStyle w:val="3"/>
        <w:spacing w:line="360" w:lineRule="auto"/>
        <w:rPr>
          <w:color w:val="000000" w:themeColor="text1"/>
          <w:highlight w:val="none"/>
          <w14:textFill>
            <w14:solidFill>
              <w14:schemeClr w14:val="tx1"/>
            </w14:solidFill>
          </w14:textFill>
        </w:rPr>
      </w:pPr>
    </w:p>
    <w:p w14:paraId="23794411">
      <w:pPr>
        <w:spacing w:line="360" w:lineRule="auto"/>
        <w:ind w:left="9" w:right="61" w:firstLine="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分包人、分包代理人、雇员或工人的行为、违</w:t>
      </w:r>
      <w:r>
        <w:rPr>
          <w:rFonts w:ascii="宋体" w:hAnsi="宋体" w:cs="宋体"/>
          <w:color w:val="000000" w:themeColor="text1"/>
          <w:spacing w:val="1"/>
          <w:sz w:val="24"/>
          <w:highlight w:val="none"/>
          <w14:textFill>
            <w14:solidFill>
              <w14:schemeClr w14:val="tx1"/>
            </w14:solidFill>
          </w14:textFill>
        </w:rPr>
        <w:t>约和疏忽,视为承包人自己的行为、违约</w:t>
      </w:r>
      <w:r>
        <w:rPr>
          <w:rFonts w:ascii="宋体" w:hAnsi="宋体" w:cs="宋体"/>
          <w:color w:val="000000" w:themeColor="text1"/>
          <w:spacing w:val="-1"/>
          <w:sz w:val="24"/>
          <w:highlight w:val="none"/>
          <w14:textFill>
            <w14:solidFill>
              <w14:schemeClr w14:val="tx1"/>
            </w14:solidFill>
          </w14:textFill>
        </w:rPr>
        <w:t>和疏忽,并为之负完全的责任。</w:t>
      </w:r>
    </w:p>
    <w:p w14:paraId="65892C6D">
      <w:pPr>
        <w:spacing w:line="360" w:lineRule="auto"/>
        <w:ind w:left="8"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的分包工程受发包人的监督和管理，发包人有权审查承包人所有分包合同，承包人须严格执行合同（包括分包合同）条款，不得拖欠工人工资及分包商工程款，发包人如有发现或接到投诉，发包人有权直接向工人或分包商支付承包人拖欠款项，该笔</w:t>
      </w:r>
      <w:r>
        <w:rPr>
          <w:rFonts w:ascii="宋体" w:hAnsi="宋体" w:cs="宋体"/>
          <w:color w:val="000000" w:themeColor="text1"/>
          <w:sz w:val="24"/>
          <w:highlight w:val="none"/>
          <w14:textFill>
            <w14:solidFill>
              <w14:schemeClr w14:val="tx1"/>
            </w14:solidFill>
          </w14:textFill>
        </w:rPr>
        <w:t>款项由发包人从承包人应收工程款中如数扣</w:t>
      </w:r>
      <w:r>
        <w:rPr>
          <w:rFonts w:ascii="宋体" w:hAnsi="宋体" w:cs="宋体"/>
          <w:color w:val="000000" w:themeColor="text1"/>
          <w:spacing w:val="-1"/>
          <w:sz w:val="24"/>
          <w:highlight w:val="none"/>
          <w14:textFill>
            <w14:solidFill>
              <w14:schemeClr w14:val="tx1"/>
            </w14:solidFill>
          </w14:textFill>
        </w:rPr>
        <w:t>回，承包人不得有异议。</w:t>
      </w:r>
    </w:p>
    <w:p w14:paraId="4200827E">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4.6 承包人人员的管理</w:t>
      </w:r>
    </w:p>
    <w:p w14:paraId="2BA505E0">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4.6.1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43C48CB3">
      <w:pPr>
        <w:spacing w:line="360" w:lineRule="auto"/>
        <w:ind w:left="9" w:right="6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承包人应按监理人批准的人员安排报告及时安排相关人员进场，如果承包人在接到</w:t>
      </w:r>
      <w:r>
        <w:rPr>
          <w:rFonts w:ascii="宋体" w:hAnsi="宋体" w:cs="宋体"/>
          <w:color w:val="000000" w:themeColor="text1"/>
          <w:spacing w:val="-1"/>
          <w:sz w:val="24"/>
          <w:highlight w:val="none"/>
          <w14:textFill>
            <w14:solidFill>
              <w14:schemeClr w14:val="tx1"/>
            </w14:solidFill>
          </w14:textFill>
        </w:rPr>
        <w:t>监理人要求人员进场的通知</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天后仍未安排相关人员进场，视为</w:t>
      </w:r>
      <w:r>
        <w:rPr>
          <w:rFonts w:ascii="宋体" w:hAnsi="宋体" w:cs="宋体"/>
          <w:color w:val="000000" w:themeColor="text1"/>
          <w:spacing w:val="-2"/>
          <w:sz w:val="24"/>
          <w:highlight w:val="none"/>
          <w14:textFill>
            <w14:solidFill>
              <w14:schemeClr w14:val="tx1"/>
            </w14:solidFill>
          </w14:textFill>
        </w:rPr>
        <w:t>承包人违约。</w:t>
      </w:r>
    </w:p>
    <w:p w14:paraId="6BA7108E">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 4.6.3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项细化为：</w:t>
      </w:r>
    </w:p>
    <w:p w14:paraId="27B1246E">
      <w:pPr>
        <w:spacing w:line="360" w:lineRule="auto"/>
        <w:ind w:left="7" w:right="61"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高速公路(含改扩建)施工合同段应设置安全总监、质量总监，承包人直接派驻，不隶属于项目部，代表承包人对项目部进行监管。承包人安排在施工场地的项目经理、项目总工（总工程师）、安全总监、质量总监应与承包人投标填报名单一致；其他主要管</w:t>
      </w:r>
      <w:r>
        <w:rPr>
          <w:rFonts w:ascii="宋体" w:hAnsi="宋体" w:cs="宋体"/>
          <w:color w:val="000000" w:themeColor="text1"/>
          <w:sz w:val="24"/>
          <w:highlight w:val="none"/>
          <w14:textFill>
            <w14:solidFill>
              <w14:schemeClr w14:val="tx1"/>
            </w14:solidFill>
          </w14:textFill>
        </w:rPr>
        <w:t>理人员和技术人员的资格和经历应不低于招标</w:t>
      </w:r>
      <w:r>
        <w:rPr>
          <w:rFonts w:ascii="宋体" w:hAnsi="宋体" w:cs="宋体"/>
          <w:color w:val="000000" w:themeColor="text1"/>
          <w:spacing w:val="-1"/>
          <w:sz w:val="24"/>
          <w:highlight w:val="none"/>
          <w14:textFill>
            <w14:solidFill>
              <w14:schemeClr w14:val="tx1"/>
            </w14:solidFill>
          </w14:textFill>
        </w:rPr>
        <w:t>文件《附录6</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资格审查条件（其他主要管</w:t>
      </w:r>
      <w:r>
        <w:rPr>
          <w:rFonts w:ascii="宋体" w:hAnsi="宋体" w:cs="宋体"/>
          <w:color w:val="000000" w:themeColor="text1"/>
          <w:spacing w:val="-2"/>
          <w:sz w:val="24"/>
          <w:highlight w:val="none"/>
          <w14:textFill>
            <w14:solidFill>
              <w14:schemeClr w14:val="tx1"/>
            </w14:solidFill>
          </w14:textFill>
        </w:rPr>
        <w:t>理人员和技术人员最低要求）》的规定，其中房建工程应满足《广东省公路房建工程建设管理指南》中的人员管理规定。报监理人审核后并报发包人批准，上述人员经发包人</w:t>
      </w:r>
      <w:r>
        <w:rPr>
          <w:rFonts w:ascii="宋体" w:hAnsi="宋体" w:cs="宋体"/>
          <w:color w:val="000000" w:themeColor="text1"/>
          <w:spacing w:val="-1"/>
          <w:sz w:val="24"/>
          <w:highlight w:val="none"/>
          <w14:textFill>
            <w14:solidFill>
              <w14:schemeClr w14:val="tx1"/>
            </w14:solidFill>
          </w14:textFill>
        </w:rPr>
        <w:t>批准后不得随意更换。</w:t>
      </w:r>
    </w:p>
    <w:p w14:paraId="128130EB">
      <w:pPr>
        <w:spacing w:line="360" w:lineRule="auto"/>
        <w:ind w:left="7"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 xml:space="preserve">(1) </w:t>
      </w:r>
      <w:r>
        <w:rPr>
          <w:rFonts w:hint="eastAsia" w:ascii="宋体" w:hAnsi="宋体" w:cs="宋体"/>
          <w:color w:val="000000" w:themeColor="text1"/>
          <w:spacing w:val="-3"/>
          <w:sz w:val="24"/>
          <w:highlight w:val="none"/>
          <w14:textFill>
            <w14:solidFill>
              <w14:schemeClr w14:val="tx1"/>
            </w14:solidFill>
          </w14:textFill>
        </w:rPr>
        <w:t>允许更换一次同岗位项目人员，不涉及处罚。但是同岗位第二次更换时，按下述条件执行。</w:t>
      </w:r>
      <w:r>
        <w:rPr>
          <w:rFonts w:ascii="宋体" w:hAnsi="宋体" w:cs="宋体"/>
          <w:color w:val="000000" w:themeColor="text1"/>
          <w:spacing w:val="-3"/>
          <w:sz w:val="24"/>
          <w:highlight w:val="none"/>
          <w14:textFill>
            <w14:solidFill>
              <w14:schemeClr w14:val="tx1"/>
            </w14:solidFill>
          </w14:textFill>
        </w:rPr>
        <w:t>未经监理人批准，上述人员不应无故不到位或被替换。若确实无法到位或需替</w:t>
      </w:r>
      <w:r>
        <w:rPr>
          <w:rFonts w:ascii="宋体" w:hAnsi="宋体" w:cs="宋体"/>
          <w:color w:val="000000" w:themeColor="text1"/>
          <w:spacing w:val="-2"/>
          <w:sz w:val="24"/>
          <w:highlight w:val="none"/>
          <w14:textFill>
            <w14:solidFill>
              <w14:schemeClr w14:val="tx1"/>
            </w14:solidFill>
          </w14:textFill>
        </w:rPr>
        <w:t>换，或监理人认为已委派的项目经理或主要人员</w:t>
      </w:r>
      <w:r>
        <w:rPr>
          <w:rFonts w:ascii="宋体" w:hAnsi="宋体" w:cs="宋体"/>
          <w:color w:val="000000" w:themeColor="text1"/>
          <w:spacing w:val="-2"/>
          <w:sz w:val="24"/>
          <w:highlight w:val="none"/>
          <w:u w:val="single"/>
          <w14:textFill>
            <w14:solidFill>
              <w14:schemeClr w14:val="tx1"/>
            </w14:solidFill>
          </w14:textFill>
        </w:rPr>
        <w:t>（或备选人员）</w:t>
      </w:r>
      <w:r>
        <w:rPr>
          <w:rFonts w:ascii="宋体" w:hAnsi="宋体" w:cs="宋体"/>
          <w:color w:val="000000" w:themeColor="text1"/>
          <w:spacing w:val="-2"/>
          <w:sz w:val="24"/>
          <w:highlight w:val="none"/>
          <w14:textFill>
            <w14:solidFill>
              <w14:schemeClr w14:val="tx1"/>
            </w14:solidFill>
          </w14:textFill>
        </w:rPr>
        <w:t>的工作能力和业务水平不称职，需经监理人审核并报发包人批准后，用同等资质和经历的人员替换，同时须按以下标准向发包人提交违约金：项目经理、总工程师</w:t>
      </w:r>
      <w:r>
        <w:rPr>
          <w:rFonts w:ascii="宋体" w:hAnsi="宋体" w:cs="宋体"/>
          <w:color w:val="000000" w:themeColor="text1"/>
          <w:spacing w:val="-2"/>
          <w:sz w:val="24"/>
          <w:highlight w:val="none"/>
          <w:u w:val="single"/>
          <w14:textFill>
            <w14:solidFill>
              <w14:schemeClr w14:val="tx1"/>
            </w14:solidFill>
          </w14:textFill>
        </w:rPr>
        <w:t>（用备选人替换首选人的调整不受</w:t>
      </w:r>
      <w:r>
        <w:rPr>
          <w:rFonts w:ascii="宋体" w:hAnsi="宋体" w:cs="宋体"/>
          <w:color w:val="000000" w:themeColor="text1"/>
          <w:spacing w:val="1"/>
          <w:sz w:val="24"/>
          <w:highlight w:val="none"/>
          <w:u w:val="single"/>
          <w14:textFill>
            <w14:solidFill>
              <w14:schemeClr w14:val="tx1"/>
            </w14:solidFill>
          </w14:textFill>
        </w:rPr>
        <w:t>此限）</w:t>
      </w:r>
      <w:r>
        <w:rPr>
          <w:rFonts w:ascii="宋体" w:hAnsi="宋体" w:cs="宋体"/>
          <w:color w:val="000000" w:themeColor="text1"/>
          <w:spacing w:val="1"/>
          <w:sz w:val="24"/>
          <w:highlight w:val="none"/>
          <w14:textFill>
            <w14:solidFill>
              <w14:schemeClr w14:val="tx1"/>
            </w14:solidFill>
          </w14:textFill>
        </w:rPr>
        <w:t>、质量总监、安全总监需缴纳违约金</w:t>
      </w:r>
      <w:r>
        <w:rPr>
          <w:rFonts w:ascii="宋体" w:hAnsi="宋体" w:cs="宋体"/>
          <w:color w:val="000000" w:themeColor="text1"/>
          <w:sz w:val="24"/>
          <w:highlight w:val="none"/>
          <w14:textFill>
            <w14:solidFill>
              <w14:schemeClr w14:val="tx1"/>
            </w14:solidFill>
          </w14:textFill>
        </w:rPr>
        <w:t>金额详见</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22.1.2</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附表《承包人违约金一览</w:t>
      </w:r>
      <w:r>
        <w:rPr>
          <w:rFonts w:ascii="宋体" w:hAnsi="宋体" w:cs="宋体"/>
          <w:color w:val="000000" w:themeColor="text1"/>
          <w:spacing w:val="-2"/>
          <w:sz w:val="24"/>
          <w:highlight w:val="none"/>
          <w14:textFill>
            <w14:solidFill>
              <w14:schemeClr w14:val="tx1"/>
            </w14:solidFill>
          </w14:textFill>
        </w:rPr>
        <w:t>表》，其他主要管理人员</w:t>
      </w:r>
      <w:r>
        <w:rPr>
          <w:rFonts w:ascii="宋体" w:hAnsi="宋体" w:cs="宋体"/>
          <w:color w:val="000000" w:themeColor="text1"/>
          <w:spacing w:val="-2"/>
          <w:sz w:val="24"/>
          <w:highlight w:val="none"/>
          <w:u w:val="single"/>
          <w14:textFill>
            <w14:solidFill>
              <w14:schemeClr w14:val="tx1"/>
            </w14:solidFill>
          </w14:textFill>
        </w:rPr>
        <w:t>（质检工程师、计划工程师、道路工程师、桥梁工程师、隧道工程师、地质工程师、测量工程师、试验工程师、专职安全生产管理人员、财务负责人</w:t>
      </w:r>
      <w:r>
        <w:rPr>
          <w:rFonts w:ascii="宋体" w:hAnsi="宋体" w:cs="宋体"/>
          <w:color w:val="000000" w:themeColor="text1"/>
          <w:sz w:val="24"/>
          <w:highlight w:val="none"/>
          <w:u w:val="single"/>
          <w14:textFill>
            <w14:solidFill>
              <w14:schemeClr w14:val="tx1"/>
            </w14:solidFill>
          </w14:textFill>
        </w:rPr>
        <w:t>等）</w:t>
      </w:r>
      <w:r>
        <w:rPr>
          <w:rFonts w:ascii="宋体" w:hAnsi="宋体" w:cs="宋体"/>
          <w:color w:val="000000" w:themeColor="text1"/>
          <w:sz w:val="24"/>
          <w:highlight w:val="none"/>
          <w14:textFill>
            <w14:solidFill>
              <w14:schemeClr w14:val="tx1"/>
            </w14:solidFill>
          </w14:textFill>
        </w:rPr>
        <w:t>的调整部分需缴纳违约金金额详见</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22.1.2</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附表《承包人违约金一览表》。因不可</w:t>
      </w:r>
      <w:r>
        <w:rPr>
          <w:rFonts w:ascii="宋体" w:hAnsi="宋体" w:cs="宋体"/>
          <w:color w:val="000000" w:themeColor="text1"/>
          <w:spacing w:val="-6"/>
          <w:sz w:val="24"/>
          <w:highlight w:val="none"/>
          <w14:textFill>
            <w14:solidFill>
              <w14:schemeClr w14:val="tx1"/>
            </w14:solidFill>
          </w14:textFill>
        </w:rPr>
        <w:t>抗力、退休、职务晋升或离职等（需提供相关证明材料）无法继续履行合同责任和义</w:t>
      </w:r>
      <w:r>
        <w:rPr>
          <w:rFonts w:ascii="宋体" w:hAnsi="宋体" w:cs="宋体"/>
          <w:color w:val="000000" w:themeColor="text1"/>
          <w:spacing w:val="-7"/>
          <w:sz w:val="24"/>
          <w:highlight w:val="none"/>
          <w14:textFill>
            <w14:solidFill>
              <w14:schemeClr w14:val="tx1"/>
            </w14:solidFill>
          </w14:textFill>
        </w:rPr>
        <w:t>务，</w:t>
      </w:r>
      <w:r>
        <w:rPr>
          <w:rFonts w:ascii="宋体" w:hAnsi="宋体" w:cs="宋体"/>
          <w:color w:val="000000" w:themeColor="text1"/>
          <w:spacing w:val="-2"/>
          <w:sz w:val="24"/>
          <w:highlight w:val="none"/>
          <w14:textFill>
            <w14:solidFill>
              <w14:schemeClr w14:val="tx1"/>
            </w14:solidFill>
          </w14:textFill>
        </w:rPr>
        <w:t>承包人报监理人审核并报发包人批准后可进行替换，替换人员的资质和经历不得低于原批复人员，承包人无须承担违约责任。发包人可随着工程的进度情况，动态增减管理人</w:t>
      </w:r>
      <w:r>
        <w:rPr>
          <w:rFonts w:ascii="宋体" w:hAnsi="宋体" w:cs="宋体"/>
          <w:color w:val="000000" w:themeColor="text1"/>
          <w:spacing w:val="-3"/>
          <w:sz w:val="24"/>
          <w:highlight w:val="none"/>
          <w14:textFill>
            <w14:solidFill>
              <w14:schemeClr w14:val="tx1"/>
            </w14:solidFill>
          </w14:textFill>
        </w:rPr>
        <w:t>员要求。</w:t>
      </w:r>
    </w:p>
    <w:p w14:paraId="513CF26F">
      <w:pPr>
        <w:spacing w:line="360" w:lineRule="auto"/>
        <w:rPr>
          <w:rFonts w:hint="eastAsia" w:ascii="宋体" w:hAnsi="宋体" w:cs="宋体"/>
          <w:color w:val="000000" w:themeColor="text1"/>
          <w:sz w:val="24"/>
          <w:highlight w:val="none"/>
          <w14:textFill>
            <w14:solidFill>
              <w14:schemeClr w14:val="tx1"/>
            </w14:solidFill>
          </w14:textFill>
        </w:rPr>
        <w:sectPr>
          <w:headerReference r:id="rId55" w:type="default"/>
          <w:footerReference r:id="rId56" w:type="default"/>
          <w:pgSz w:w="11906" w:h="16839"/>
          <w:pgMar w:top="1182" w:right="1356" w:bottom="1168" w:left="1417" w:header="849" w:footer="934" w:gutter="0"/>
          <w:cols w:space="720" w:num="1"/>
        </w:sectPr>
      </w:pPr>
    </w:p>
    <w:p w14:paraId="6A7F6673">
      <w:pPr>
        <w:pStyle w:val="3"/>
        <w:spacing w:line="360" w:lineRule="auto"/>
        <w:rPr>
          <w:color w:val="000000" w:themeColor="text1"/>
          <w:highlight w:val="none"/>
          <w14:textFill>
            <w14:solidFill>
              <w14:schemeClr w14:val="tx1"/>
            </w14:solidFill>
          </w14:textFill>
        </w:rPr>
      </w:pPr>
    </w:p>
    <w:p w14:paraId="6ED4DEDC">
      <w:pPr>
        <w:spacing w:line="360" w:lineRule="auto"/>
        <w:ind w:left="18"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（2）为保证承包人的档案资料整理工作具有连续性、稳定性，要求承包人的档案</w:t>
      </w:r>
      <w:r>
        <w:rPr>
          <w:rFonts w:ascii="宋体" w:hAnsi="宋体" w:cs="宋体"/>
          <w:color w:val="000000" w:themeColor="text1"/>
          <w:spacing w:val="-2"/>
          <w:sz w:val="24"/>
          <w:highlight w:val="none"/>
          <w14:textFill>
            <w14:solidFill>
              <w14:schemeClr w14:val="tx1"/>
            </w14:solidFill>
          </w14:textFill>
        </w:rPr>
        <w:t>资料整理负责人在本项目连续工作</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年及以上，否则视为承包人违约。</w:t>
      </w:r>
    </w:p>
    <w:p w14:paraId="6B4E6B2F">
      <w:pPr>
        <w:spacing w:line="360" w:lineRule="auto"/>
        <w:ind w:left="8" w:right="77"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（3）项目经理不能在两个或两个以上项目同时任职，且必须保证每月有</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22</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天以上</w:t>
      </w:r>
      <w:r>
        <w:rPr>
          <w:rFonts w:ascii="宋体" w:hAnsi="宋体" w:cs="宋体"/>
          <w:color w:val="000000" w:themeColor="text1"/>
          <w:spacing w:val="1"/>
          <w:sz w:val="24"/>
          <w:highlight w:val="none"/>
          <w14:textFill>
            <w14:solidFill>
              <w14:schemeClr w14:val="tx1"/>
            </w14:solidFill>
          </w14:textFill>
        </w:rPr>
        <w:t>驻守现场；项目总工（总工程师）必须保证每月有</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天以上驻守现</w:t>
      </w:r>
      <w:r>
        <w:rPr>
          <w:rFonts w:ascii="宋体" w:hAnsi="宋体" w:cs="宋体"/>
          <w:color w:val="000000" w:themeColor="text1"/>
          <w:sz w:val="24"/>
          <w:highlight w:val="none"/>
          <w14:textFill>
            <w14:solidFill>
              <w14:schemeClr w14:val="tx1"/>
            </w14:solidFill>
          </w14:textFill>
        </w:rPr>
        <w:t>场，否则视为承包</w:t>
      </w:r>
      <w:r>
        <w:rPr>
          <w:rFonts w:ascii="宋体" w:hAnsi="宋体" w:cs="宋体"/>
          <w:color w:val="000000" w:themeColor="text1"/>
          <w:spacing w:val="1"/>
          <w:sz w:val="24"/>
          <w:highlight w:val="none"/>
          <w14:textFill>
            <w14:solidFill>
              <w14:schemeClr w14:val="tx1"/>
            </w14:solidFill>
          </w14:textFill>
        </w:rPr>
        <w:t>人违约；质量总监、安全总监必须保证每月有</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天以上驻守现场，</w:t>
      </w:r>
      <w:r>
        <w:rPr>
          <w:rFonts w:ascii="宋体" w:hAnsi="宋体" w:cs="宋体"/>
          <w:color w:val="000000" w:themeColor="text1"/>
          <w:sz w:val="24"/>
          <w:highlight w:val="none"/>
          <w14:textFill>
            <w14:solidFill>
              <w14:schemeClr w14:val="tx1"/>
            </w14:solidFill>
          </w14:textFill>
        </w:rPr>
        <w:t>否则视为承包人违</w:t>
      </w:r>
      <w:r>
        <w:rPr>
          <w:rFonts w:ascii="宋体" w:hAnsi="宋体" w:cs="宋体"/>
          <w:color w:val="000000" w:themeColor="text1"/>
          <w:spacing w:val="-2"/>
          <w:sz w:val="24"/>
          <w:highlight w:val="none"/>
          <w14:textFill>
            <w14:solidFill>
              <w14:schemeClr w14:val="tx1"/>
            </w14:solidFill>
          </w14:textFill>
        </w:rPr>
        <w:t>约。以上四位主要人员因主管部门或发包人检查，被</w:t>
      </w:r>
      <w:r>
        <w:rPr>
          <w:rFonts w:ascii="宋体" w:hAnsi="宋体" w:cs="宋体"/>
          <w:color w:val="000000" w:themeColor="text1"/>
          <w:spacing w:val="-3"/>
          <w:sz w:val="24"/>
          <w:highlight w:val="none"/>
          <w14:textFill>
            <w14:solidFill>
              <w14:schemeClr w14:val="tx1"/>
            </w14:solidFill>
          </w14:textFill>
        </w:rPr>
        <w:t>认定存在“挂名</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”现象的，视为承</w:t>
      </w:r>
      <w:r>
        <w:rPr>
          <w:rFonts w:ascii="宋体" w:hAnsi="宋体" w:cs="宋体"/>
          <w:color w:val="000000" w:themeColor="text1"/>
          <w:spacing w:val="-2"/>
          <w:sz w:val="24"/>
          <w:highlight w:val="none"/>
          <w14:textFill>
            <w14:solidFill>
              <w14:schemeClr w14:val="tx1"/>
            </w14:solidFill>
          </w14:textFill>
        </w:rPr>
        <w:t>包人违约。</w:t>
      </w:r>
    </w:p>
    <w:p w14:paraId="793AD02C">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（4）承包人应按《公路水运工程安全生产监督管理办法》《广东省高速公路工程</w:t>
      </w:r>
      <w:r>
        <w:rPr>
          <w:rFonts w:ascii="宋体" w:hAnsi="宋体" w:cs="宋体"/>
          <w:color w:val="000000" w:themeColor="text1"/>
          <w:spacing w:val="-2"/>
          <w:sz w:val="24"/>
          <w:highlight w:val="none"/>
          <w14:textFill>
            <w14:solidFill>
              <w14:schemeClr w14:val="tx1"/>
            </w14:solidFill>
          </w14:textFill>
        </w:rPr>
        <w:t>施工安全标准化指南》《广东省公路工程施工项目部管理指南》等相关规定，设置独立</w:t>
      </w:r>
      <w:r>
        <w:rPr>
          <w:rFonts w:ascii="宋体" w:hAnsi="宋体" w:cs="宋体"/>
          <w:color w:val="000000" w:themeColor="text1"/>
          <w:spacing w:val="-1"/>
          <w:sz w:val="24"/>
          <w:highlight w:val="none"/>
          <w14:textFill>
            <w14:solidFill>
              <w14:schemeClr w14:val="tx1"/>
            </w14:solidFill>
          </w14:textFill>
        </w:rPr>
        <w:t>的安全管理机构，配置安全总监、专职安全生产管理人员：</w:t>
      </w:r>
    </w:p>
    <w:p w14:paraId="70CEC4CF">
      <w:pPr>
        <w:spacing w:line="360" w:lineRule="auto"/>
        <w:ind w:left="7"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a.项目部及专业分包单位按照年度施工产值计划配备专职安全生产管理人员，年产</w:t>
      </w:r>
      <w:r>
        <w:rPr>
          <w:rFonts w:ascii="宋体" w:hAnsi="宋体" w:cs="宋体"/>
          <w:color w:val="000000" w:themeColor="text1"/>
          <w:sz w:val="24"/>
          <w:highlight w:val="none"/>
          <w14:textFill>
            <w14:solidFill>
              <w14:schemeClr w14:val="tx1"/>
            </w14:solidFill>
          </w14:textFill>
        </w:rPr>
        <w:t>值计划在</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5000</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万元及以下时，应配备不少于</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名专职安全生产管理人员，年产值计划</w:t>
      </w:r>
      <w:r>
        <w:rPr>
          <w:rFonts w:ascii="宋体" w:hAnsi="宋体" w:cs="宋体"/>
          <w:color w:val="000000" w:themeColor="text1"/>
          <w:spacing w:val="-7"/>
          <w:sz w:val="24"/>
          <w:highlight w:val="none"/>
          <w14:textFill>
            <w14:solidFill>
              <w14:schemeClr w14:val="tx1"/>
            </w14:solidFill>
          </w14:textFill>
        </w:rPr>
        <w:t>超过</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5000</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万元时，每增加</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5000</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万元应增</w:t>
      </w:r>
      <w:r>
        <w:rPr>
          <w:rFonts w:ascii="宋体" w:hAnsi="宋体" w:cs="宋体"/>
          <w:color w:val="000000" w:themeColor="text1"/>
          <w:spacing w:val="-8"/>
          <w:sz w:val="24"/>
          <w:highlight w:val="none"/>
          <w14:textFill>
            <w14:solidFill>
              <w14:schemeClr w14:val="tx1"/>
            </w14:solidFill>
          </w14:textFill>
        </w:rPr>
        <w:t>配</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1</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8"/>
          <w:sz w:val="24"/>
          <w:highlight w:val="none"/>
          <w14:textFill>
            <w14:solidFill>
              <w14:schemeClr w14:val="tx1"/>
            </w14:solidFill>
          </w14:textFill>
        </w:rPr>
        <w:t>人；专职安全生产管理人员中安全、路桥、</w:t>
      </w:r>
      <w:r>
        <w:rPr>
          <w:rFonts w:ascii="宋体" w:hAnsi="宋体" w:cs="宋体"/>
          <w:color w:val="000000" w:themeColor="text1"/>
          <w:spacing w:val="2"/>
          <w:sz w:val="24"/>
          <w:highlight w:val="none"/>
          <w14:textFill>
            <w14:solidFill>
              <w14:schemeClr w14:val="tx1"/>
            </w14:solidFill>
          </w14:textFill>
        </w:rPr>
        <w:t>隧道、机械、化工、地质、机电等专业人员比例不</w:t>
      </w:r>
      <w:r>
        <w:rPr>
          <w:rFonts w:ascii="宋体" w:hAnsi="宋体" w:cs="宋体"/>
          <w:color w:val="000000" w:themeColor="text1"/>
          <w:spacing w:val="1"/>
          <w:sz w:val="24"/>
          <w:highlight w:val="none"/>
          <w14:textFill>
            <w14:solidFill>
              <w14:schemeClr w14:val="tx1"/>
            </w14:solidFill>
          </w14:textFill>
        </w:rPr>
        <w:t>少于80%。</w:t>
      </w:r>
    </w:p>
    <w:p w14:paraId="1550188B">
      <w:pPr>
        <w:spacing w:line="360" w:lineRule="auto"/>
        <w:ind w:left="8" w:right="80"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b.施工单位（含专业分包单位）项目经理</w:t>
      </w:r>
      <w:r>
        <w:rPr>
          <w:rFonts w:ascii="宋体" w:hAnsi="宋体" w:cs="宋体"/>
          <w:color w:val="000000" w:themeColor="text1"/>
          <w:spacing w:val="-2"/>
          <w:sz w:val="24"/>
          <w:highlight w:val="none"/>
          <w14:textFill>
            <w14:solidFill>
              <w14:schemeClr w14:val="tx1"/>
            </w14:solidFill>
          </w14:textFill>
        </w:rPr>
        <w:t>、项目副经理和专职安全生产管理人员应持有公路水运工程施工企业安全生产“三类人员</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”安</w:t>
      </w:r>
      <w:r>
        <w:rPr>
          <w:rFonts w:ascii="宋体" w:hAnsi="宋体" w:cs="宋体"/>
          <w:color w:val="000000" w:themeColor="text1"/>
          <w:spacing w:val="-3"/>
          <w:sz w:val="24"/>
          <w:highlight w:val="none"/>
          <w14:textFill>
            <w14:solidFill>
              <w14:schemeClr w14:val="tx1"/>
            </w14:solidFill>
          </w14:textFill>
        </w:rPr>
        <w:t>全生产考核合格证书，证书有效并</w:t>
      </w:r>
      <w:r>
        <w:rPr>
          <w:rFonts w:ascii="宋体" w:hAnsi="宋体" w:cs="宋体"/>
          <w:color w:val="000000" w:themeColor="text1"/>
          <w:spacing w:val="-2"/>
          <w:sz w:val="24"/>
          <w:highlight w:val="none"/>
          <w14:textFill>
            <w14:solidFill>
              <w14:schemeClr w14:val="tx1"/>
            </w14:solidFill>
          </w14:textFill>
        </w:rPr>
        <w:t>与对应岗位人员身份相符，进场“三类人员</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”资格、</w:t>
      </w:r>
      <w:r>
        <w:rPr>
          <w:rFonts w:ascii="宋体" w:hAnsi="宋体" w:cs="宋体"/>
          <w:color w:val="000000" w:themeColor="text1"/>
          <w:spacing w:val="-3"/>
          <w:sz w:val="24"/>
          <w:highlight w:val="none"/>
          <w14:textFill>
            <w14:solidFill>
              <w14:schemeClr w14:val="tx1"/>
            </w14:solidFill>
          </w14:textFill>
        </w:rPr>
        <w:t>实际岗位与合同文件或变更文件对</w:t>
      </w:r>
      <w:r>
        <w:rPr>
          <w:rFonts w:ascii="宋体" w:hAnsi="宋体" w:cs="宋体"/>
          <w:color w:val="000000" w:themeColor="text1"/>
          <w:spacing w:val="-5"/>
          <w:sz w:val="24"/>
          <w:highlight w:val="none"/>
          <w14:textFill>
            <w14:solidFill>
              <w14:schemeClr w14:val="tx1"/>
            </w14:solidFill>
          </w14:textFill>
        </w:rPr>
        <w:t>应。</w:t>
      </w:r>
    </w:p>
    <w:p w14:paraId="563F7A63">
      <w:pPr>
        <w:spacing w:line="360" w:lineRule="auto"/>
        <w:ind w:left="10" w:right="80"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（5）项目经理和项目总工必须按要求出席发包人组织的各种会议，包括监理人主</w:t>
      </w:r>
      <w:r>
        <w:rPr>
          <w:rFonts w:ascii="宋体" w:hAnsi="宋体" w:cs="宋体"/>
          <w:color w:val="000000" w:themeColor="text1"/>
          <w:spacing w:val="-2"/>
          <w:sz w:val="24"/>
          <w:highlight w:val="none"/>
          <w14:textFill>
            <w14:solidFill>
              <w14:schemeClr w14:val="tx1"/>
            </w14:solidFill>
          </w14:textFill>
        </w:rPr>
        <w:t>持的重要会议。特殊情况无法出席的，必须取得发包人或监理人批准，任何迟到或早退按缺席处理。</w:t>
      </w:r>
    </w:p>
    <w:p w14:paraId="639FBE44">
      <w:pPr>
        <w:spacing w:line="360"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（6）承包人应严格按照环境保护的有关规定，明确环境保护的主要负责人，并按</w:t>
      </w:r>
      <w:r>
        <w:rPr>
          <w:rFonts w:ascii="宋体" w:hAnsi="宋体" w:cs="宋体"/>
          <w:color w:val="000000" w:themeColor="text1"/>
          <w:spacing w:val="-1"/>
          <w:sz w:val="24"/>
          <w:highlight w:val="none"/>
          <w14:textFill>
            <w14:solidFill>
              <w14:schemeClr w14:val="tx1"/>
            </w14:solidFill>
          </w14:textFill>
        </w:rPr>
        <w:t>监理人的要求做好防御措施以及实施记录。</w:t>
      </w:r>
    </w:p>
    <w:p w14:paraId="7DC4C5C1">
      <w:pPr>
        <w:spacing w:line="360"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（7）承包人应严格按照水土保持的有关规定，明确水土保持的主要负责人，并按</w:t>
      </w:r>
      <w:r>
        <w:rPr>
          <w:rFonts w:ascii="宋体" w:hAnsi="宋体" w:cs="宋体"/>
          <w:color w:val="000000" w:themeColor="text1"/>
          <w:spacing w:val="-1"/>
          <w:sz w:val="24"/>
          <w:highlight w:val="none"/>
          <w14:textFill>
            <w14:solidFill>
              <w14:schemeClr w14:val="tx1"/>
            </w14:solidFill>
          </w14:textFill>
        </w:rPr>
        <w:t>监理人的要求做好防御措施以及实施记录。</w:t>
      </w:r>
    </w:p>
    <w:p w14:paraId="6EF44EAD">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（8）承包人应配合发包人采用信息化管理手段对主要施工管理人员进行考核。</w:t>
      </w:r>
    </w:p>
    <w:p w14:paraId="6D9A4FC4">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在本款后增加</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4.6.6～4.6.7</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项如下：</w:t>
      </w:r>
    </w:p>
    <w:p w14:paraId="5A3E2B28">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4.6.6</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劳务聘用</w:t>
      </w:r>
    </w:p>
    <w:p w14:paraId="51A4B99D">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（1）承包人可以直接雇用农民工或将劳务作业分包给具有劳务分包资质的劳务分</w:t>
      </w:r>
      <w:r>
        <w:rPr>
          <w:rFonts w:ascii="宋体" w:hAnsi="宋体" w:cs="宋体"/>
          <w:color w:val="000000" w:themeColor="text1"/>
          <w:spacing w:val="-2"/>
          <w:sz w:val="24"/>
          <w:highlight w:val="none"/>
          <w14:textFill>
            <w14:solidFill>
              <w14:schemeClr w14:val="tx1"/>
            </w14:solidFill>
          </w14:textFill>
        </w:rPr>
        <w:t>包人，但承包人或分包人必须依法签订劳动合同或用工协议，并将民工花名册、劳动合</w:t>
      </w:r>
    </w:p>
    <w:p w14:paraId="13DA6670">
      <w:pPr>
        <w:spacing w:line="360" w:lineRule="auto"/>
        <w:rPr>
          <w:rFonts w:hint="eastAsia" w:ascii="宋体" w:hAnsi="宋体" w:cs="宋体"/>
          <w:color w:val="000000" w:themeColor="text1"/>
          <w:sz w:val="24"/>
          <w:highlight w:val="none"/>
          <w14:textFill>
            <w14:solidFill>
              <w14:schemeClr w14:val="tx1"/>
            </w14:solidFill>
          </w14:textFill>
        </w:rPr>
        <w:sectPr>
          <w:headerReference r:id="rId57" w:type="default"/>
          <w:footerReference r:id="rId58" w:type="default"/>
          <w:pgSz w:w="11906" w:h="16839"/>
          <w:pgMar w:top="1182" w:right="1337" w:bottom="1168" w:left="1417" w:header="849" w:footer="934" w:gutter="0"/>
          <w:cols w:space="720" w:num="1"/>
        </w:sectPr>
      </w:pPr>
    </w:p>
    <w:p w14:paraId="32A2C47C">
      <w:pPr>
        <w:pStyle w:val="3"/>
        <w:spacing w:line="360" w:lineRule="auto"/>
        <w:rPr>
          <w:color w:val="000000" w:themeColor="text1"/>
          <w:highlight w:val="none"/>
          <w14:textFill>
            <w14:solidFill>
              <w14:schemeClr w14:val="tx1"/>
            </w14:solidFill>
          </w14:textFill>
        </w:rPr>
      </w:pPr>
    </w:p>
    <w:p w14:paraId="3F94A544">
      <w:pPr>
        <w:spacing w:line="360" w:lineRule="auto"/>
        <w:ind w:left="8" w:right="72" w:firstLine="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同或用工协议、民工签收的工资支付表报相关监管部门备案。承包人须根</w:t>
      </w:r>
      <w:r>
        <w:rPr>
          <w:rFonts w:ascii="宋体" w:hAnsi="宋体" w:cs="宋体"/>
          <w:color w:val="000000" w:themeColor="text1"/>
          <w:spacing w:val="-3"/>
          <w:sz w:val="24"/>
          <w:highlight w:val="none"/>
          <w14:textFill>
            <w14:solidFill>
              <w14:schemeClr w14:val="tx1"/>
            </w14:solidFill>
          </w14:textFill>
        </w:rPr>
        <w:t>据《广东省交</w:t>
      </w:r>
      <w:r>
        <w:rPr>
          <w:rFonts w:ascii="宋体" w:hAnsi="宋体" w:cs="宋体"/>
          <w:color w:val="000000" w:themeColor="text1"/>
          <w:spacing w:val="-1"/>
          <w:sz w:val="24"/>
          <w:highlight w:val="none"/>
          <w14:textFill>
            <w14:solidFill>
              <w14:schemeClr w14:val="tx1"/>
            </w14:solidFill>
          </w14:textFill>
        </w:rPr>
        <w:t>通运输厅关于加强交通建设工程从业人员实名制管理和作业工人工资支付管理的通知》</w:t>
      </w:r>
      <w:r>
        <w:rPr>
          <w:rFonts w:ascii="宋体" w:hAnsi="宋体" w:cs="宋体"/>
          <w:color w:val="000000" w:themeColor="text1"/>
          <w:spacing w:val="-2"/>
          <w:sz w:val="24"/>
          <w:highlight w:val="none"/>
          <w14:textFill>
            <w14:solidFill>
              <w14:schemeClr w14:val="tx1"/>
            </w14:solidFill>
          </w14:textFill>
        </w:rPr>
        <w:t>和《广东省交通运输厅关于在全省公路水运工程建设项目部署应用从业人员实名制管理系统的通知》等文件要求，规范和加强项目农民工实名制管理及工资支付管理。承包人和劳务分包人必须按照有关法律、法规和劳务合同按时支付劳务工资及相关费用，落实各项劳动保护措施。</w:t>
      </w:r>
    </w:p>
    <w:p w14:paraId="5A68876C">
      <w:pPr>
        <w:spacing w:line="360" w:lineRule="auto"/>
        <w:ind w:left="7" w:right="44"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（2）承包人必须按时支付其雇用人员、其分包单位雇用人员、实际为承包人或其</w:t>
      </w:r>
      <w:r>
        <w:rPr>
          <w:rFonts w:ascii="宋体" w:hAnsi="宋体" w:cs="宋体"/>
          <w:color w:val="000000" w:themeColor="text1"/>
          <w:spacing w:val="-2"/>
          <w:sz w:val="24"/>
          <w:highlight w:val="none"/>
          <w14:textFill>
            <w14:solidFill>
              <w14:schemeClr w14:val="tx1"/>
            </w14:solidFill>
          </w14:textFill>
        </w:rPr>
        <w:t>分包单位服务、应从承包人中得到报酬的人员（包括民工）的工资，不得拖欠上述人员的工资。同时，承包人有责任和义务监督其分包单位对属下员工工资的支付。发包人和监理人有权监督承包人使用农民工的管理，对不签订劳动合同、非法使用农民工的，或</w:t>
      </w:r>
      <w:r>
        <w:rPr>
          <w:rFonts w:ascii="宋体" w:hAnsi="宋体" w:cs="宋体"/>
          <w:color w:val="000000" w:themeColor="text1"/>
          <w:spacing w:val="-6"/>
          <w:sz w:val="24"/>
          <w:highlight w:val="none"/>
          <w14:textFill>
            <w14:solidFill>
              <w14:schemeClr w14:val="tx1"/>
            </w14:solidFill>
          </w14:textFill>
        </w:rPr>
        <w:t>者拖延和克扣农民工工资的，一经发现，发包人将予以通报并上报上级主管单位。同</w:t>
      </w:r>
      <w:r>
        <w:rPr>
          <w:rFonts w:ascii="宋体" w:hAnsi="宋体" w:cs="宋体"/>
          <w:color w:val="000000" w:themeColor="text1"/>
          <w:spacing w:val="-7"/>
          <w:sz w:val="24"/>
          <w:highlight w:val="none"/>
          <w14:textFill>
            <w14:solidFill>
              <w14:schemeClr w14:val="tx1"/>
            </w14:solidFill>
          </w14:textFill>
        </w:rPr>
        <w:t>时，</w:t>
      </w:r>
      <w:r>
        <w:rPr>
          <w:rFonts w:ascii="宋体" w:hAnsi="宋体" w:cs="宋体"/>
          <w:color w:val="000000" w:themeColor="text1"/>
          <w:spacing w:val="-2"/>
          <w:sz w:val="24"/>
          <w:highlight w:val="none"/>
          <w14:textFill>
            <w14:solidFill>
              <w14:schemeClr w14:val="tx1"/>
            </w14:solidFill>
          </w14:textFill>
        </w:rPr>
        <w:t>发包人有权从承包人的工程款中扣留部分款项，直接用于支付上述人员的工资，承包人须无条件接受。详细规定见合同附件十四的《建设工程农民工工资支付保证书》。若因上述原因造成劳务人员上访、纠纷等情况，承包人须承担一切经济和法律责任。除按国</w:t>
      </w:r>
      <w:r>
        <w:rPr>
          <w:rFonts w:ascii="宋体" w:hAnsi="宋体" w:cs="宋体"/>
          <w:color w:val="000000" w:themeColor="text1"/>
          <w:spacing w:val="1"/>
          <w:sz w:val="24"/>
          <w:highlight w:val="none"/>
          <w14:textFill>
            <w14:solidFill>
              <w14:schemeClr w14:val="tx1"/>
            </w14:solidFill>
          </w14:textFill>
        </w:rPr>
        <w:t>家有关法律、法规、规章及上述合同条款的规定进行处理外，同时按照第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w:t>
      </w:r>
      <w:r>
        <w:rPr>
          <w:rFonts w:ascii="宋体" w:hAnsi="宋体" w:cs="宋体"/>
          <w:color w:val="000000" w:themeColor="text1"/>
          <w:sz w:val="24"/>
          <w:highlight w:val="none"/>
          <w14:textFill>
            <w14:solidFill>
              <w14:schemeClr w14:val="tx1"/>
            </w14:solidFill>
          </w14:textFill>
        </w:rPr>
        <w:t>约定</w:t>
      </w:r>
      <w:r>
        <w:rPr>
          <w:rFonts w:ascii="宋体" w:hAnsi="宋体" w:cs="宋体"/>
          <w:color w:val="000000" w:themeColor="text1"/>
          <w:spacing w:val="-1"/>
          <w:sz w:val="24"/>
          <w:highlight w:val="none"/>
          <w14:textFill>
            <w14:solidFill>
              <w14:schemeClr w14:val="tx1"/>
            </w14:solidFill>
          </w14:textFill>
        </w:rPr>
        <w:t>对承包人进行处理。</w:t>
      </w:r>
    </w:p>
    <w:p w14:paraId="461195DA">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（3）承包人应为农民工办理工伤保险。</w:t>
      </w:r>
    </w:p>
    <w:p w14:paraId="34803EC5">
      <w:pPr>
        <w:spacing w:line="360" w:lineRule="auto"/>
        <w:ind w:left="28" w:right="105" w:firstLine="47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（4）发包人制定的农民工工资监管办法及有关规定，承包人须积极配合并无条件</w:t>
      </w:r>
      <w:r>
        <w:rPr>
          <w:rFonts w:ascii="宋体" w:hAnsi="宋体" w:cs="宋体"/>
          <w:color w:val="000000" w:themeColor="text1"/>
          <w:spacing w:val="-8"/>
          <w:sz w:val="24"/>
          <w:highlight w:val="none"/>
          <w14:textFill>
            <w14:solidFill>
              <w14:schemeClr w14:val="tx1"/>
            </w14:solidFill>
          </w14:textFill>
        </w:rPr>
        <w:t>的接受。</w:t>
      </w:r>
    </w:p>
    <w:p w14:paraId="45CA2317">
      <w:pPr>
        <w:spacing w:line="360" w:lineRule="auto"/>
        <w:ind w:left="7"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（5）劳务合作须符合《广东省交通运输厅关于公路工程施</w:t>
      </w:r>
      <w:r>
        <w:rPr>
          <w:rFonts w:ascii="宋体" w:hAnsi="宋体" w:cs="宋体"/>
          <w:color w:val="000000" w:themeColor="text1"/>
          <w:spacing w:val="-3"/>
          <w:sz w:val="24"/>
          <w:highlight w:val="none"/>
          <w14:textFill>
            <w14:solidFill>
              <w14:schemeClr w14:val="tx1"/>
            </w14:solidFill>
          </w14:textFill>
        </w:rPr>
        <w:t>工分包管理的实施细则》</w:t>
      </w:r>
      <w:r>
        <w:rPr>
          <w:rFonts w:ascii="宋体" w:hAnsi="宋体" w:cs="宋体"/>
          <w:color w:val="000000" w:themeColor="text1"/>
          <w:spacing w:val="-2"/>
          <w:sz w:val="24"/>
          <w:highlight w:val="none"/>
          <w14:textFill>
            <w14:solidFill>
              <w14:schemeClr w14:val="tx1"/>
            </w14:solidFill>
          </w14:textFill>
        </w:rPr>
        <w:t>的通知有关规定；劳务合作单位须按照《广东省高速公路工程施工安全标准化指南》相</w:t>
      </w:r>
      <w:r>
        <w:rPr>
          <w:rFonts w:ascii="宋体" w:hAnsi="宋体" w:cs="宋体"/>
          <w:color w:val="000000" w:themeColor="text1"/>
          <w:sz w:val="24"/>
          <w:highlight w:val="none"/>
          <w14:textFill>
            <w14:solidFill>
              <w14:schemeClr w14:val="tx1"/>
            </w14:solidFill>
          </w14:textFill>
        </w:rPr>
        <w:t>关要求配备安全生产管理人员：施工作业人员在</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30</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人及以下时</w:t>
      </w:r>
      <w:r>
        <w:rPr>
          <w:rFonts w:ascii="宋体" w:hAnsi="宋体" w:cs="宋体"/>
          <w:color w:val="000000" w:themeColor="text1"/>
          <w:spacing w:val="-1"/>
          <w:sz w:val="24"/>
          <w:highlight w:val="none"/>
          <w14:textFill>
            <w14:solidFill>
              <w14:schemeClr w14:val="tx1"/>
            </w14:solidFill>
          </w14:textFill>
        </w:rPr>
        <w:t>，应配备</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名兼职安全</w:t>
      </w:r>
      <w:r>
        <w:rPr>
          <w:rFonts w:ascii="宋体" w:hAnsi="宋体" w:cs="宋体"/>
          <w:color w:val="000000" w:themeColor="text1"/>
          <w:sz w:val="24"/>
          <w:highlight w:val="none"/>
          <w14:textFill>
            <w14:solidFill>
              <w14:schemeClr w14:val="tx1"/>
            </w14:solidFill>
          </w14:textFill>
        </w:rPr>
        <w:t>生产管理人员；施工作业人员在</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31～50</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人时，应配备</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名专职</w:t>
      </w:r>
      <w:r>
        <w:rPr>
          <w:rFonts w:ascii="宋体" w:hAnsi="宋体" w:cs="宋体"/>
          <w:color w:val="000000" w:themeColor="text1"/>
          <w:spacing w:val="-1"/>
          <w:sz w:val="24"/>
          <w:highlight w:val="none"/>
          <w14:textFill>
            <w14:solidFill>
              <w14:schemeClr w14:val="tx1"/>
            </w14:solidFill>
          </w14:textFill>
        </w:rPr>
        <w:t>安全生产管理人员；施</w:t>
      </w:r>
      <w:r>
        <w:rPr>
          <w:rFonts w:ascii="宋体" w:hAnsi="宋体" w:cs="宋体"/>
          <w:color w:val="000000" w:themeColor="text1"/>
          <w:spacing w:val="1"/>
          <w:sz w:val="24"/>
          <w:highlight w:val="none"/>
          <w14:textFill>
            <w14:solidFill>
              <w14:schemeClr w14:val="tx1"/>
            </w14:solidFill>
          </w14:textFill>
        </w:rPr>
        <w:t>工作业人员在</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人～200</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人时，应配备</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名专职安全生产管理人员；施工作业人员在</w:t>
      </w:r>
      <w:r>
        <w:rPr>
          <w:rFonts w:ascii="宋体" w:hAnsi="宋体" w:cs="宋体"/>
          <w:color w:val="000000" w:themeColor="text1"/>
          <w:sz w:val="24"/>
          <w:highlight w:val="none"/>
          <w14:textFill>
            <w14:solidFill>
              <w14:schemeClr w14:val="tx1"/>
            </w14:solidFill>
          </w14:textFill>
        </w:rPr>
        <w:t>201人及以上时，每增加</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100</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人，应增加</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名专职</w:t>
      </w:r>
      <w:r>
        <w:rPr>
          <w:rFonts w:ascii="宋体" w:hAnsi="宋体" w:cs="宋体"/>
          <w:color w:val="000000" w:themeColor="text1"/>
          <w:spacing w:val="-1"/>
          <w:sz w:val="24"/>
          <w:highlight w:val="none"/>
          <w14:textFill>
            <w14:solidFill>
              <w14:schemeClr w14:val="tx1"/>
            </w14:solidFill>
          </w14:textFill>
        </w:rPr>
        <w:t>安全生产管理人员，并根据所承担工程的施工危险程度予以增加。</w:t>
      </w:r>
    </w:p>
    <w:p w14:paraId="7B76F544">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（6）推广以工代赈方式促进沿线群众就业。</w:t>
      </w:r>
    </w:p>
    <w:p w14:paraId="03F9EB2D">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4.6.7 施工班组及施工员登记制度</w:t>
      </w:r>
    </w:p>
    <w:p w14:paraId="3B6540A7">
      <w:pPr>
        <w:spacing w:line="360" w:lineRule="auto"/>
        <w:ind w:left="9" w:right="105"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签定合同后，承包人应组建施工班组，施工班组应符合《广东省公路工程施工标准化指南》及《广东省高速公路施工安全标准化指南（班组建设篇）》的相关规定。承包</w:t>
      </w:r>
    </w:p>
    <w:p w14:paraId="781ABF3E">
      <w:pPr>
        <w:spacing w:line="360" w:lineRule="auto"/>
        <w:rPr>
          <w:rFonts w:hint="eastAsia" w:ascii="宋体" w:hAnsi="宋体" w:cs="宋体"/>
          <w:color w:val="000000" w:themeColor="text1"/>
          <w:sz w:val="24"/>
          <w:highlight w:val="none"/>
          <w14:textFill>
            <w14:solidFill>
              <w14:schemeClr w14:val="tx1"/>
            </w14:solidFill>
          </w14:textFill>
        </w:rPr>
        <w:sectPr>
          <w:headerReference r:id="rId59" w:type="default"/>
          <w:footerReference r:id="rId60" w:type="default"/>
          <w:pgSz w:w="11906" w:h="16839"/>
          <w:pgMar w:top="1182" w:right="1312" w:bottom="1168" w:left="1417" w:header="849" w:footer="934" w:gutter="0"/>
          <w:cols w:space="720" w:num="1"/>
        </w:sectPr>
      </w:pPr>
    </w:p>
    <w:p w14:paraId="08A3EA3F">
      <w:pPr>
        <w:pStyle w:val="3"/>
        <w:spacing w:line="360" w:lineRule="auto"/>
        <w:rPr>
          <w:color w:val="000000" w:themeColor="text1"/>
          <w:highlight w:val="none"/>
          <w14:textFill>
            <w14:solidFill>
              <w14:schemeClr w14:val="tx1"/>
            </w14:solidFill>
          </w14:textFill>
        </w:rPr>
      </w:pPr>
    </w:p>
    <w:p w14:paraId="4AD7585C">
      <w:pPr>
        <w:spacing w:line="360" w:lineRule="auto"/>
        <w:ind w:left="7" w:firstLine="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人应向监理人提供一份拟在本合同工程进行现场管理的施工员名单，包括监理人要求的</w:t>
      </w:r>
      <w:r>
        <w:rPr>
          <w:rFonts w:ascii="宋体" w:hAnsi="宋体" w:cs="宋体"/>
          <w:color w:val="000000" w:themeColor="text1"/>
          <w:spacing w:val="-6"/>
          <w:sz w:val="24"/>
          <w:highlight w:val="none"/>
          <w14:textFill>
            <w14:solidFill>
              <w14:schemeClr w14:val="tx1"/>
            </w14:solidFill>
          </w14:textFill>
        </w:rPr>
        <w:t>有关证明材料。监理人将对符合资格要求的施工员进行造册登记，并发给项目施工员证。</w:t>
      </w:r>
      <w:r>
        <w:rPr>
          <w:rFonts w:ascii="宋体" w:hAnsi="宋体" w:cs="宋体"/>
          <w:color w:val="000000" w:themeColor="text1"/>
          <w:spacing w:val="-1"/>
          <w:sz w:val="24"/>
          <w:highlight w:val="none"/>
          <w14:textFill>
            <w14:solidFill>
              <w14:schemeClr w14:val="tx1"/>
            </w14:solidFill>
          </w14:textFill>
        </w:rPr>
        <w:t>施工员登记工作是监理人签发开工令的必要条件之一。</w:t>
      </w:r>
    </w:p>
    <w:p w14:paraId="1F37BEEC">
      <w:pPr>
        <w:spacing w:line="360" w:lineRule="auto"/>
        <w:ind w:left="1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分项工程施工现场实行标识牌管理，标识牌必须标明该分项工程作业内容和质量要求，施工单位及质量负责人姓名。工程开工后，承包人必须在每个施工工点派驻一个以上的经登记的施工员进行现场施工管理，做好详细的现场施工记录。施工员必须佩带项</w:t>
      </w:r>
      <w:r>
        <w:rPr>
          <w:rFonts w:ascii="宋体" w:hAnsi="宋体" w:cs="宋体"/>
          <w:color w:val="000000" w:themeColor="text1"/>
          <w:spacing w:val="-3"/>
          <w:sz w:val="24"/>
          <w:highlight w:val="none"/>
          <w14:textFill>
            <w14:solidFill>
              <w14:schemeClr w14:val="tx1"/>
            </w14:solidFill>
          </w14:textFill>
        </w:rPr>
        <w:t>目施工员证上岗。承包人不执行本款规定，视为承包人违约并按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款约定进行</w:t>
      </w:r>
      <w:r>
        <w:rPr>
          <w:rFonts w:ascii="宋体" w:hAnsi="宋体" w:cs="宋体"/>
          <w:color w:val="000000" w:themeColor="text1"/>
          <w:spacing w:val="-4"/>
          <w:sz w:val="24"/>
          <w:highlight w:val="none"/>
          <w14:textFill>
            <w14:solidFill>
              <w14:schemeClr w14:val="tx1"/>
            </w14:solidFill>
          </w14:textFill>
        </w:rPr>
        <w:t>处理。</w:t>
      </w:r>
    </w:p>
    <w:p w14:paraId="309FBAE0">
      <w:pPr>
        <w:spacing w:line="360" w:lineRule="auto"/>
        <w:ind w:left="18" w:right="80" w:firstLine="4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在施工过程中，监理人只要有充分的理由，可以随时取消不能令其满意的施工员的资格，收回项目施工员证。</w:t>
      </w:r>
    </w:p>
    <w:p w14:paraId="7C1F3C3F">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4.7</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撤换承包人项目经理和其他人员</w:t>
      </w:r>
    </w:p>
    <w:p w14:paraId="3F51C803">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6AF8A418">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承包人应对其项目经理和其他人员进行有效管理。发包人或监理人在征得发包人同意后要求撤换不能胜任本职工作、行为不端或玩忽职守的项目经理和其他人员，承包人</w:t>
      </w:r>
      <w:r>
        <w:rPr>
          <w:rFonts w:ascii="宋体" w:hAnsi="宋体" w:cs="宋体"/>
          <w:color w:val="000000" w:themeColor="text1"/>
          <w:spacing w:val="1"/>
          <w:sz w:val="24"/>
          <w:highlight w:val="none"/>
          <w14:textFill>
            <w14:solidFill>
              <w14:schemeClr w14:val="tx1"/>
            </w14:solidFill>
          </w14:textFill>
        </w:rPr>
        <w:t>应予以撤换，同时委派经发包人与监理人同意的新的项目经理和其他人员，并按4.6.3</w:t>
      </w:r>
      <w:r>
        <w:rPr>
          <w:rFonts w:ascii="宋体" w:hAnsi="宋体" w:cs="宋体"/>
          <w:color w:val="000000" w:themeColor="text1"/>
          <w:sz w:val="24"/>
          <w:highlight w:val="none"/>
          <w14:textFill>
            <w14:solidFill>
              <w14:schemeClr w14:val="tx1"/>
            </w14:solidFill>
          </w14:textFill>
        </w:rPr>
        <w:t>款约定处以违约金。被撤换人员未经发包人同意不得</w:t>
      </w:r>
      <w:r>
        <w:rPr>
          <w:rFonts w:ascii="宋体" w:hAnsi="宋体" w:cs="宋体"/>
          <w:color w:val="000000" w:themeColor="text1"/>
          <w:spacing w:val="-1"/>
          <w:sz w:val="24"/>
          <w:highlight w:val="none"/>
          <w14:textFill>
            <w14:solidFill>
              <w14:schemeClr w14:val="tx1"/>
            </w14:solidFill>
          </w14:textFill>
        </w:rPr>
        <w:t>重新回到本合同段工作。</w:t>
      </w:r>
    </w:p>
    <w:p w14:paraId="463B7BAC">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4.9 工程价款应专款专用</w:t>
      </w:r>
    </w:p>
    <w:p w14:paraId="293001B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72382E90">
      <w:pPr>
        <w:spacing w:line="360" w:lineRule="auto"/>
        <w:ind w:left="6"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发包人按合同约定支付给承包人的各项（工人工资、工程项目）价款应专用于合同</w:t>
      </w:r>
      <w:r>
        <w:rPr>
          <w:rFonts w:ascii="宋体" w:hAnsi="宋体" w:cs="宋体"/>
          <w:color w:val="000000" w:themeColor="text1"/>
          <w:spacing w:val="-1"/>
          <w:sz w:val="24"/>
          <w:highlight w:val="none"/>
          <w14:textFill>
            <w14:solidFill>
              <w14:schemeClr w14:val="tx1"/>
            </w14:solidFill>
          </w14:textFill>
        </w:rPr>
        <w:t>工程。承包人必须在发包人指定的银行开户</w:t>
      </w:r>
      <w:r>
        <w:rPr>
          <w:rFonts w:ascii="宋体" w:hAnsi="宋体" w:cs="宋体"/>
          <w:color w:val="000000" w:themeColor="text1"/>
          <w:spacing w:val="-2"/>
          <w:sz w:val="24"/>
          <w:highlight w:val="none"/>
          <w14:textFill>
            <w14:solidFill>
              <w14:schemeClr w14:val="tx1"/>
            </w14:solidFill>
          </w14:textFill>
        </w:rPr>
        <w:t>，并与发包人、银行共同签订《工程资金监</w:t>
      </w:r>
      <w:r>
        <w:rPr>
          <w:rFonts w:ascii="宋体" w:hAnsi="宋体" w:cs="宋体"/>
          <w:color w:val="000000" w:themeColor="text1"/>
          <w:spacing w:val="-1"/>
          <w:sz w:val="24"/>
          <w:highlight w:val="none"/>
          <w14:textFill>
            <w14:solidFill>
              <w14:schemeClr w14:val="tx1"/>
            </w14:solidFill>
          </w14:textFill>
        </w:rPr>
        <w:t>管协议》，接受发包人和银行对资金的监管</w:t>
      </w:r>
      <w:r>
        <w:rPr>
          <w:rFonts w:ascii="宋体" w:hAnsi="宋体" w:cs="宋体"/>
          <w:color w:val="000000" w:themeColor="text1"/>
          <w:spacing w:val="-2"/>
          <w:sz w:val="24"/>
          <w:highlight w:val="none"/>
          <w14:textFill>
            <w14:solidFill>
              <w14:schemeClr w14:val="tx1"/>
            </w14:solidFill>
          </w14:textFill>
        </w:rPr>
        <w:t>。承包人应向发包人授权进行本合同工程开</w:t>
      </w:r>
      <w:r>
        <w:rPr>
          <w:rFonts w:ascii="宋体" w:hAnsi="宋体" w:cs="宋体"/>
          <w:color w:val="000000" w:themeColor="text1"/>
          <w:spacing w:val="-1"/>
          <w:sz w:val="24"/>
          <w:highlight w:val="none"/>
          <w14:textFill>
            <w14:solidFill>
              <w14:schemeClr w14:val="tx1"/>
            </w14:solidFill>
          </w14:textFill>
        </w:rPr>
        <w:t>户银行工程资金的查询。发包人支付的工程</w:t>
      </w:r>
      <w:r>
        <w:rPr>
          <w:rFonts w:ascii="宋体" w:hAnsi="宋体" w:cs="宋体"/>
          <w:color w:val="000000" w:themeColor="text1"/>
          <w:spacing w:val="-2"/>
          <w:sz w:val="24"/>
          <w:highlight w:val="none"/>
          <w14:textFill>
            <w14:solidFill>
              <w14:schemeClr w14:val="tx1"/>
            </w14:solidFill>
          </w14:textFill>
        </w:rPr>
        <w:t>进度款应为本工程工人工资、工程项目的专</w:t>
      </w:r>
      <w:r>
        <w:rPr>
          <w:rFonts w:ascii="宋体" w:hAnsi="宋体" w:cs="宋体"/>
          <w:color w:val="000000" w:themeColor="text1"/>
          <w:spacing w:val="-1"/>
          <w:sz w:val="24"/>
          <w:highlight w:val="none"/>
          <w14:textFill>
            <w14:solidFill>
              <w14:schemeClr w14:val="tx1"/>
            </w14:solidFill>
          </w14:textFill>
        </w:rPr>
        <w:t>款专用资金，不得转移或用于其他工程，如</w:t>
      </w:r>
      <w:r>
        <w:rPr>
          <w:rFonts w:ascii="宋体" w:hAnsi="宋体" w:cs="宋体"/>
          <w:color w:val="000000" w:themeColor="text1"/>
          <w:spacing w:val="-2"/>
          <w:sz w:val="24"/>
          <w:highlight w:val="none"/>
          <w14:textFill>
            <w14:solidFill>
              <w14:schemeClr w14:val="tx1"/>
            </w14:solidFill>
          </w14:textFill>
        </w:rPr>
        <w:t>有违反视承包人违约。发包人的期中支付款</w:t>
      </w:r>
      <w:r>
        <w:rPr>
          <w:rFonts w:ascii="宋体" w:hAnsi="宋体" w:cs="宋体"/>
          <w:color w:val="000000" w:themeColor="text1"/>
          <w:spacing w:val="-1"/>
          <w:sz w:val="24"/>
          <w:highlight w:val="none"/>
          <w14:textFill>
            <w14:solidFill>
              <w14:schemeClr w14:val="tx1"/>
            </w14:solidFill>
          </w14:textFill>
        </w:rPr>
        <w:t>将转入该银行所设的专门账户，发包人及其</w:t>
      </w:r>
      <w:r>
        <w:rPr>
          <w:rFonts w:ascii="宋体" w:hAnsi="宋体" w:cs="宋体"/>
          <w:color w:val="000000" w:themeColor="text1"/>
          <w:spacing w:val="-2"/>
          <w:sz w:val="24"/>
          <w:highlight w:val="none"/>
          <w14:textFill>
            <w14:solidFill>
              <w14:schemeClr w14:val="tx1"/>
            </w14:solidFill>
          </w14:textFill>
        </w:rPr>
        <w:t>派出机构有权不定期对承包人工程资金使用</w:t>
      </w:r>
      <w:r>
        <w:rPr>
          <w:rFonts w:ascii="宋体" w:hAnsi="宋体" w:cs="宋体"/>
          <w:color w:val="000000" w:themeColor="text1"/>
          <w:spacing w:val="-1"/>
          <w:sz w:val="24"/>
          <w:highlight w:val="none"/>
          <w14:textFill>
            <w14:solidFill>
              <w14:schemeClr w14:val="tx1"/>
            </w14:solidFill>
          </w14:textFill>
        </w:rPr>
        <w:t>情况进行检查，发现问题及时责令承包人限</w:t>
      </w:r>
      <w:r>
        <w:rPr>
          <w:rFonts w:ascii="宋体" w:hAnsi="宋体" w:cs="宋体"/>
          <w:color w:val="000000" w:themeColor="text1"/>
          <w:spacing w:val="-2"/>
          <w:sz w:val="24"/>
          <w:highlight w:val="none"/>
          <w14:textFill>
            <w14:solidFill>
              <w14:schemeClr w14:val="tx1"/>
            </w14:solidFill>
          </w14:textFill>
        </w:rPr>
        <w:t>期改正，否则，将终止月支付，直至承包人改正为止。</w:t>
      </w:r>
    </w:p>
    <w:p w14:paraId="6D2D40B3">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4.11 不利物质条件</w:t>
      </w:r>
    </w:p>
    <w:p w14:paraId="790CD91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4.11.2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项细化为：</w:t>
      </w:r>
    </w:p>
    <w:p w14:paraId="2166F2C4">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承包人遇到不可预见的不利物质条件时，应采取适应不利物质条件的合理措施继续施工，并及时通知监理人和发包人。监理人应当及时发出指示，指示构成变更的，按第15</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条约定办理。监理人没有发出指示的，承包人应将情况及时上报发包人，</w:t>
      </w:r>
      <w:r>
        <w:rPr>
          <w:rFonts w:ascii="宋体" w:hAnsi="宋体" w:cs="宋体"/>
          <w:color w:val="000000" w:themeColor="text1"/>
          <w:spacing w:val="-3"/>
          <w:sz w:val="24"/>
          <w:highlight w:val="none"/>
          <w14:textFill>
            <w14:solidFill>
              <w14:schemeClr w14:val="tx1"/>
            </w14:solidFill>
          </w14:textFill>
        </w:rPr>
        <w:t>如发包人</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3</w:t>
      </w:r>
    </w:p>
    <w:p w14:paraId="2FB08F7D">
      <w:pPr>
        <w:spacing w:line="360" w:lineRule="auto"/>
        <w:rPr>
          <w:rFonts w:hint="eastAsia" w:ascii="宋体" w:hAnsi="宋体" w:cs="宋体"/>
          <w:color w:val="000000" w:themeColor="text1"/>
          <w:sz w:val="24"/>
          <w:highlight w:val="none"/>
          <w14:textFill>
            <w14:solidFill>
              <w14:schemeClr w14:val="tx1"/>
            </w14:solidFill>
          </w14:textFill>
        </w:rPr>
        <w:sectPr>
          <w:headerReference r:id="rId61" w:type="default"/>
          <w:footerReference r:id="rId62" w:type="default"/>
          <w:pgSz w:w="11906" w:h="16839"/>
          <w:pgMar w:top="1182" w:right="1337" w:bottom="1168" w:left="1417" w:header="849" w:footer="934" w:gutter="0"/>
          <w:cols w:space="720" w:num="1"/>
        </w:sectPr>
      </w:pPr>
    </w:p>
    <w:p w14:paraId="5B049B4B">
      <w:pPr>
        <w:pStyle w:val="3"/>
        <w:spacing w:line="360" w:lineRule="auto"/>
        <w:rPr>
          <w:color w:val="000000" w:themeColor="text1"/>
          <w:highlight w:val="none"/>
          <w14:textFill>
            <w14:solidFill>
              <w14:schemeClr w14:val="tx1"/>
            </w14:solidFill>
          </w14:textFill>
        </w:rPr>
      </w:pPr>
    </w:p>
    <w:p w14:paraId="6ED6C905">
      <w:pPr>
        <w:spacing w:line="360" w:lineRule="auto"/>
        <w:ind w:left="8" w:right="80" w:firstLine="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天内仍未发出指示的，因承包人采取合理措施而增加的费用和(或)工期延误，由发包人</w:t>
      </w:r>
      <w:r>
        <w:rPr>
          <w:rFonts w:ascii="宋体" w:hAnsi="宋体" w:cs="宋体"/>
          <w:color w:val="000000" w:themeColor="text1"/>
          <w:spacing w:val="-4"/>
          <w:sz w:val="24"/>
          <w:highlight w:val="none"/>
          <w14:textFill>
            <w14:solidFill>
              <w14:schemeClr w14:val="tx1"/>
            </w14:solidFill>
          </w14:textFill>
        </w:rPr>
        <w:t>承担。</w:t>
      </w:r>
    </w:p>
    <w:p w14:paraId="57F9F415">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4.11.3</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可预见的不利物质条件</w:t>
      </w:r>
    </w:p>
    <w:p w14:paraId="2925966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4.11.3（1）</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目补充：</w:t>
      </w:r>
    </w:p>
    <w:p w14:paraId="2C9EAA65">
      <w:pPr>
        <w:spacing w:line="360" w:lineRule="auto"/>
        <w:ind w:left="10"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对于一个有经验的承包人可合理预见的不利物质条件，无论承包人是否有其经历和经验均视为承包人在接受合同时已预见其影响，并已在签约合同价中计入因其影响而可</w:t>
      </w:r>
      <w:r>
        <w:rPr>
          <w:rFonts w:ascii="宋体" w:hAnsi="宋体" w:cs="宋体"/>
          <w:color w:val="000000" w:themeColor="text1"/>
          <w:spacing w:val="-1"/>
          <w:sz w:val="24"/>
          <w:highlight w:val="none"/>
          <w14:textFill>
            <w14:solidFill>
              <w14:schemeClr w14:val="tx1"/>
            </w14:solidFill>
          </w14:textFill>
        </w:rPr>
        <w:t>能发生的一切费用（除合同另有约定外）。</w:t>
      </w:r>
    </w:p>
    <w:p w14:paraId="387E8C9D">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补充第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4.12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款：</w:t>
      </w:r>
    </w:p>
    <w:p w14:paraId="75295983">
      <w:pPr>
        <w:spacing w:line="360" w:lineRule="auto"/>
        <w:ind w:left="487"/>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4.12 施工图联合设计</w:t>
      </w:r>
    </w:p>
    <w:p w14:paraId="20BE903E">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考虑到项目特点，列入施工联合设计阶段内容如下（包括但不限于</w:t>
      </w:r>
      <w:r>
        <w:rPr>
          <w:rFonts w:ascii="宋体" w:hAnsi="宋体" w:cs="宋体"/>
          <w:color w:val="000000" w:themeColor="text1"/>
          <w:spacing w:val="9"/>
          <w:sz w:val="24"/>
          <w:highlight w:val="none"/>
          <w14:textFill>
            <w14:solidFill>
              <w14:schemeClr w14:val="tx1"/>
            </w14:solidFill>
          </w14:textFill>
        </w:rPr>
        <w:t>）：</w:t>
      </w:r>
    </w:p>
    <w:p w14:paraId="76B6C696">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（1）钢结构加工制造焊缝、坡口等细节构造优化设计；</w:t>
      </w:r>
    </w:p>
    <w:p w14:paraId="117C3DC4">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w:t>
      </w:r>
    </w:p>
    <w:p w14:paraId="0F591AF6">
      <w:pPr>
        <w:spacing w:line="360" w:lineRule="auto"/>
        <w:ind w:left="7" w:right="9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承包人应与本项目的设计单位及其他施工单位对施工图设计开展施工图联合设计，</w:t>
      </w:r>
      <w:r>
        <w:rPr>
          <w:rFonts w:ascii="宋体" w:hAnsi="宋体" w:cs="宋体"/>
          <w:color w:val="000000" w:themeColor="text1"/>
          <w:spacing w:val="-1"/>
          <w:sz w:val="24"/>
          <w:highlight w:val="none"/>
          <w14:textFill>
            <w14:solidFill>
              <w14:schemeClr w14:val="tx1"/>
            </w14:solidFill>
          </w14:textFill>
        </w:rPr>
        <w:t>施工图联合设计费用已包含在承包人合同价格中。</w:t>
      </w:r>
    </w:p>
    <w:p w14:paraId="23E9E4C2">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补充第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4.13 款：</w:t>
      </w:r>
    </w:p>
    <w:p w14:paraId="0FB3A69E">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4.13</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工作界面的管理</w:t>
      </w:r>
    </w:p>
    <w:p w14:paraId="5EF9622F">
      <w:pPr>
        <w:spacing w:line="360"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（1）在承包人、监理人及其他合同段承包人陆续进场后，发包人将分阶段组织各</w:t>
      </w:r>
      <w:r>
        <w:rPr>
          <w:rFonts w:ascii="宋体" w:hAnsi="宋体" w:cs="宋体"/>
          <w:color w:val="000000" w:themeColor="text1"/>
          <w:spacing w:val="-2"/>
          <w:sz w:val="24"/>
          <w:highlight w:val="none"/>
          <w14:textFill>
            <w14:solidFill>
              <w14:schemeClr w14:val="tx1"/>
            </w14:solidFill>
          </w14:textFill>
        </w:rPr>
        <w:t>方，在本合同条款、图纸、技术规范的基础上，进一步细化明确有关工作界面和争议处</w:t>
      </w:r>
      <w:r>
        <w:rPr>
          <w:rFonts w:ascii="宋体" w:hAnsi="宋体" w:cs="宋体"/>
          <w:color w:val="000000" w:themeColor="text1"/>
          <w:spacing w:val="-1"/>
          <w:sz w:val="24"/>
          <w:highlight w:val="none"/>
          <w14:textFill>
            <w14:solidFill>
              <w14:schemeClr w14:val="tx1"/>
            </w14:solidFill>
          </w14:textFill>
        </w:rPr>
        <w:t>理原则，并由各方统一签订工作界面管理备忘录。</w:t>
      </w:r>
    </w:p>
    <w:p w14:paraId="79522866">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（2）在合同执行过程中，承包人应委派专人负责工作界面的管理与协调，并与其</w:t>
      </w:r>
      <w:r>
        <w:rPr>
          <w:rFonts w:ascii="宋体" w:hAnsi="宋体" w:cs="宋体"/>
          <w:color w:val="000000" w:themeColor="text1"/>
          <w:spacing w:val="-2"/>
          <w:sz w:val="24"/>
          <w:highlight w:val="none"/>
          <w14:textFill>
            <w14:solidFill>
              <w14:schemeClr w14:val="tx1"/>
            </w14:solidFill>
          </w14:textFill>
        </w:rPr>
        <w:t>他合同段工作界面管理人员建立定期的沟通机制。对本合同工程实施过程中，已出现或</w:t>
      </w:r>
      <w:r>
        <w:rPr>
          <w:rFonts w:ascii="宋体" w:hAnsi="宋体" w:cs="宋体"/>
          <w:color w:val="000000" w:themeColor="text1"/>
          <w:sz w:val="24"/>
          <w:highlight w:val="none"/>
          <w14:textFill>
            <w14:solidFill>
              <w14:schemeClr w14:val="tx1"/>
            </w14:solidFill>
          </w14:textFill>
        </w:rPr>
        <w:t>可能出现的各种界面模糊点，进行沟通和协调，明确各方</w:t>
      </w:r>
      <w:r>
        <w:rPr>
          <w:rFonts w:ascii="宋体" w:hAnsi="宋体" w:cs="宋体"/>
          <w:color w:val="000000" w:themeColor="text1"/>
          <w:spacing w:val="-1"/>
          <w:sz w:val="24"/>
          <w:highlight w:val="none"/>
          <w14:textFill>
            <w14:solidFill>
              <w14:schemeClr w14:val="tx1"/>
            </w14:solidFill>
          </w14:textFill>
        </w:rPr>
        <w:t>的工作内容和职责范围。</w:t>
      </w:r>
    </w:p>
    <w:p w14:paraId="032F001B">
      <w:pPr>
        <w:spacing w:line="360" w:lineRule="auto"/>
        <w:ind w:left="9"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（3）如经沟通和协调不成功时，发包人有权参照同类型项目的常规做法，对于界</w:t>
      </w:r>
      <w:r>
        <w:rPr>
          <w:rFonts w:ascii="宋体" w:hAnsi="宋体" w:cs="宋体"/>
          <w:color w:val="000000" w:themeColor="text1"/>
          <w:spacing w:val="-2"/>
          <w:sz w:val="24"/>
          <w:highlight w:val="none"/>
          <w14:textFill>
            <w14:solidFill>
              <w14:schemeClr w14:val="tx1"/>
            </w14:solidFill>
          </w14:textFill>
        </w:rPr>
        <w:t>面模糊点的工作进行指派，承包人应予以执行，除发包人认定符合变更范围而进行变更</w:t>
      </w:r>
      <w:r>
        <w:rPr>
          <w:rFonts w:ascii="宋体" w:hAnsi="宋体" w:cs="宋体"/>
          <w:color w:val="000000" w:themeColor="text1"/>
          <w:spacing w:val="-6"/>
          <w:sz w:val="24"/>
          <w:highlight w:val="none"/>
          <w14:textFill>
            <w14:solidFill>
              <w14:schemeClr w14:val="tx1"/>
            </w14:solidFill>
          </w14:textFill>
        </w:rPr>
        <w:t>之外，执行上述指派工作所需的相关费用视为已包含在合同价格中，发包人不另行支付。</w:t>
      </w:r>
      <w:r>
        <w:rPr>
          <w:rFonts w:ascii="宋体" w:hAnsi="宋体" w:cs="宋体"/>
          <w:color w:val="000000" w:themeColor="text1"/>
          <w:spacing w:val="-2"/>
          <w:sz w:val="24"/>
          <w:highlight w:val="none"/>
          <w14:textFill>
            <w14:solidFill>
              <w14:schemeClr w14:val="tx1"/>
            </w14:solidFill>
          </w14:textFill>
        </w:rPr>
        <w:t>如承包人拒绝完成发包人指派的工作任务，则视为承包人违约，发包人有权按照本合同条款规定课以违约金。</w:t>
      </w:r>
    </w:p>
    <w:p w14:paraId="3CB9D0CF">
      <w:pPr>
        <w:spacing w:line="360" w:lineRule="auto"/>
        <w:ind w:left="493"/>
        <w:outlineLvl w:val="1"/>
        <w:rPr>
          <w:color w:val="000000" w:themeColor="text1"/>
          <w:highlight w:val="none"/>
          <w14:textFill>
            <w14:solidFill>
              <w14:schemeClr w14:val="tx1"/>
            </w14:solidFill>
          </w14:textFill>
        </w:rPr>
      </w:pPr>
      <w:bookmarkStart w:id="173" w:name="bookmark315"/>
      <w:bookmarkEnd w:id="173"/>
      <w:bookmarkStart w:id="174" w:name="_Toc22644"/>
      <w:bookmarkStart w:id="175" w:name="_Toc15582"/>
      <w:r>
        <w:rPr>
          <w:rFonts w:ascii="宋体" w:hAnsi="宋体" w:cs="宋体"/>
          <w:b/>
          <w:bCs/>
          <w:color w:val="000000" w:themeColor="text1"/>
          <w:spacing w:val="-3"/>
          <w:sz w:val="24"/>
          <w:highlight w:val="none"/>
          <w14:textFill>
            <w14:solidFill>
              <w14:schemeClr w14:val="tx1"/>
            </w14:solidFill>
          </w14:textFill>
        </w:rPr>
        <w:t>5.</w:t>
      </w:r>
      <w:r>
        <w:rPr>
          <w:rFonts w:ascii="宋体" w:hAnsi="宋体" w:cs="宋体"/>
          <w:color w:val="000000" w:themeColor="text1"/>
          <w:spacing w:val="-3"/>
          <w:sz w:val="24"/>
          <w:highlight w:val="none"/>
          <w14:textFill>
            <w14:solidFill>
              <w14:schemeClr w14:val="tx1"/>
            </w14:solidFill>
          </w14:textFill>
        </w:rPr>
        <w:t xml:space="preserve"> </w:t>
      </w:r>
      <w:r>
        <w:rPr>
          <w:rFonts w:ascii="宋体" w:hAnsi="宋体" w:cs="宋体"/>
          <w:b/>
          <w:bCs/>
          <w:color w:val="000000" w:themeColor="text1"/>
          <w:spacing w:val="-3"/>
          <w:sz w:val="24"/>
          <w:highlight w:val="none"/>
          <w14:textFill>
            <w14:solidFill>
              <w14:schemeClr w14:val="tx1"/>
            </w14:solidFill>
          </w14:textFill>
        </w:rPr>
        <w:t>材料和工程设备</w:t>
      </w:r>
      <w:bookmarkEnd w:id="174"/>
      <w:bookmarkEnd w:id="175"/>
    </w:p>
    <w:p w14:paraId="0BA056B2">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76" w:name="_Toc10702"/>
      <w:bookmarkStart w:id="177" w:name="_Toc11572"/>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5.1.2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bookmarkEnd w:id="176"/>
      <w:bookmarkEnd w:id="177"/>
    </w:p>
    <w:p w14:paraId="35DAA112">
      <w:pPr>
        <w:spacing w:line="360" w:lineRule="auto"/>
        <w:ind w:left="7" w:right="8"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（1）承包人选定的材料和工程设备必须满足本合同工程要求和《广东省公路工程</w:t>
      </w:r>
      <w:r>
        <w:rPr>
          <w:rFonts w:ascii="宋体" w:hAnsi="宋体" w:cs="宋体"/>
          <w:color w:val="000000" w:themeColor="text1"/>
          <w:spacing w:val="-2"/>
          <w:sz w:val="24"/>
          <w:highlight w:val="none"/>
          <w14:textFill>
            <w14:solidFill>
              <w14:schemeClr w14:val="tx1"/>
            </w14:solidFill>
          </w14:textFill>
        </w:rPr>
        <w:t>施工标准化指南》管理规定。凡任何技术指标达不到发包人要求或被发包人禁止进入本</w:t>
      </w:r>
      <w:r>
        <w:rPr>
          <w:rFonts w:ascii="宋体" w:hAnsi="宋体" w:cs="宋体"/>
          <w:color w:val="000000" w:themeColor="text1"/>
          <w:spacing w:val="-1"/>
          <w:sz w:val="24"/>
          <w:highlight w:val="none"/>
          <w14:textFill>
            <w14:solidFill>
              <w14:schemeClr w14:val="tx1"/>
            </w14:solidFill>
          </w14:textFill>
        </w:rPr>
        <w:t>合同工程的材料、设备（或材料供应商</w:t>
      </w:r>
      <w:r>
        <w:rPr>
          <w:rFonts w:ascii="宋体" w:hAnsi="宋体" w:cs="宋体"/>
          <w:color w:val="000000" w:themeColor="text1"/>
          <w:spacing w:val="10"/>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承包人不得采购用于本项目。</w:t>
      </w:r>
    </w:p>
    <w:p w14:paraId="6874FF4E">
      <w:pPr>
        <w:spacing w:line="360" w:lineRule="auto"/>
        <w:ind w:left="8" w:right="8"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投标时有提供《投标人拟投入的关键设备承诺表》的项目，承包人应按照《投标人拟投入的关键设备承诺表》中所列的品牌进行设备采购，不得变更设备品牌，私自变更品牌的，按承包人违约金一览表进行处罚，并更换为承诺设备。如因非承包人原因需要调整设备品牌的，经发包人批准后按</w:t>
      </w:r>
      <w:r>
        <w:rPr>
          <w:rFonts w:ascii="宋体" w:hAnsi="宋体" w:cs="宋体"/>
          <w:color w:val="000000" w:themeColor="text1"/>
          <w:spacing w:val="-1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15.4.3</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条款进行合同价款调整。</w:t>
      </w:r>
    </w:p>
    <w:p w14:paraId="53C70672">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（2）统一供应材料的采购</w:t>
      </w:r>
    </w:p>
    <w:p w14:paraId="09BA4A0D">
      <w:pPr>
        <w:spacing w:line="360" w:lineRule="auto"/>
        <w:ind w:left="12" w:right="8"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统一采购供应材料的品种详见附件十一《统一采购供应材料一览表》，具体采购必</w:t>
      </w:r>
      <w:r>
        <w:rPr>
          <w:rFonts w:ascii="宋体" w:hAnsi="宋体" w:cs="宋体"/>
          <w:color w:val="000000" w:themeColor="text1"/>
          <w:spacing w:val="-1"/>
          <w:sz w:val="24"/>
          <w:highlight w:val="none"/>
          <w14:textFill>
            <w14:solidFill>
              <w14:schemeClr w14:val="tx1"/>
            </w14:solidFill>
          </w14:textFill>
        </w:rPr>
        <w:t>须严格执行发包人的管理要求。</w:t>
      </w:r>
    </w:p>
    <w:p w14:paraId="2DB8961F">
      <w:pPr>
        <w:spacing w:line="360" w:lineRule="auto"/>
        <w:ind w:left="7"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统一采购采购供应的材料，若采用发包人统一招标方式的，在发包人经招标确定统</w:t>
      </w:r>
      <w:r>
        <w:rPr>
          <w:rFonts w:ascii="宋体" w:hAnsi="宋体" w:cs="宋体"/>
          <w:color w:val="000000" w:themeColor="text1"/>
          <w:spacing w:val="-1"/>
          <w:sz w:val="24"/>
          <w:highlight w:val="none"/>
          <w14:textFill>
            <w14:solidFill>
              <w14:schemeClr w14:val="tx1"/>
            </w14:solidFill>
          </w14:textFill>
        </w:rPr>
        <w:t>一供货品牌后，由承包人(材料使用方)与发包人、供货人（卖</w:t>
      </w:r>
      <w:r>
        <w:rPr>
          <w:rFonts w:ascii="宋体" w:hAnsi="宋体" w:cs="宋体"/>
          <w:color w:val="000000" w:themeColor="text1"/>
          <w:spacing w:val="-2"/>
          <w:sz w:val="24"/>
          <w:highlight w:val="none"/>
          <w14:textFill>
            <w14:solidFill>
              <w14:schemeClr w14:val="tx1"/>
            </w14:solidFill>
          </w14:textFill>
        </w:rPr>
        <w:t>方）共同签订供货合同。承包人与卖方为实际的买卖双方，卖方根据承包人实际需求按计划供应材料并提供发票给承包人；发包人负责监督合同各方严格履行供货合同，由承包人按供货合同规定支付材料款给卖方或由承包人委托发包人按供货合同规定代承包人支付材料款给卖方，统一</w:t>
      </w:r>
      <w:r>
        <w:rPr>
          <w:rFonts w:ascii="宋体" w:hAnsi="宋体" w:cs="宋体"/>
          <w:color w:val="000000" w:themeColor="text1"/>
          <w:spacing w:val="-1"/>
          <w:sz w:val="24"/>
          <w:highlight w:val="none"/>
          <w14:textFill>
            <w14:solidFill>
              <w14:schemeClr w14:val="tx1"/>
            </w14:solidFill>
          </w14:textFill>
        </w:rPr>
        <w:t>采购供应的材料款由发包人按上述方式与承包人进行结算。</w:t>
      </w:r>
    </w:p>
    <w:p w14:paraId="0170DFBA">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对于此类材料的供货，还应满足以下规定：</w:t>
      </w:r>
    </w:p>
    <w:p w14:paraId="6FAE0806">
      <w:pPr>
        <w:spacing w:line="360" w:lineRule="auto"/>
        <w:ind w:left="7" w:righ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①材料使用前，由承包人负责检验或试验，品种、规格、型号或质量与一览表不符的，承包人应及时报监理人及发包人处理；品种、规格或型号与一览表不符但质量经检验合格的，经监理人同意，可调剂串换使用。若上述不符是属于承包人责任造成的，则</w:t>
      </w:r>
      <w:r>
        <w:rPr>
          <w:rFonts w:ascii="宋体" w:hAnsi="宋体" w:cs="宋体"/>
          <w:color w:val="000000" w:themeColor="text1"/>
          <w:spacing w:val="-1"/>
          <w:sz w:val="24"/>
          <w:highlight w:val="none"/>
          <w14:textFill>
            <w14:solidFill>
              <w14:schemeClr w14:val="tx1"/>
            </w14:solidFill>
          </w14:textFill>
        </w:rPr>
        <w:t>因此而增加的相应费用由承包人承担。</w:t>
      </w:r>
    </w:p>
    <w:p w14:paraId="0B8CFACD">
      <w:pPr>
        <w:spacing w:line="360" w:lineRule="auto"/>
        <w:ind w:left="30" w:right="8" w:firstLine="45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②为恰当和正确地使用、安装和实施这些材料和工程设备所必需的但一览表中未列</w:t>
      </w:r>
      <w:r>
        <w:rPr>
          <w:rFonts w:ascii="宋体" w:hAnsi="宋体" w:cs="宋体"/>
          <w:color w:val="000000" w:themeColor="text1"/>
          <w:spacing w:val="-1"/>
          <w:sz w:val="24"/>
          <w:highlight w:val="none"/>
          <w14:textFill>
            <w14:solidFill>
              <w14:schemeClr w14:val="tx1"/>
            </w14:solidFill>
          </w14:textFill>
        </w:rPr>
        <w:t>明的其他任何辅助性材料以及人工费均已经包含在承包人的合同价款中。</w:t>
      </w:r>
    </w:p>
    <w:p w14:paraId="60A43AA6">
      <w:pPr>
        <w:spacing w:line="360" w:lineRule="auto"/>
        <w:ind w:left="7" w:righ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③当月的材料款根据合同附表中的统一采购供应材料单价和承包人与供应商当月</w:t>
      </w:r>
      <w:r>
        <w:rPr>
          <w:rFonts w:ascii="宋体" w:hAnsi="宋体" w:cs="宋体"/>
          <w:color w:val="000000" w:themeColor="text1"/>
          <w:spacing w:val="-2"/>
          <w:sz w:val="24"/>
          <w:highlight w:val="none"/>
          <w14:textFill>
            <w14:solidFill>
              <w14:schemeClr w14:val="tx1"/>
            </w14:solidFill>
          </w14:textFill>
        </w:rPr>
        <w:t>签认的材料签收数量进行计算，原则上当月的材料款应在下个月的计量支付中扣除。根</w:t>
      </w:r>
      <w:r>
        <w:rPr>
          <w:rFonts w:ascii="宋体" w:hAnsi="宋体" w:cs="宋体"/>
          <w:color w:val="000000" w:themeColor="text1"/>
          <w:sz w:val="24"/>
          <w:highlight w:val="none"/>
          <w14:textFill>
            <w14:solidFill>
              <w14:schemeClr w14:val="tx1"/>
            </w14:solidFill>
          </w14:textFill>
        </w:rPr>
        <w:t>据实际情况，在确保工程款不超付的情况下允许推迟不超</w:t>
      </w:r>
      <w:r>
        <w:rPr>
          <w:rFonts w:ascii="宋体" w:hAnsi="宋体" w:cs="宋体"/>
          <w:color w:val="000000" w:themeColor="text1"/>
          <w:spacing w:val="-1"/>
          <w:sz w:val="24"/>
          <w:highlight w:val="none"/>
          <w14:textFill>
            <w14:solidFill>
              <w14:schemeClr w14:val="tx1"/>
            </w14:solidFill>
          </w14:textFill>
        </w:rPr>
        <w:t>过三个月扣回材料款。</w:t>
      </w:r>
    </w:p>
    <w:p w14:paraId="687803E8">
      <w:pPr>
        <w:spacing w:line="360" w:lineRule="auto"/>
        <w:ind w:left="8" w:right="8"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④承包人承担工程全部完工后，应上报统一供应材料实际用量与按设计图纸（包括</w:t>
      </w:r>
      <w:r>
        <w:rPr>
          <w:rFonts w:ascii="宋体" w:hAnsi="宋体" w:cs="宋体"/>
          <w:color w:val="000000" w:themeColor="text1"/>
          <w:spacing w:val="-3"/>
          <w:sz w:val="24"/>
          <w:highlight w:val="none"/>
          <w14:textFill>
            <w14:solidFill>
              <w14:schemeClr w14:val="tx1"/>
            </w14:solidFill>
          </w14:textFill>
        </w:rPr>
        <w:t>变更）计算的理论用量（含合理损耗）对比分析报表</w:t>
      </w:r>
      <w:r>
        <w:rPr>
          <w:rFonts w:ascii="宋体" w:hAnsi="宋体" w:cs="宋体"/>
          <w:color w:val="000000" w:themeColor="text1"/>
          <w:spacing w:val="-4"/>
          <w:sz w:val="24"/>
          <w:highlight w:val="none"/>
          <w14:textFill>
            <w14:solidFill>
              <w14:schemeClr w14:val="tx1"/>
            </w14:solidFill>
          </w14:textFill>
        </w:rPr>
        <w:t>，经发包人复核后，如偏差超过</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5%</w:t>
      </w:r>
      <w:r>
        <w:rPr>
          <w:rFonts w:ascii="宋体" w:hAnsi="宋体" w:cs="宋体"/>
          <w:color w:val="000000" w:themeColor="text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（石油沥青、改性沥青为</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2%）而无法提供合理解释的，</w:t>
      </w:r>
      <w:r>
        <w:rPr>
          <w:rFonts w:ascii="宋体" w:hAnsi="宋体" w:cs="宋体"/>
          <w:color w:val="000000" w:themeColor="text1"/>
          <w:spacing w:val="-4"/>
          <w:sz w:val="24"/>
          <w:highlight w:val="none"/>
          <w14:textFill>
            <w14:solidFill>
              <w14:schemeClr w14:val="tx1"/>
            </w14:solidFill>
          </w14:textFill>
        </w:rPr>
        <w:t>发包人有权对承包人处以偏差部分</w:t>
      </w:r>
      <w:r>
        <w:rPr>
          <w:rFonts w:ascii="宋体" w:hAnsi="宋体" w:cs="宋体"/>
          <w:color w:val="000000" w:themeColor="text1"/>
          <w:spacing w:val="-2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100％价值的违约金。</w:t>
      </w:r>
    </w:p>
    <w:p w14:paraId="0FB6F4B4">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（3）其他主材的采购</w:t>
      </w:r>
    </w:p>
    <w:p w14:paraId="3D1E848D">
      <w:pPr>
        <w:spacing w:line="360" w:lineRule="auto"/>
        <w:ind w:left="13"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除统一供应材料以外的主材，承包人可自行决定采购方式。在开始采购前至少</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28</w:t>
      </w:r>
      <w:r>
        <w:rPr>
          <w:rFonts w:ascii="宋体" w:hAnsi="宋体" w:cs="宋体"/>
          <w:color w:val="000000" w:themeColor="text1"/>
          <w:spacing w:val="-1"/>
          <w:sz w:val="24"/>
          <w:highlight w:val="none"/>
          <w14:textFill>
            <w14:solidFill>
              <w14:schemeClr w14:val="tx1"/>
            </w14:solidFill>
          </w14:textFill>
        </w:rPr>
        <w:t>天，承包人应将采购方案报监理人审批，并严格</w:t>
      </w:r>
      <w:r>
        <w:rPr>
          <w:rFonts w:ascii="宋体" w:hAnsi="宋体" w:cs="宋体"/>
          <w:color w:val="000000" w:themeColor="text1"/>
          <w:spacing w:val="-2"/>
          <w:sz w:val="24"/>
          <w:highlight w:val="none"/>
          <w14:textFill>
            <w14:solidFill>
              <w14:schemeClr w14:val="tx1"/>
            </w14:solidFill>
          </w14:textFill>
        </w:rPr>
        <w:t>执行发包人有关材料管理的各项要求。</w:t>
      </w:r>
    </w:p>
    <w:p w14:paraId="2A878AA3">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（4）工程地材的采购</w:t>
      </w:r>
    </w:p>
    <w:p w14:paraId="4D1BD043">
      <w:pPr>
        <w:spacing w:line="360" w:lineRule="auto"/>
        <w:ind w:left="9" w:right="8"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对于工程施工所需地材（碎石、砂等</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承包人可</w:t>
      </w:r>
      <w:r>
        <w:rPr>
          <w:rFonts w:ascii="宋体" w:hAnsi="宋体" w:cs="宋体"/>
          <w:color w:val="000000" w:themeColor="text1"/>
          <w:spacing w:val="-2"/>
          <w:sz w:val="24"/>
          <w:highlight w:val="none"/>
          <w14:textFill>
            <w14:solidFill>
              <w14:schemeClr w14:val="tx1"/>
            </w14:solidFill>
          </w14:textFill>
        </w:rPr>
        <w:t>自行决定采购方式。在主要地材</w:t>
      </w:r>
      <w:r>
        <w:rPr>
          <w:rFonts w:ascii="宋体" w:hAnsi="宋体" w:cs="宋体"/>
          <w:color w:val="000000" w:themeColor="text1"/>
          <w:spacing w:val="1"/>
          <w:sz w:val="24"/>
          <w:highlight w:val="none"/>
          <w14:textFill>
            <w14:solidFill>
              <w14:schemeClr w14:val="tx1"/>
            </w14:solidFill>
          </w14:textFill>
        </w:rPr>
        <w:t>开始采购前至少</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28</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天，承包人应将采购方案（包括采购地材的品</w:t>
      </w:r>
      <w:r>
        <w:rPr>
          <w:rFonts w:ascii="宋体" w:hAnsi="宋体" w:cs="宋体"/>
          <w:color w:val="000000" w:themeColor="text1"/>
          <w:sz w:val="24"/>
          <w:highlight w:val="none"/>
          <w14:textFill>
            <w14:solidFill>
              <w14:schemeClr w14:val="tx1"/>
            </w14:solidFill>
          </w14:textFill>
        </w:rPr>
        <w:t>种和数量、供应商的名单、选择该供应商的理由、质量证明文件、供</w:t>
      </w:r>
      <w:r>
        <w:rPr>
          <w:rFonts w:ascii="宋体" w:hAnsi="宋体" w:cs="宋体"/>
          <w:color w:val="000000" w:themeColor="text1"/>
          <w:spacing w:val="-1"/>
          <w:sz w:val="24"/>
          <w:highlight w:val="none"/>
          <w14:textFill>
            <w14:solidFill>
              <w14:schemeClr w14:val="tx1"/>
            </w14:solidFill>
          </w14:textFill>
        </w:rPr>
        <w:t>货计划等）报监理人审批。</w:t>
      </w:r>
    </w:p>
    <w:p w14:paraId="3799CB47">
      <w:pPr>
        <w:spacing w:line="360" w:lineRule="auto"/>
        <w:ind w:left="7" w:right="1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承包人必须通过合法的方式获取石源和砂源，应确保材料的合法来源及品质要求，</w:t>
      </w:r>
      <w:r>
        <w:rPr>
          <w:rFonts w:ascii="宋体" w:hAnsi="宋体" w:cs="宋体"/>
          <w:color w:val="000000" w:themeColor="text1"/>
          <w:spacing w:val="-1"/>
          <w:sz w:val="24"/>
          <w:highlight w:val="none"/>
          <w14:textFill>
            <w14:solidFill>
              <w14:schemeClr w14:val="tx1"/>
            </w14:solidFill>
          </w14:textFill>
        </w:rPr>
        <w:t>对材料的运输方式、供应强度及运距等自行测算并承担风险。</w:t>
      </w:r>
    </w:p>
    <w:p w14:paraId="1F845307">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（5）其他材料和工程设备的采购</w:t>
      </w:r>
    </w:p>
    <w:p w14:paraId="1135E3E6">
      <w:pPr>
        <w:spacing w:line="360" w:lineRule="auto"/>
        <w:ind w:left="10" w:right="8"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除以上（1</w:t>
      </w:r>
      <w:r>
        <w:rPr>
          <w:rFonts w:ascii="宋体" w:hAnsi="宋体" w:cs="宋体"/>
          <w:color w:val="000000" w:themeColor="text1"/>
          <w:spacing w:val="-13"/>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4）条之外的其他材料和工程设备，承包人应将选定的各项材料和</w:t>
      </w:r>
      <w:r>
        <w:rPr>
          <w:rFonts w:ascii="宋体" w:hAnsi="宋体" w:cs="宋体"/>
          <w:color w:val="000000" w:themeColor="text1"/>
          <w:spacing w:val="-2"/>
          <w:sz w:val="24"/>
          <w:highlight w:val="none"/>
          <w14:textFill>
            <w14:solidFill>
              <w14:schemeClr w14:val="tx1"/>
            </w14:solidFill>
          </w14:textFill>
        </w:rPr>
        <w:t>工程设备的供应商及品种、规格、质量证明文件、数量和供货计划等报送监理人和发包</w:t>
      </w:r>
      <w:r>
        <w:rPr>
          <w:rFonts w:ascii="宋体" w:hAnsi="宋体" w:cs="宋体"/>
          <w:color w:val="000000" w:themeColor="text1"/>
          <w:spacing w:val="-3"/>
          <w:sz w:val="24"/>
          <w:highlight w:val="none"/>
          <w14:textFill>
            <w14:solidFill>
              <w14:schemeClr w14:val="tx1"/>
            </w14:solidFill>
          </w14:textFill>
        </w:rPr>
        <w:t>人核备。</w:t>
      </w:r>
    </w:p>
    <w:p w14:paraId="56D06AC1">
      <w:pPr>
        <w:spacing w:line="360" w:lineRule="auto"/>
        <w:ind w:left="22" w:right="8"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（6）监理人和发包人对承包人采购材料和工程设备的审批、核备、监督等并不免</w:t>
      </w:r>
      <w:r>
        <w:rPr>
          <w:rFonts w:ascii="宋体" w:hAnsi="宋体" w:cs="宋体"/>
          <w:color w:val="000000" w:themeColor="text1"/>
          <w:spacing w:val="-3"/>
          <w:sz w:val="24"/>
          <w:highlight w:val="none"/>
          <w14:textFill>
            <w14:solidFill>
              <w14:schemeClr w14:val="tx1"/>
            </w14:solidFill>
          </w14:textFill>
        </w:rPr>
        <w:t>除承包人的责任。</w:t>
      </w:r>
    </w:p>
    <w:p w14:paraId="7BFA4BFA">
      <w:pPr>
        <w:spacing w:line="360" w:lineRule="auto"/>
        <w:ind w:left="9" w:right="8"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（7）如果承包人采购的材料或设备是进口的，则承包人应向监理人提供由中华人</w:t>
      </w:r>
      <w:r>
        <w:rPr>
          <w:rFonts w:ascii="宋体" w:hAnsi="宋体" w:cs="宋体"/>
          <w:color w:val="000000" w:themeColor="text1"/>
          <w:spacing w:val="-2"/>
          <w:sz w:val="24"/>
          <w:highlight w:val="none"/>
          <w14:textFill>
            <w14:solidFill>
              <w14:schemeClr w14:val="tx1"/>
            </w14:solidFill>
          </w14:textFill>
        </w:rPr>
        <w:t>民共和国进出口商品检验检疫部门出具的检验证书，证明该材料或设备的质量、规格及</w:t>
      </w:r>
      <w:r>
        <w:rPr>
          <w:rFonts w:ascii="宋体" w:hAnsi="宋体" w:cs="宋体"/>
          <w:color w:val="000000" w:themeColor="text1"/>
          <w:sz w:val="24"/>
          <w:highlight w:val="none"/>
          <w14:textFill>
            <w14:solidFill>
              <w14:schemeClr w14:val="tx1"/>
            </w14:solidFill>
          </w14:textFill>
        </w:rPr>
        <w:t>其他指标符合设计及技术规范要求，否则发包</w:t>
      </w:r>
      <w:r>
        <w:rPr>
          <w:rFonts w:ascii="宋体" w:hAnsi="宋体" w:cs="宋体"/>
          <w:color w:val="000000" w:themeColor="text1"/>
          <w:spacing w:val="-1"/>
          <w:sz w:val="24"/>
          <w:highlight w:val="none"/>
          <w14:textFill>
            <w14:solidFill>
              <w14:schemeClr w14:val="tx1"/>
            </w14:solidFill>
          </w14:textFill>
        </w:rPr>
        <w:t>人有权向承包人提出索赔。</w:t>
      </w:r>
    </w:p>
    <w:p w14:paraId="7B0BE6E6">
      <w:pPr>
        <w:spacing w:line="360" w:lineRule="auto"/>
        <w:ind w:left="10" w:right="8"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（8）为最大限度确保本合同工程的施工质量，满足工程施工机械化、</w:t>
      </w:r>
      <w:r>
        <w:rPr>
          <w:rFonts w:ascii="宋体" w:hAnsi="宋体" w:cs="宋体"/>
          <w:color w:val="000000" w:themeColor="text1"/>
          <w:spacing w:val="-6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自动化</w:t>
      </w:r>
      <w:r>
        <w:rPr>
          <w:rFonts w:ascii="宋体" w:hAnsi="宋体" w:cs="宋体"/>
          <w:color w:val="000000" w:themeColor="text1"/>
          <w:spacing w:val="-1"/>
          <w:sz w:val="24"/>
          <w:highlight w:val="none"/>
          <w14:textFill>
            <w14:solidFill>
              <w14:schemeClr w14:val="tx1"/>
            </w14:solidFill>
          </w14:textFill>
        </w:rPr>
        <w:t>的要</w:t>
      </w:r>
      <w:r>
        <w:rPr>
          <w:rFonts w:ascii="宋体" w:hAnsi="宋体" w:cs="宋体"/>
          <w:color w:val="000000" w:themeColor="text1"/>
          <w:spacing w:val="-2"/>
          <w:sz w:val="24"/>
          <w:highlight w:val="none"/>
          <w14:textFill>
            <w14:solidFill>
              <w14:schemeClr w14:val="tx1"/>
            </w14:solidFill>
          </w14:textFill>
        </w:rPr>
        <w:t>求，在合同履行过程中，发包人将结合国内桥梁、隧道等工程施工现状，以及工程实际需要，对部分施工流程或工艺等提出特殊的设备要求，由此所增加的设备购置费或租赁</w:t>
      </w:r>
      <w:r>
        <w:rPr>
          <w:rFonts w:ascii="宋体" w:hAnsi="宋体" w:cs="宋体"/>
          <w:color w:val="000000" w:themeColor="text1"/>
          <w:spacing w:val="-1"/>
          <w:sz w:val="24"/>
          <w:highlight w:val="none"/>
          <w14:textFill>
            <w14:solidFill>
              <w14:schemeClr w14:val="tx1"/>
            </w14:solidFill>
          </w14:textFill>
        </w:rPr>
        <w:t>费用已包含在合同总价中，发包人不另行支付（除合同另有约定外）。</w:t>
      </w:r>
    </w:p>
    <w:p w14:paraId="16440684">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78" w:name="_Toc24901"/>
      <w:bookmarkStart w:id="179" w:name="_Toc21153"/>
      <w:r>
        <w:rPr>
          <w:rFonts w:ascii="宋体" w:hAnsi="宋体" w:cs="宋体"/>
          <w:color w:val="000000" w:themeColor="text1"/>
          <w:spacing w:val="-4"/>
          <w:sz w:val="24"/>
          <w:highlight w:val="none"/>
          <w14:textFill>
            <w14:solidFill>
              <w14:schemeClr w14:val="tx1"/>
            </w14:solidFill>
          </w14:textFill>
        </w:rPr>
        <w:t>增加</w:t>
      </w:r>
      <w:r>
        <w:rPr>
          <w:rFonts w:ascii="宋体" w:hAnsi="宋体" w:cs="宋体"/>
          <w:color w:val="000000" w:themeColor="text1"/>
          <w:spacing w:val="2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5.1.3</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w:t>
      </w:r>
      <w:bookmarkEnd w:id="178"/>
      <w:bookmarkEnd w:id="179"/>
    </w:p>
    <w:p w14:paraId="470BA49A">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承包人采购的材料应得到发包人和监理人的同意，</w:t>
      </w:r>
      <w:r>
        <w:rPr>
          <w:rFonts w:ascii="宋体" w:hAnsi="宋体" w:cs="宋体"/>
          <w:color w:val="000000" w:themeColor="text1"/>
          <w:spacing w:val="-1"/>
          <w:sz w:val="24"/>
          <w:highlight w:val="none"/>
          <w14:textFill>
            <w14:solidFill>
              <w14:schemeClr w14:val="tx1"/>
            </w14:solidFill>
          </w14:textFill>
        </w:rPr>
        <w:t>经检验合格后方可使用。</w:t>
      </w:r>
    </w:p>
    <w:p w14:paraId="363286A3">
      <w:pPr>
        <w:spacing w:line="360" w:lineRule="auto"/>
        <w:ind w:left="10" w:righ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监理人征得发包人同意后，有权要求承包人更换不符合要求的料场，承包人必须无条件接受。承包人采购的材料设备与设计或标准要求不符时，承包人应按监理人要求的时间运出施工场地，重新采购符合要求的产品，由此发生的费用均由承包人承担，引起</w:t>
      </w:r>
      <w:r>
        <w:rPr>
          <w:rFonts w:ascii="宋体" w:hAnsi="宋体" w:cs="宋体"/>
          <w:color w:val="000000" w:themeColor="text1"/>
          <w:spacing w:val="-1"/>
          <w:sz w:val="24"/>
          <w:highlight w:val="none"/>
          <w14:textFill>
            <w14:solidFill>
              <w14:schemeClr w14:val="tx1"/>
            </w14:solidFill>
          </w14:textFill>
        </w:rPr>
        <w:t>的工期延误不予顺延工期。</w:t>
      </w:r>
    </w:p>
    <w:p w14:paraId="3063DE19">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80" w:name="_Toc20155"/>
      <w:bookmarkStart w:id="181" w:name="_Toc15869"/>
      <w:r>
        <w:rPr>
          <w:rFonts w:ascii="宋体" w:hAnsi="宋体" w:cs="宋体"/>
          <w:color w:val="000000" w:themeColor="text1"/>
          <w:spacing w:val="-3"/>
          <w:sz w:val="24"/>
          <w:highlight w:val="none"/>
          <w14:textFill>
            <w14:solidFill>
              <w14:schemeClr w14:val="tx1"/>
            </w14:solidFill>
          </w14:textFill>
        </w:rPr>
        <w:t>本款补充第</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5.1.4～5.1.8</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bookmarkEnd w:id="180"/>
      <w:bookmarkEnd w:id="181"/>
    </w:p>
    <w:p w14:paraId="11D22963">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5.1.4</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甲控乙购材料和工程设备的采购</w:t>
      </w:r>
    </w:p>
    <w:p w14:paraId="4AD9DDAE">
      <w:pPr>
        <w:spacing w:line="360" w:lineRule="auto"/>
        <w:ind w:left="8"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为确保本项目的建设质量，统一材料品牌、规格及降低材料采购成本，发包人按照</w:t>
      </w:r>
      <w:r>
        <w:rPr>
          <w:rFonts w:ascii="宋体" w:hAnsi="宋体" w:cs="宋体"/>
          <w:color w:val="000000" w:themeColor="text1"/>
          <w:spacing w:val="-6"/>
          <w:sz w:val="24"/>
          <w:highlight w:val="none"/>
          <w14:textFill>
            <w14:solidFill>
              <w14:schemeClr w14:val="tx1"/>
            </w14:solidFill>
          </w14:textFill>
        </w:rPr>
        <w:t>技术规范、建设项目管理制度的规定，对部分材料和工程设备采购的方法、质量、成本、</w:t>
      </w:r>
      <w:r>
        <w:rPr>
          <w:rFonts w:ascii="宋体" w:hAnsi="宋体" w:cs="宋体"/>
          <w:color w:val="000000" w:themeColor="text1"/>
          <w:spacing w:val="-2"/>
          <w:sz w:val="24"/>
          <w:highlight w:val="none"/>
          <w14:textFill>
            <w14:solidFill>
              <w14:schemeClr w14:val="tx1"/>
            </w14:solidFill>
          </w14:textFill>
        </w:rPr>
        <w:t>供应情况、物资管理状况等进行监督管理，</w:t>
      </w:r>
      <w:r>
        <w:rPr>
          <w:rFonts w:ascii="宋体" w:hAnsi="宋体" w:cs="宋体"/>
          <w:color w:val="000000" w:themeColor="text1"/>
          <w:spacing w:val="-3"/>
          <w:sz w:val="24"/>
          <w:highlight w:val="none"/>
          <w14:textFill>
            <w14:solidFill>
              <w14:schemeClr w14:val="tx1"/>
            </w14:solidFill>
          </w14:textFill>
        </w:rPr>
        <w:t>即“</w:t>
      </w:r>
      <w:r>
        <w:rPr>
          <w:rFonts w:ascii="宋体" w:hAnsi="宋体" w:cs="宋体"/>
          <w:color w:val="000000" w:themeColor="text1"/>
          <w:spacing w:val="-8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甲控乙购</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”材料。具体分为：</w:t>
      </w:r>
    </w:p>
    <w:p w14:paraId="3B1B21C3">
      <w:pPr>
        <w:spacing w:line="360" w:lineRule="auto"/>
        <w:ind w:left="12" w:right="80"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（1）I</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类材料：包括钢筋、水泥、钢绞线、</w:t>
      </w:r>
      <w:r>
        <w:rPr>
          <w:rFonts w:ascii="宋体" w:hAnsi="宋体" w:cs="宋体"/>
          <w:color w:val="000000" w:themeColor="text1"/>
          <w:spacing w:val="3"/>
          <w:sz w:val="24"/>
          <w:highlight w:val="none"/>
          <w14:textFill>
            <w14:solidFill>
              <w14:schemeClr w14:val="tx1"/>
            </w14:solidFill>
          </w14:textFill>
        </w:rPr>
        <w:t>沥青。该部分材料管理按照第</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5.1.5</w:t>
      </w:r>
      <w:r>
        <w:rPr>
          <w:rFonts w:ascii="宋体" w:hAnsi="宋体" w:cs="宋体"/>
          <w:color w:val="000000" w:themeColor="text1"/>
          <w:spacing w:val="-4"/>
          <w:sz w:val="24"/>
          <w:highlight w:val="none"/>
          <w14:textFill>
            <w14:solidFill>
              <w14:schemeClr w14:val="tx1"/>
            </w14:solidFill>
          </w14:textFill>
        </w:rPr>
        <w:t>项执行。</w:t>
      </w:r>
    </w:p>
    <w:p w14:paraId="65E0CD29">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II</w:t>
      </w:r>
      <w:r>
        <w:rPr>
          <w:rFonts w:ascii="宋体" w:hAnsi="宋体" w:cs="宋体"/>
          <w:color w:val="000000" w:themeColor="text1"/>
          <w:spacing w:val="1"/>
          <w:sz w:val="24"/>
          <w:highlight w:val="none"/>
          <w14:textFill>
            <w14:solidFill>
              <w14:schemeClr w14:val="tx1"/>
            </w14:solidFill>
          </w14:textFill>
        </w:rPr>
        <w:t>类材料：包括但不限于支座、锚具、伸缩缝、外加剂等材料，</w:t>
      </w:r>
      <w:r>
        <w:rPr>
          <w:rFonts w:ascii="宋体" w:hAnsi="宋体" w:cs="宋体"/>
          <w:color w:val="000000" w:themeColor="text1"/>
          <w:sz w:val="24"/>
          <w:highlight w:val="none"/>
          <w14:textFill>
            <w14:solidFill>
              <w14:schemeClr w14:val="tx1"/>
            </w14:solidFill>
          </w14:textFill>
        </w:rPr>
        <w:t>II</w:t>
      </w:r>
      <w:r>
        <w:rPr>
          <w:rFonts w:ascii="宋体" w:hAnsi="宋体" w:cs="宋体"/>
          <w:color w:val="000000" w:themeColor="text1"/>
          <w:spacing w:val="1"/>
          <w:sz w:val="24"/>
          <w:highlight w:val="none"/>
          <w14:textFill>
            <w14:solidFill>
              <w14:schemeClr w14:val="tx1"/>
            </w14:solidFill>
          </w14:textFill>
        </w:rPr>
        <w:t>类材料的</w:t>
      </w:r>
      <w:r>
        <w:rPr>
          <w:rFonts w:ascii="宋体" w:hAnsi="宋体" w:cs="宋体"/>
          <w:color w:val="000000" w:themeColor="text1"/>
          <w:spacing w:val="-2"/>
          <w:sz w:val="24"/>
          <w:highlight w:val="none"/>
          <w14:textFill>
            <w14:solidFill>
              <w14:schemeClr w14:val="tx1"/>
            </w14:solidFill>
          </w14:textFill>
        </w:rPr>
        <w:t>类别及要求详见发包人后续下发的管理办法。合同履行过程中，发包人认为对本合同工</w:t>
      </w:r>
      <w:r>
        <w:rPr>
          <w:rFonts w:ascii="宋体" w:hAnsi="宋体" w:cs="宋体"/>
          <w:color w:val="000000" w:themeColor="text1"/>
          <w:spacing w:val="-8"/>
          <w:sz w:val="24"/>
          <w:highlight w:val="none"/>
          <w14:textFill>
            <w14:solidFill>
              <w14:schemeClr w14:val="tx1"/>
            </w14:solidFill>
          </w14:textFill>
        </w:rPr>
        <w:t>程质量起到关键性作用，或后期维修、更换成本较高的其他材料或工程设备，将纳入“甲</w:t>
      </w:r>
      <w:r>
        <w:rPr>
          <w:rFonts w:ascii="宋体" w:hAnsi="宋体" w:cs="宋体"/>
          <w:color w:val="000000" w:themeColor="text1"/>
          <w:spacing w:val="-3"/>
          <w:sz w:val="24"/>
          <w:highlight w:val="none"/>
          <w14:textFill>
            <w14:solidFill>
              <w14:schemeClr w14:val="tx1"/>
            </w14:solidFill>
          </w14:textFill>
        </w:rPr>
        <w:t>控乙购</w:t>
      </w:r>
      <w:r>
        <w:rPr>
          <w:rFonts w:ascii="宋体" w:hAnsi="宋体" w:cs="宋体"/>
          <w:color w:val="000000" w:themeColor="text1"/>
          <w:spacing w:val="-7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”进行管理。该部分材料管理按照第</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5.1.6</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项执行。</w:t>
      </w:r>
    </w:p>
    <w:p w14:paraId="602A2BC7">
      <w:pPr>
        <w:spacing w:line="360" w:lineRule="auto"/>
        <w:ind w:left="11" w:right="80"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承包人应严格按照发包人的要求，以及合同条款第</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5.1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款、技</w:t>
      </w:r>
      <w:r>
        <w:rPr>
          <w:rFonts w:ascii="宋体" w:hAnsi="宋体" w:cs="宋体"/>
          <w:color w:val="000000" w:themeColor="text1"/>
          <w:spacing w:val="-3"/>
          <w:sz w:val="24"/>
          <w:highlight w:val="none"/>
          <w14:textFill>
            <w14:solidFill>
              <w14:schemeClr w14:val="tx1"/>
            </w14:solidFill>
          </w14:textFill>
        </w:rPr>
        <w:t>术规范、建设项目管理制度的有关规定对“</w:t>
      </w:r>
      <w:r>
        <w:rPr>
          <w:rFonts w:ascii="宋体" w:hAnsi="宋体" w:cs="宋体"/>
          <w:color w:val="000000" w:themeColor="text1"/>
          <w:spacing w:val="-8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甲控乙购</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”材料和工程设备</w:t>
      </w:r>
      <w:r>
        <w:rPr>
          <w:rFonts w:ascii="宋体" w:hAnsi="宋体" w:cs="宋体"/>
          <w:color w:val="000000" w:themeColor="text1"/>
          <w:spacing w:val="-4"/>
          <w:sz w:val="24"/>
          <w:highlight w:val="none"/>
          <w14:textFill>
            <w14:solidFill>
              <w14:schemeClr w14:val="tx1"/>
            </w14:solidFill>
          </w14:textFill>
        </w:rPr>
        <w:t>进行采购。</w:t>
      </w:r>
    </w:p>
    <w:p w14:paraId="07414E69">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5.1.5</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甲控乙购</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I</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类材料管理</w:t>
      </w:r>
    </w:p>
    <w:p w14:paraId="14F2EBB7">
      <w:pPr>
        <w:spacing w:line="360" w:lineRule="auto"/>
        <w:ind w:left="6" w:right="53"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5.1.5.1 为确保项目的建设质量，统一材料品牌、规格及降低采购成本，本项目</w:t>
      </w:r>
      <w:r>
        <w:rPr>
          <w:rFonts w:ascii="宋体" w:hAnsi="宋体" w:cs="宋体"/>
          <w:color w:val="000000" w:themeColor="text1"/>
          <w:spacing w:val="-3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I</w:t>
      </w:r>
      <w:r>
        <w:rPr>
          <w:rFonts w:ascii="宋体" w:hAnsi="宋体" w:cs="宋体"/>
          <w:color w:val="000000" w:themeColor="text1"/>
          <w:spacing w:val="-2"/>
          <w:sz w:val="24"/>
          <w:highlight w:val="none"/>
          <w14:textFill>
            <w14:solidFill>
              <w14:schemeClr w14:val="tx1"/>
            </w14:solidFill>
          </w14:textFill>
        </w:rPr>
        <w:t>类材料（详见附件九《甲控乙购</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I</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类材料一览表》）将统</w:t>
      </w:r>
      <w:r>
        <w:rPr>
          <w:rFonts w:ascii="宋体" w:hAnsi="宋体" w:cs="宋体"/>
          <w:color w:val="000000" w:themeColor="text1"/>
          <w:spacing w:val="-3"/>
          <w:sz w:val="24"/>
          <w:highlight w:val="none"/>
          <w14:textFill>
            <w14:solidFill>
              <w14:schemeClr w14:val="tx1"/>
            </w14:solidFill>
          </w14:textFill>
        </w:rPr>
        <w:t>一以公开招标方式选定材料供</w:t>
      </w:r>
      <w:r>
        <w:rPr>
          <w:rFonts w:ascii="宋体" w:hAnsi="宋体" w:cs="宋体"/>
          <w:color w:val="000000" w:themeColor="text1"/>
          <w:spacing w:val="-1"/>
          <w:sz w:val="24"/>
          <w:highlight w:val="none"/>
          <w14:textFill>
            <w14:solidFill>
              <w14:schemeClr w14:val="tx1"/>
            </w14:solidFill>
          </w14:textFill>
        </w:rPr>
        <w:t>货人，具体组织由承包人推举一个参建单位</w:t>
      </w:r>
      <w:r>
        <w:rPr>
          <w:rFonts w:ascii="宋体" w:hAnsi="宋体" w:cs="宋体"/>
          <w:color w:val="000000" w:themeColor="text1"/>
          <w:spacing w:val="-2"/>
          <w:sz w:val="24"/>
          <w:highlight w:val="none"/>
          <w14:textFill>
            <w14:solidFill>
              <w14:schemeClr w14:val="tx1"/>
            </w14:solidFill>
          </w14:textFill>
        </w:rPr>
        <w:t>牵头，联合其他承包人进行招标，其他合同</w:t>
      </w:r>
      <w:r>
        <w:rPr>
          <w:rFonts w:ascii="宋体" w:hAnsi="宋体" w:cs="宋体"/>
          <w:color w:val="000000" w:themeColor="text1"/>
          <w:spacing w:val="2"/>
          <w:sz w:val="24"/>
          <w:highlight w:val="none"/>
          <w14:textFill>
            <w14:solidFill>
              <w14:schemeClr w14:val="tx1"/>
            </w14:solidFill>
          </w14:textFill>
        </w:rPr>
        <w:t>段承包人予以密切配合。统一公开招标完成前所需的</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I</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类</w:t>
      </w:r>
      <w:r>
        <w:rPr>
          <w:rFonts w:ascii="宋体" w:hAnsi="宋体" w:cs="宋体"/>
          <w:color w:val="000000" w:themeColor="text1"/>
          <w:spacing w:val="1"/>
          <w:sz w:val="24"/>
          <w:highlight w:val="none"/>
          <w14:textFill>
            <w14:solidFill>
              <w14:schemeClr w14:val="tx1"/>
            </w14:solidFill>
          </w14:textFill>
        </w:rPr>
        <w:t>材料由承包人按</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II</w:t>
      </w:r>
      <w:r>
        <w:rPr>
          <w:rFonts w:ascii="宋体" w:hAnsi="宋体" w:cs="宋体"/>
          <w:color w:val="000000" w:themeColor="text1"/>
          <w:spacing w:val="1"/>
          <w:sz w:val="24"/>
          <w:highlight w:val="none"/>
          <w14:textFill>
            <w14:solidFill>
              <w14:schemeClr w14:val="tx1"/>
            </w14:solidFill>
          </w14:textFill>
        </w:rPr>
        <w:t>类材料管</w:t>
      </w:r>
      <w:r>
        <w:rPr>
          <w:rFonts w:ascii="宋体" w:hAnsi="宋体" w:cs="宋体"/>
          <w:color w:val="000000" w:themeColor="text1"/>
          <w:spacing w:val="-1"/>
          <w:sz w:val="24"/>
          <w:highlight w:val="none"/>
          <w14:textFill>
            <w14:solidFill>
              <w14:schemeClr w14:val="tx1"/>
            </w14:solidFill>
          </w14:textFill>
        </w:rPr>
        <w:t>理程序采购，承包人须将采购文件的主要内容（包括但不限于采购限价、调差方式等）报发包人批复后实施。</w:t>
      </w:r>
    </w:p>
    <w:p w14:paraId="572F512F">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招标文件（含补遗书，如有）及最高投标限价应报发包人批准后实施，发包人具有决定权和否决权。招标过程中，承包人必须遵照有关法律法规的规定，发包人的任何审查批准、监督不免除承包人的责任。如牵头的承包人工作推进不力，发包人有权另行明确牵头承包人。招标发生的各项费用已包含在合同价格中，由各承包人按最高投标限价中对应材料金额比例承担，发包人不另行支付。招标完成后由各标段承包人与供货人签</w:t>
      </w:r>
      <w:r>
        <w:rPr>
          <w:rFonts w:ascii="宋体" w:hAnsi="宋体" w:cs="宋体"/>
          <w:color w:val="000000" w:themeColor="text1"/>
          <w:spacing w:val="-1"/>
          <w:sz w:val="24"/>
          <w:highlight w:val="none"/>
          <w14:textFill>
            <w14:solidFill>
              <w14:schemeClr w14:val="tx1"/>
            </w14:solidFill>
          </w14:textFill>
        </w:rPr>
        <w:t>订供货合同并报监理人、发包人备案。</w:t>
      </w:r>
    </w:p>
    <w:p w14:paraId="500897AE">
      <w:pPr>
        <w:spacing w:line="360" w:lineRule="auto"/>
        <w:ind w:left="12"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发包人在材料供应过程中参与协调，承包人应接受发包人的统一协调。承包人委托</w:t>
      </w:r>
      <w:r>
        <w:rPr>
          <w:rFonts w:ascii="宋体" w:hAnsi="宋体" w:cs="宋体"/>
          <w:color w:val="000000" w:themeColor="text1"/>
          <w:spacing w:val="-6"/>
          <w:sz w:val="24"/>
          <w:highlight w:val="none"/>
          <w14:textFill>
            <w14:solidFill>
              <w14:schemeClr w14:val="tx1"/>
            </w14:solidFill>
          </w14:textFill>
        </w:rPr>
        <w:t>发包人按实际采购价（含税金及调差）在本合同工程款中进行扣款，统一支付给供货人。</w:t>
      </w:r>
    </w:p>
    <w:p w14:paraId="2B65702E">
      <w:pPr>
        <w:spacing w:line="360" w:lineRule="auto"/>
        <w:ind w:left="8" w:right="80"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5.1.5.2 除合同另有规定外，没有发包人的书面同意，承包人不得自行与公开招标</w:t>
      </w:r>
      <w:r>
        <w:rPr>
          <w:rFonts w:ascii="宋体" w:hAnsi="宋体" w:cs="宋体"/>
          <w:color w:val="000000" w:themeColor="text1"/>
          <w:spacing w:val="-3"/>
          <w:sz w:val="24"/>
          <w:highlight w:val="none"/>
          <w14:textFill>
            <w14:solidFill>
              <w14:schemeClr w14:val="tx1"/>
            </w14:solidFill>
          </w14:textFill>
        </w:rPr>
        <w:t>确定的供货人以外的其他供货人采购第</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5.1.5.1 目规定的材料、设备。</w:t>
      </w:r>
      <w:r>
        <w:rPr>
          <w:rFonts w:ascii="宋体" w:hAnsi="宋体" w:cs="宋体"/>
          <w:color w:val="000000" w:themeColor="text1"/>
          <w:spacing w:val="-4"/>
          <w:sz w:val="24"/>
          <w:highlight w:val="none"/>
          <w14:textFill>
            <w14:solidFill>
              <w14:schemeClr w14:val="tx1"/>
            </w14:solidFill>
          </w14:textFill>
        </w:rPr>
        <w:t>一经发现发包人</w:t>
      </w:r>
      <w:r>
        <w:rPr>
          <w:rFonts w:ascii="宋体" w:hAnsi="宋体" w:cs="宋体"/>
          <w:color w:val="000000" w:themeColor="text1"/>
          <w:spacing w:val="-2"/>
          <w:sz w:val="24"/>
          <w:highlight w:val="none"/>
          <w14:textFill>
            <w14:solidFill>
              <w14:schemeClr w14:val="tx1"/>
            </w14:solidFill>
          </w14:textFill>
        </w:rPr>
        <w:t>有权拒收这些材料，发包人同时将按承包人自行采购材料金额（按暂扣价计，含销售货物增值税）的双倍对该承包人课以违约金。同时，未经发包人书面同意，承包人如擅自</w:t>
      </w:r>
      <w:r>
        <w:rPr>
          <w:rFonts w:ascii="宋体" w:hAnsi="宋体" w:cs="宋体"/>
          <w:color w:val="000000" w:themeColor="text1"/>
          <w:spacing w:val="-1"/>
          <w:sz w:val="24"/>
          <w:highlight w:val="none"/>
          <w14:textFill>
            <w14:solidFill>
              <w14:schemeClr w14:val="tx1"/>
            </w14:solidFill>
          </w14:textFill>
        </w:rPr>
        <w:t>将统一采购的材料、设备倒卖或使用在与本</w:t>
      </w:r>
      <w:r>
        <w:rPr>
          <w:rFonts w:ascii="宋体" w:hAnsi="宋体" w:cs="宋体"/>
          <w:color w:val="000000" w:themeColor="text1"/>
          <w:spacing w:val="-2"/>
          <w:sz w:val="24"/>
          <w:highlight w:val="none"/>
          <w14:textFill>
            <w14:solidFill>
              <w14:schemeClr w14:val="tx1"/>
            </w14:solidFill>
          </w14:textFill>
        </w:rPr>
        <w:t>项目无关的工程中，一经发现将按发生金额</w:t>
      </w:r>
      <w:r>
        <w:rPr>
          <w:rFonts w:ascii="宋体" w:hAnsi="宋体" w:cs="宋体"/>
          <w:color w:val="000000" w:themeColor="text1"/>
          <w:sz w:val="24"/>
          <w:highlight w:val="none"/>
          <w14:textFill>
            <w14:solidFill>
              <w14:schemeClr w14:val="tx1"/>
            </w14:solidFill>
          </w14:textFill>
        </w:rPr>
        <w:t>（按暂扣价计，含销售货物增值税）的双倍对</w:t>
      </w:r>
      <w:r>
        <w:rPr>
          <w:rFonts w:ascii="宋体" w:hAnsi="宋体" w:cs="宋体"/>
          <w:color w:val="000000" w:themeColor="text1"/>
          <w:spacing w:val="-1"/>
          <w:sz w:val="24"/>
          <w:highlight w:val="none"/>
          <w14:textFill>
            <w14:solidFill>
              <w14:schemeClr w14:val="tx1"/>
            </w14:solidFill>
          </w14:textFill>
        </w:rPr>
        <w:t>承包人课以违约金。</w:t>
      </w:r>
    </w:p>
    <w:p w14:paraId="7C529CFB">
      <w:pPr>
        <w:spacing w:line="360" w:lineRule="auto"/>
        <w:ind w:left="7" w:right="18"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5.1.5.3 承包人使用C50</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及以上型号的混凝土配合比时，如需使用到</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5</w:t>
      </w:r>
      <w:r>
        <w:rPr>
          <w:rFonts w:ascii="宋体" w:hAnsi="宋体" w:cs="宋体"/>
          <w:color w:val="000000" w:themeColor="text1"/>
          <w:spacing w:val="1"/>
          <w:sz w:val="24"/>
          <w:highlight w:val="none"/>
          <w14:textFill>
            <w14:solidFill>
              <w14:schemeClr w14:val="tx1"/>
            </w14:solidFill>
          </w14:textFill>
        </w:rPr>
        <w:t>2.5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及以上</w:t>
      </w:r>
      <w:r>
        <w:rPr>
          <w:rFonts w:ascii="宋体" w:hAnsi="宋体" w:cs="宋体"/>
          <w:color w:val="000000" w:themeColor="text1"/>
          <w:spacing w:val="-3"/>
          <w:sz w:val="24"/>
          <w:highlight w:val="none"/>
          <w14:textFill>
            <w14:solidFill>
              <w14:schemeClr w14:val="tx1"/>
            </w14:solidFill>
          </w14:textFill>
        </w:rPr>
        <w:t>标号的水泥，应获得发包人同意。如未经发包人</w:t>
      </w:r>
      <w:r>
        <w:rPr>
          <w:rFonts w:ascii="宋体" w:hAnsi="宋体" w:cs="宋体"/>
          <w:color w:val="000000" w:themeColor="text1"/>
          <w:spacing w:val="-4"/>
          <w:sz w:val="24"/>
          <w:highlight w:val="none"/>
          <w14:textFill>
            <w14:solidFill>
              <w14:schemeClr w14:val="tx1"/>
            </w14:solidFill>
          </w14:textFill>
        </w:rPr>
        <w:t>同意擅自使用</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52.5</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及以上标号的水泥，</w:t>
      </w:r>
      <w:r>
        <w:rPr>
          <w:rFonts w:ascii="宋体" w:hAnsi="宋体" w:cs="宋体"/>
          <w:color w:val="000000" w:themeColor="text1"/>
          <w:spacing w:val="1"/>
          <w:sz w:val="24"/>
          <w:highlight w:val="none"/>
          <w14:textFill>
            <w14:solidFill>
              <w14:schemeClr w14:val="tx1"/>
            </w14:solidFill>
          </w14:textFill>
        </w:rPr>
        <w:t>视为承包人违约，发包人将按“擅自使用的水泥数量×（当期</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52.5</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及以上标号水</w:t>
      </w:r>
      <w:r>
        <w:rPr>
          <w:rFonts w:ascii="宋体" w:hAnsi="宋体" w:cs="宋体"/>
          <w:color w:val="000000" w:themeColor="text1"/>
          <w:sz w:val="24"/>
          <w:highlight w:val="none"/>
          <w14:textFill>
            <w14:solidFill>
              <w14:schemeClr w14:val="tx1"/>
            </w14:solidFill>
          </w14:textFill>
        </w:rPr>
        <w:t>泥单</w:t>
      </w:r>
      <w:r>
        <w:rPr>
          <w:rFonts w:ascii="宋体" w:hAnsi="宋体" w:cs="宋体"/>
          <w:color w:val="000000" w:themeColor="text1"/>
          <w:spacing w:val="-1"/>
          <w:sz w:val="24"/>
          <w:highlight w:val="none"/>
          <w14:textFill>
            <w14:solidFill>
              <w14:schemeClr w14:val="tx1"/>
            </w14:solidFill>
          </w14:textFill>
        </w:rPr>
        <w:t>价信息价-当期42.5</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标号水泥单价信息价）</w:t>
      </w:r>
      <w:r>
        <w:rPr>
          <w:rFonts w:ascii="宋体" w:hAnsi="宋体" w:cs="宋体"/>
          <w:color w:val="000000" w:themeColor="text1"/>
          <w:spacing w:val="-8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×（1+销售货物增值税）”计扣承包人违约</w:t>
      </w:r>
      <w:r>
        <w:rPr>
          <w:rFonts w:ascii="宋体" w:hAnsi="宋体" w:cs="宋体"/>
          <w:color w:val="000000" w:themeColor="text1"/>
          <w:spacing w:val="-5"/>
          <w:sz w:val="24"/>
          <w:highlight w:val="none"/>
          <w14:textFill>
            <w14:solidFill>
              <w14:schemeClr w14:val="tx1"/>
            </w14:solidFill>
          </w14:textFill>
        </w:rPr>
        <w:t>金。</w:t>
      </w:r>
    </w:p>
    <w:p w14:paraId="24B2FF99">
      <w:pPr>
        <w:spacing w:line="360" w:lineRule="auto"/>
        <w:ind w:left="8"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5.1.5.4 承包人应无偿为供货人的供料运输提供满足使用要求的便道、码头和卸货</w:t>
      </w:r>
      <w:r>
        <w:rPr>
          <w:rFonts w:ascii="宋体" w:hAnsi="宋体" w:cs="宋体"/>
          <w:color w:val="000000" w:themeColor="text1"/>
          <w:spacing w:val="-6"/>
          <w:sz w:val="24"/>
          <w:highlight w:val="none"/>
          <w14:textFill>
            <w14:solidFill>
              <w14:schemeClr w14:val="tx1"/>
            </w14:solidFill>
          </w14:textFill>
        </w:rPr>
        <w:t>作业场地。另外在运输途中连接县、村级公路和承包人工地的公路设施（如水闸、堤防、</w:t>
      </w:r>
      <w:r>
        <w:rPr>
          <w:rFonts w:ascii="宋体" w:hAnsi="宋体" w:cs="宋体"/>
          <w:color w:val="000000" w:themeColor="text1"/>
          <w:spacing w:val="-2"/>
          <w:sz w:val="24"/>
          <w:highlight w:val="none"/>
          <w14:textFill>
            <w14:solidFill>
              <w14:schemeClr w14:val="tx1"/>
            </w14:solidFill>
          </w14:textFill>
        </w:rPr>
        <w:t>桥梁、涵洞等）如需加固、修复，费用包含在承包人的施工便道综合单价中，由承包人承担。如因道路或场地原因造成材料无法运送而停工，损失由承包人承担。承包人负责卸料并负责将卸下的材料搬运至工地仓库或特定地点，由此所需的设备、人力和费用由承包人自行负责，承包人的仓库容量应满足一个月以上材料储存的需要。如因承包人不</w:t>
      </w:r>
      <w:r>
        <w:rPr>
          <w:rFonts w:ascii="宋体" w:hAnsi="宋体" w:cs="宋体"/>
          <w:color w:val="000000" w:themeColor="text1"/>
          <w:sz w:val="24"/>
          <w:highlight w:val="none"/>
          <w14:textFill>
            <w14:solidFill>
              <w14:schemeClr w14:val="tx1"/>
            </w14:solidFill>
          </w14:textFill>
        </w:rPr>
        <w:t>能提供直接到达工地现场的施工便道而导致材料需要二次转</w:t>
      </w:r>
      <w:r>
        <w:rPr>
          <w:rFonts w:ascii="宋体" w:hAnsi="宋体" w:cs="宋体"/>
          <w:color w:val="000000" w:themeColor="text1"/>
          <w:spacing w:val="-1"/>
          <w:sz w:val="24"/>
          <w:highlight w:val="none"/>
          <w14:textFill>
            <w14:solidFill>
              <w14:schemeClr w14:val="tx1"/>
            </w14:solidFill>
          </w14:textFill>
        </w:rPr>
        <w:t>运的费用由承包人承担。</w:t>
      </w:r>
    </w:p>
    <w:p w14:paraId="36B2F6E0">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5.1.5.5 规定范围内的稳定性偏差和</w:t>
      </w:r>
      <w:r>
        <w:rPr>
          <w:rFonts w:ascii="宋体" w:hAnsi="宋体" w:cs="宋体"/>
          <w:color w:val="000000" w:themeColor="text1"/>
          <w:spacing w:val="-1"/>
          <w:sz w:val="24"/>
          <w:highlight w:val="none"/>
          <w14:textFill>
            <w14:solidFill>
              <w14:schemeClr w14:val="tx1"/>
            </w14:solidFill>
          </w14:textFill>
        </w:rPr>
        <w:t>钢筋的正负公差风险由承包人承担。</w:t>
      </w:r>
    </w:p>
    <w:p w14:paraId="7EDF0FC9">
      <w:pPr>
        <w:spacing w:line="360" w:lineRule="auto"/>
        <w:ind w:left="6" w:right="80"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5.1.5.6 工程开工后，承包人应根据工程进度向发包人提交经监理人同意的统一采</w:t>
      </w:r>
      <w:r>
        <w:rPr>
          <w:rFonts w:ascii="宋体" w:hAnsi="宋体" w:cs="宋体"/>
          <w:color w:val="000000" w:themeColor="text1"/>
          <w:spacing w:val="-1"/>
          <w:sz w:val="24"/>
          <w:highlight w:val="none"/>
          <w14:textFill>
            <w14:solidFill>
              <w14:schemeClr w14:val="tx1"/>
            </w14:solidFill>
          </w14:textFill>
        </w:rPr>
        <w:t>购材料的使用计划。具体操作程序按发包人</w:t>
      </w:r>
      <w:r>
        <w:rPr>
          <w:rFonts w:ascii="宋体" w:hAnsi="宋体" w:cs="宋体"/>
          <w:color w:val="000000" w:themeColor="text1"/>
          <w:spacing w:val="-2"/>
          <w:sz w:val="24"/>
          <w:highlight w:val="none"/>
          <w14:textFill>
            <w14:solidFill>
              <w14:schemeClr w14:val="tx1"/>
            </w14:solidFill>
          </w14:textFill>
        </w:rPr>
        <w:t>制定、下发的各种管理手册及相关工程管理办法执行。</w:t>
      </w:r>
    </w:p>
    <w:p w14:paraId="0D2699EA">
      <w:pPr>
        <w:spacing w:line="360" w:lineRule="auto"/>
        <w:ind w:left="7"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5.1.5.7 在承包人所承担工程全部完工后，承包人对统一采购供应的水泥材料的使</w:t>
      </w:r>
      <w:r>
        <w:rPr>
          <w:rFonts w:ascii="宋体" w:hAnsi="宋体" w:cs="宋体"/>
          <w:color w:val="000000" w:themeColor="text1"/>
          <w:spacing w:val="-4"/>
          <w:sz w:val="24"/>
          <w:highlight w:val="none"/>
          <w14:textFill>
            <w14:solidFill>
              <w14:schemeClr w14:val="tx1"/>
            </w14:solidFill>
          </w14:textFill>
        </w:rPr>
        <w:t>用，其数量应在承包人合同结算工程量中材料理论数量（定额用量）的</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90%～110%之间。</w:t>
      </w:r>
      <w:r>
        <w:rPr>
          <w:rFonts w:ascii="宋体" w:hAnsi="宋体" w:cs="宋体"/>
          <w:color w:val="000000" w:themeColor="text1"/>
          <w:spacing w:val="2"/>
          <w:sz w:val="24"/>
          <w:highlight w:val="none"/>
          <w14:textFill>
            <w14:solidFill>
              <w14:schemeClr w14:val="tx1"/>
            </w14:solidFill>
          </w14:textFill>
        </w:rPr>
        <w:t>若承包人使用数量少于理论数量的90%而又无充分</w:t>
      </w:r>
      <w:r>
        <w:rPr>
          <w:rFonts w:ascii="宋体" w:hAnsi="宋体" w:cs="宋体"/>
          <w:color w:val="000000" w:themeColor="text1"/>
          <w:spacing w:val="1"/>
          <w:sz w:val="24"/>
          <w:highlight w:val="none"/>
          <w14:textFill>
            <w14:solidFill>
              <w14:schemeClr w14:val="tx1"/>
            </w14:solidFill>
          </w14:textFill>
        </w:rPr>
        <w:t>理由解释用量减少的原因时，发包人</w:t>
      </w:r>
      <w:r>
        <w:rPr>
          <w:rFonts w:ascii="宋体" w:hAnsi="宋体" w:cs="宋体"/>
          <w:color w:val="000000" w:themeColor="text1"/>
          <w:sz w:val="24"/>
          <w:highlight w:val="none"/>
          <w14:textFill>
            <w14:solidFill>
              <w14:schemeClr w14:val="tx1"/>
            </w14:solidFill>
          </w14:textFill>
        </w:rPr>
        <w:t>有权扣减实际使用数量少于理论使用数量的</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90%差额数量部分的材料款（按暂扣价计，</w:t>
      </w:r>
      <w:r>
        <w:rPr>
          <w:rFonts w:ascii="宋体" w:hAnsi="宋体" w:cs="宋体"/>
          <w:color w:val="000000" w:themeColor="text1"/>
          <w:spacing w:val="-1"/>
          <w:sz w:val="24"/>
          <w:highlight w:val="none"/>
          <w14:textFill>
            <w14:solidFill>
              <w14:schemeClr w14:val="tx1"/>
            </w14:solidFill>
          </w14:textFill>
        </w:rPr>
        <w:t>含销售货物增值税</w:t>
      </w:r>
      <w:r>
        <w:rPr>
          <w:rFonts w:ascii="宋体" w:hAnsi="宋体" w:cs="宋体"/>
          <w:color w:val="000000" w:themeColor="text1"/>
          <w:spacing w:val="-49"/>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若承包人使用数量多于理论数量的</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110%而又</w:t>
      </w:r>
      <w:r>
        <w:rPr>
          <w:rFonts w:ascii="宋体" w:hAnsi="宋体" w:cs="宋体"/>
          <w:color w:val="000000" w:themeColor="text1"/>
          <w:spacing w:val="-2"/>
          <w:sz w:val="24"/>
          <w:highlight w:val="none"/>
          <w14:textFill>
            <w14:solidFill>
              <w14:schemeClr w14:val="tx1"/>
            </w14:solidFill>
          </w14:textFill>
        </w:rPr>
        <w:t>无充分理由解释用量增加的原因时，发包人有权扣回超出理论数量</w:t>
      </w:r>
      <w:r>
        <w:rPr>
          <w:rFonts w:ascii="宋体" w:hAnsi="宋体" w:cs="宋体"/>
          <w:color w:val="000000" w:themeColor="text1"/>
          <w:spacing w:val="-1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110%部分的材料采购费用（按暂扣价计，含销售货物增值税</w:t>
      </w:r>
      <w:r>
        <w:rPr>
          <w:rFonts w:ascii="宋体" w:hAnsi="宋体" w:cs="宋体"/>
          <w:color w:val="000000" w:themeColor="text1"/>
          <w:spacing w:val="-29"/>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并有权对承包人处以超出理论数量</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110</w:t>
      </w:r>
      <w:r>
        <w:rPr>
          <w:rFonts w:ascii="宋体" w:hAnsi="宋体" w:cs="宋体"/>
          <w:color w:val="000000" w:themeColor="text1"/>
          <w:spacing w:val="-3"/>
          <w:sz w:val="24"/>
          <w:highlight w:val="none"/>
          <w14:textFill>
            <w14:solidFill>
              <w14:schemeClr w14:val="tx1"/>
            </w14:solidFill>
          </w14:textFill>
        </w:rPr>
        <w:t>%部分等价的罚金。承包人</w:t>
      </w:r>
      <w:r>
        <w:rPr>
          <w:rFonts w:ascii="宋体" w:hAnsi="宋体" w:cs="宋体"/>
          <w:color w:val="000000" w:themeColor="text1"/>
          <w:spacing w:val="-2"/>
          <w:sz w:val="24"/>
          <w:highlight w:val="none"/>
          <w14:textFill>
            <w14:solidFill>
              <w14:schemeClr w14:val="tx1"/>
            </w14:solidFill>
          </w14:textFill>
        </w:rPr>
        <w:t>对统一采购供应的钢筋、钢绞线材料的使用，其数量应在承包人合同结算工程量中材料</w:t>
      </w:r>
      <w:r>
        <w:rPr>
          <w:rFonts w:ascii="宋体" w:hAnsi="宋体" w:cs="宋体"/>
          <w:color w:val="000000" w:themeColor="text1"/>
          <w:spacing w:val="-3"/>
          <w:sz w:val="24"/>
          <w:highlight w:val="none"/>
          <w14:textFill>
            <w14:solidFill>
              <w14:schemeClr w14:val="tx1"/>
            </w14:solidFill>
          </w14:textFill>
        </w:rPr>
        <w:t>理论数量（考虑定额有关损耗）的</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100%～110</w:t>
      </w:r>
      <w:r>
        <w:rPr>
          <w:rFonts w:ascii="宋体" w:hAnsi="宋体" w:cs="宋体"/>
          <w:color w:val="000000" w:themeColor="text1"/>
          <w:spacing w:val="-4"/>
          <w:sz w:val="24"/>
          <w:highlight w:val="none"/>
          <w14:textFill>
            <w14:solidFill>
              <w14:schemeClr w14:val="tx1"/>
            </w14:solidFill>
          </w14:textFill>
        </w:rPr>
        <w:t>%之间。若承包人使用数量少于理论数量的</w:t>
      </w:r>
      <w:r>
        <w:rPr>
          <w:rFonts w:ascii="宋体" w:hAnsi="宋体" w:cs="宋体"/>
          <w:color w:val="000000" w:themeColor="text1"/>
          <w:spacing w:val="-1"/>
          <w:sz w:val="24"/>
          <w:highlight w:val="none"/>
          <w14:textFill>
            <w14:solidFill>
              <w14:schemeClr w14:val="tx1"/>
            </w14:solidFill>
          </w14:textFill>
        </w:rPr>
        <w:t>100%而又无充分理由解释用量减少的原因时，</w:t>
      </w:r>
      <w:r>
        <w:rPr>
          <w:rFonts w:ascii="宋体" w:hAnsi="宋体" w:cs="宋体"/>
          <w:color w:val="000000" w:themeColor="text1"/>
          <w:spacing w:val="-2"/>
          <w:sz w:val="24"/>
          <w:highlight w:val="none"/>
          <w14:textFill>
            <w14:solidFill>
              <w14:schemeClr w14:val="tx1"/>
            </w14:solidFill>
          </w14:textFill>
        </w:rPr>
        <w:t>发包人有权扣减实际使用数量少于理论使</w:t>
      </w:r>
      <w:r>
        <w:rPr>
          <w:rFonts w:ascii="宋体" w:hAnsi="宋体" w:cs="宋体"/>
          <w:color w:val="000000" w:themeColor="text1"/>
          <w:spacing w:val="-3"/>
          <w:sz w:val="24"/>
          <w:highlight w:val="none"/>
          <w14:textFill>
            <w14:solidFill>
              <w14:schemeClr w14:val="tx1"/>
            </w14:solidFill>
          </w14:textFill>
        </w:rPr>
        <w:t>用数量的</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100%差额数量部分的材料款（按暂扣价计，含销售货物增值税</w:t>
      </w:r>
      <w:r>
        <w:rPr>
          <w:rFonts w:ascii="宋体" w:hAnsi="宋体" w:cs="宋体"/>
          <w:color w:val="000000" w:themeColor="text1"/>
          <w:spacing w:val="-16"/>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若承包人使</w:t>
      </w:r>
      <w:r>
        <w:rPr>
          <w:rFonts w:ascii="宋体" w:hAnsi="宋体" w:cs="宋体"/>
          <w:color w:val="000000" w:themeColor="text1"/>
          <w:spacing w:val="-4"/>
          <w:sz w:val="24"/>
          <w:highlight w:val="none"/>
          <w14:textFill>
            <w14:solidFill>
              <w14:schemeClr w14:val="tx1"/>
            </w14:solidFill>
          </w14:textFill>
        </w:rPr>
        <w:t>用数量多于理论数量的</w:t>
      </w:r>
      <w:r>
        <w:rPr>
          <w:rFonts w:ascii="宋体" w:hAnsi="宋体" w:cs="宋体"/>
          <w:color w:val="000000" w:themeColor="text1"/>
          <w:spacing w:val="-2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110%而又无充分理由解释用量增加的原因时，发包人有权扣回超</w:t>
      </w:r>
      <w:r>
        <w:rPr>
          <w:rFonts w:ascii="宋体" w:hAnsi="宋体" w:cs="宋体"/>
          <w:color w:val="000000" w:themeColor="text1"/>
          <w:spacing w:val="-3"/>
          <w:sz w:val="24"/>
          <w:highlight w:val="none"/>
          <w14:textFill>
            <w14:solidFill>
              <w14:schemeClr w14:val="tx1"/>
            </w14:solidFill>
          </w14:textFill>
        </w:rPr>
        <w:t>出理论数量</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110%部分的材料采购费用（按暂扣价计，含销售货物增值税</w:t>
      </w:r>
      <w:r>
        <w:rPr>
          <w:rFonts w:ascii="宋体" w:hAnsi="宋体" w:cs="宋体"/>
          <w:color w:val="000000" w:themeColor="text1"/>
          <w:spacing w:val="-19"/>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并对承包人</w:t>
      </w:r>
      <w:r>
        <w:rPr>
          <w:rFonts w:ascii="宋体" w:hAnsi="宋体" w:cs="宋体"/>
          <w:color w:val="000000" w:themeColor="text1"/>
          <w:spacing w:val="-1"/>
          <w:sz w:val="24"/>
          <w:highlight w:val="none"/>
          <w14:textFill>
            <w14:solidFill>
              <w14:schemeClr w14:val="tx1"/>
            </w14:solidFill>
          </w14:textFill>
        </w:rPr>
        <w:t>处以超出理论数量</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110%部分等价的罚金。承包人对上述规定必</w:t>
      </w:r>
      <w:r>
        <w:rPr>
          <w:rFonts w:ascii="宋体" w:hAnsi="宋体" w:cs="宋体"/>
          <w:color w:val="000000" w:themeColor="text1"/>
          <w:spacing w:val="-2"/>
          <w:sz w:val="24"/>
          <w:highlight w:val="none"/>
          <w14:textFill>
            <w14:solidFill>
              <w14:schemeClr w14:val="tx1"/>
            </w14:solidFill>
          </w14:textFill>
        </w:rPr>
        <w:t>须无条件接受。</w:t>
      </w:r>
    </w:p>
    <w:p w14:paraId="3BF65B3B">
      <w:pPr>
        <w:spacing w:line="360" w:lineRule="auto"/>
        <w:ind w:left="8" w:right="61"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5.1.5.8 统一供应材料在承包人和供货人双方确认的计量器进行货物计量（螺纹钢</w:t>
      </w:r>
      <w:r>
        <w:rPr>
          <w:rFonts w:ascii="宋体" w:hAnsi="宋体" w:cs="宋体"/>
          <w:color w:val="000000" w:themeColor="text1"/>
          <w:spacing w:val="2"/>
          <w:sz w:val="24"/>
          <w:highlight w:val="none"/>
          <w14:textFill>
            <w14:solidFill>
              <w14:schemeClr w14:val="tx1"/>
            </w14:solidFill>
          </w14:textFill>
        </w:rPr>
        <w:t>除外）。若过磅数量大于或等于送货单数量的9</w:t>
      </w:r>
      <w:r>
        <w:rPr>
          <w:rFonts w:ascii="宋体" w:hAnsi="宋体" w:cs="宋体"/>
          <w:color w:val="000000" w:themeColor="text1"/>
          <w:spacing w:val="1"/>
          <w:sz w:val="24"/>
          <w:highlight w:val="none"/>
          <w14:textFill>
            <w14:solidFill>
              <w14:schemeClr w14:val="tx1"/>
            </w14:solidFill>
          </w14:textFill>
        </w:rPr>
        <w:t>9.7%，则以送货单数量为准，过磅费由</w:t>
      </w:r>
      <w:r>
        <w:rPr>
          <w:rFonts w:ascii="宋体" w:hAnsi="宋体" w:cs="宋体"/>
          <w:color w:val="000000" w:themeColor="text1"/>
          <w:spacing w:val="2"/>
          <w:sz w:val="24"/>
          <w:highlight w:val="none"/>
          <w14:textFill>
            <w14:solidFill>
              <w14:schemeClr w14:val="tx1"/>
            </w14:solidFill>
          </w14:textFill>
        </w:rPr>
        <w:t>承包人承担；若过磅数量小于送货单数量的99</w:t>
      </w:r>
      <w:r>
        <w:rPr>
          <w:rFonts w:ascii="宋体" w:hAnsi="宋体" w:cs="宋体"/>
          <w:color w:val="000000" w:themeColor="text1"/>
          <w:spacing w:val="1"/>
          <w:sz w:val="24"/>
          <w:highlight w:val="none"/>
          <w14:textFill>
            <w14:solidFill>
              <w14:schemeClr w14:val="tx1"/>
            </w14:solidFill>
          </w14:textFill>
        </w:rPr>
        <w:t>.7%，则以过磅数量为准，过磅费由供货</w:t>
      </w:r>
      <w:r>
        <w:rPr>
          <w:rFonts w:ascii="宋体" w:hAnsi="宋体" w:cs="宋体"/>
          <w:color w:val="000000" w:themeColor="text1"/>
          <w:spacing w:val="-2"/>
          <w:sz w:val="24"/>
          <w:highlight w:val="none"/>
          <w14:textFill>
            <w14:solidFill>
              <w14:schemeClr w14:val="tx1"/>
            </w14:solidFill>
          </w14:textFill>
        </w:rPr>
        <w:t>人承担。螺纹钢按“理计计重</w:t>
      </w:r>
      <w:r>
        <w:rPr>
          <w:rFonts w:ascii="宋体" w:hAnsi="宋体" w:cs="宋体"/>
          <w:color w:val="000000" w:themeColor="text1"/>
          <w:spacing w:val="-8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”（即理论重量）计量。</w:t>
      </w:r>
    </w:p>
    <w:p w14:paraId="5BA3A93D">
      <w:pPr>
        <w:spacing w:line="360" w:lineRule="auto"/>
        <w:ind w:left="8" w:right="53"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5.1.5.9 承包人负责材料全过程管理，承担材料供应、清点、检验、储存、保管等责任。材料设备使用前，由承包人负责检验或试验，品种、规格、型号或质量与材料供</w:t>
      </w:r>
      <w:r>
        <w:rPr>
          <w:rFonts w:ascii="宋体" w:hAnsi="宋体" w:cs="宋体"/>
          <w:color w:val="000000" w:themeColor="text1"/>
          <w:spacing w:val="-1"/>
          <w:sz w:val="24"/>
          <w:highlight w:val="none"/>
          <w14:textFill>
            <w14:solidFill>
              <w14:schemeClr w14:val="tx1"/>
            </w14:solidFill>
          </w14:textFill>
        </w:rPr>
        <w:t>应一览表不符的，承包人可拒绝接收，供货人应负责运出</w:t>
      </w:r>
      <w:r>
        <w:rPr>
          <w:rFonts w:ascii="宋体" w:hAnsi="宋体" w:cs="宋体"/>
          <w:color w:val="000000" w:themeColor="text1"/>
          <w:spacing w:val="-2"/>
          <w:sz w:val="24"/>
          <w:highlight w:val="none"/>
          <w14:textFill>
            <w14:solidFill>
              <w14:schemeClr w14:val="tx1"/>
            </w14:solidFill>
          </w14:textFill>
        </w:rPr>
        <w:t>施工场地并重新采购；品种、规格或型号与一览表不符但质量经检验合格的，经监理人同意，可调剂串换使用。若上</w:t>
      </w:r>
      <w:r>
        <w:rPr>
          <w:rFonts w:ascii="宋体" w:hAnsi="宋体" w:cs="宋体"/>
          <w:color w:val="000000" w:themeColor="text1"/>
          <w:sz w:val="24"/>
          <w:highlight w:val="none"/>
          <w14:textFill>
            <w14:solidFill>
              <w14:schemeClr w14:val="tx1"/>
            </w14:solidFill>
          </w14:textFill>
        </w:rPr>
        <w:t>述不符是属于承包人责任造成的，则因此而增加的</w:t>
      </w:r>
      <w:r>
        <w:rPr>
          <w:rFonts w:ascii="宋体" w:hAnsi="宋体" w:cs="宋体"/>
          <w:color w:val="000000" w:themeColor="text1"/>
          <w:spacing w:val="-1"/>
          <w:sz w:val="24"/>
          <w:highlight w:val="none"/>
          <w14:textFill>
            <w14:solidFill>
              <w14:schemeClr w14:val="tx1"/>
            </w14:solidFill>
          </w14:textFill>
        </w:rPr>
        <w:t>相应费用由承包人承担。</w:t>
      </w:r>
    </w:p>
    <w:p w14:paraId="22D1EF5A">
      <w:pPr>
        <w:spacing w:line="360" w:lineRule="auto"/>
        <w:ind w:left="28" w:right="61" w:firstLine="46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为恰当和正确地使用、安装和实施这些材料和工程设备所必需的但一览表中未列明</w:t>
      </w:r>
      <w:r>
        <w:rPr>
          <w:rFonts w:ascii="宋体" w:hAnsi="宋体" w:cs="宋体"/>
          <w:color w:val="000000" w:themeColor="text1"/>
          <w:spacing w:val="-1"/>
          <w:sz w:val="24"/>
          <w:highlight w:val="none"/>
          <w14:textFill>
            <w14:solidFill>
              <w14:schemeClr w14:val="tx1"/>
            </w14:solidFill>
          </w14:textFill>
        </w:rPr>
        <w:t>的其他任何辅助性材料以及人工费已经包含在合同价格中，发包人不另行支付。</w:t>
      </w:r>
    </w:p>
    <w:p w14:paraId="26D1D618">
      <w:pPr>
        <w:spacing w:line="360" w:lineRule="auto"/>
        <w:ind w:left="30" w:right="61" w:firstLine="46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5.1.5.10 发包人代扣的承包人的材料款，原则上当期的材料款应在当期的计量款</w:t>
      </w:r>
      <w:r>
        <w:rPr>
          <w:rFonts w:ascii="宋体" w:hAnsi="宋体" w:cs="宋体"/>
          <w:color w:val="000000" w:themeColor="text1"/>
          <w:spacing w:val="-1"/>
          <w:sz w:val="24"/>
          <w:highlight w:val="none"/>
          <w14:textFill>
            <w14:solidFill>
              <w14:schemeClr w14:val="tx1"/>
            </w14:solidFill>
          </w14:textFill>
        </w:rPr>
        <w:t>中扣除。根据实际情况，在确保工程款不超付的情况下允许推迟一个月扣回材料款。</w:t>
      </w:r>
    </w:p>
    <w:p w14:paraId="0FF9A370">
      <w:pPr>
        <w:spacing w:line="360" w:lineRule="auto"/>
        <w:ind w:left="10"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5.1.5.11 承包人的仓库容量应满足连续施工的需要。散装水泥的贮存罐由承包人</w:t>
      </w:r>
      <w:r>
        <w:rPr>
          <w:rFonts w:ascii="宋体" w:hAnsi="宋体" w:cs="宋体"/>
          <w:color w:val="000000" w:themeColor="text1"/>
          <w:spacing w:val="-6"/>
          <w:sz w:val="24"/>
          <w:highlight w:val="none"/>
          <w14:textFill>
            <w14:solidFill>
              <w14:schemeClr w14:val="tx1"/>
            </w14:solidFill>
          </w14:textFill>
        </w:rPr>
        <w:t>自行配备，相关费用已包含在合同价格中。散装水泥的现场卸货由承包人负责</w:t>
      </w:r>
      <w:r>
        <w:rPr>
          <w:rFonts w:ascii="宋体" w:hAnsi="宋体" w:cs="宋体"/>
          <w:color w:val="000000" w:themeColor="text1"/>
          <w:spacing w:val="-7"/>
          <w:sz w:val="24"/>
          <w:highlight w:val="none"/>
          <w14:textFill>
            <w14:solidFill>
              <w14:schemeClr w14:val="tx1"/>
            </w14:solidFill>
          </w14:textFill>
        </w:rPr>
        <w:t>提供电力，</w:t>
      </w:r>
      <w:r>
        <w:rPr>
          <w:rFonts w:ascii="宋体" w:hAnsi="宋体" w:cs="宋体"/>
          <w:color w:val="000000" w:themeColor="text1"/>
          <w:spacing w:val="-2"/>
          <w:sz w:val="24"/>
          <w:highlight w:val="none"/>
          <w14:textFill>
            <w14:solidFill>
              <w14:schemeClr w14:val="tx1"/>
            </w14:solidFill>
          </w14:textFill>
        </w:rPr>
        <w:t>完工后贮存罐由承包人自行负责回收。散装水泥贮存罐的存储容量应满足本合同段高峰</w:t>
      </w:r>
      <w:r>
        <w:rPr>
          <w:rFonts w:ascii="宋体" w:hAnsi="宋体" w:cs="宋体"/>
          <w:color w:val="000000" w:themeColor="text1"/>
          <w:spacing w:val="-5"/>
          <w:sz w:val="24"/>
          <w:highlight w:val="none"/>
          <w14:textFill>
            <w14:solidFill>
              <w14:schemeClr w14:val="tx1"/>
            </w14:solidFill>
          </w14:textFill>
        </w:rPr>
        <w:t>期连续</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天施工要求。</w:t>
      </w:r>
    </w:p>
    <w:p w14:paraId="53BAC0CC">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5.1.6</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甲控乙购</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II</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类材料管理</w:t>
      </w:r>
    </w:p>
    <w:p w14:paraId="41EC7A43">
      <w:pPr>
        <w:spacing w:line="360" w:lineRule="auto"/>
        <w:ind w:left="7" w:right="61" w:firstLine="492"/>
        <w:rPr>
          <w:rFonts w:hint="eastAsia"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（1）承包人须以公开招标或非招标采购方式选定材料供应商，并在采购前做好充</w:t>
      </w:r>
      <w:r>
        <w:rPr>
          <w:rFonts w:ascii="宋体" w:hAnsi="宋体" w:cs="宋体"/>
          <w:color w:val="000000" w:themeColor="text1"/>
          <w:spacing w:val="-2"/>
          <w:sz w:val="24"/>
          <w:highlight w:val="none"/>
          <w14:textFill>
            <w14:solidFill>
              <w14:schemeClr w14:val="tx1"/>
            </w14:solidFill>
          </w14:textFill>
        </w:rPr>
        <w:t>分的市场调研。若采用公开招标方式，承包人须把招标文件及相关配套文件报监理人审核、发包人备案后，才能开展招标工作；若采用非招标采购方式，承包人须把供应商短名单等材料报监理人审核、发包人备案后，才能开展采购工作。为统一规格，降低采购成本，发包人可要求部分材料由一个标段或几个标段进行全线统一比选，确定材料设备供应商，承包人不得拒绝，并应积极配合具体组织标段完成比选工作。组织或者配合比选的相关费用已包含在合同价格中，发包人不另行支付。具体见发包人后续制定的相关</w:t>
      </w:r>
      <w:r>
        <w:rPr>
          <w:rFonts w:ascii="宋体" w:hAnsi="宋体" w:cs="宋体"/>
          <w:color w:val="000000" w:themeColor="text1"/>
          <w:sz w:val="24"/>
          <w:highlight w:val="none"/>
          <w14:textFill>
            <w14:solidFill>
              <w14:schemeClr w14:val="tx1"/>
            </w14:solidFill>
          </w14:textFill>
        </w:rPr>
        <w:t>管理办法。监理人、发包人的上述审核备案并不免除承包人对</w:t>
      </w:r>
      <w:r>
        <w:rPr>
          <w:rFonts w:ascii="宋体" w:hAnsi="宋体" w:cs="宋体"/>
          <w:color w:val="000000" w:themeColor="text1"/>
          <w:spacing w:val="-1"/>
          <w:sz w:val="24"/>
          <w:highlight w:val="none"/>
          <w14:textFill>
            <w14:solidFill>
              <w14:schemeClr w14:val="tx1"/>
            </w14:solidFill>
          </w14:textFill>
        </w:rPr>
        <w:t>采购材料的质量责任。</w:t>
      </w:r>
    </w:p>
    <w:p w14:paraId="71E2FA66">
      <w:pPr>
        <w:spacing w:line="360" w:lineRule="auto"/>
        <w:ind w:left="12" w:right="8"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（2）承包人应将采购合同和供应商（或厂家，下同）收款账号等资料报监理人、</w:t>
      </w:r>
      <w:r>
        <w:rPr>
          <w:rFonts w:ascii="宋体" w:hAnsi="宋体" w:cs="宋体"/>
          <w:color w:val="000000" w:themeColor="text1"/>
          <w:spacing w:val="-2"/>
          <w:sz w:val="24"/>
          <w:highlight w:val="none"/>
          <w14:textFill>
            <w14:solidFill>
              <w14:schemeClr w14:val="tx1"/>
            </w14:solidFill>
          </w14:textFill>
        </w:rPr>
        <w:t>发包人备案。在合同执行过程中，承包人应严格按照采购合同确立的支付周期、支付方式、支付期限等向供应商支付货款，严禁逾期支付，或以压低单价、私自扣留或巧设名</w:t>
      </w:r>
      <w:r>
        <w:rPr>
          <w:rFonts w:ascii="宋体" w:hAnsi="宋体" w:cs="宋体"/>
          <w:color w:val="000000" w:themeColor="text1"/>
          <w:spacing w:val="-1"/>
          <w:sz w:val="24"/>
          <w:highlight w:val="none"/>
          <w14:textFill>
            <w14:solidFill>
              <w14:schemeClr w14:val="tx1"/>
            </w14:solidFill>
          </w14:textFill>
        </w:rPr>
        <w:t>目等方式收取或变相收取供应商费用。</w:t>
      </w:r>
    </w:p>
    <w:p w14:paraId="4CE24ECD">
      <w:pPr>
        <w:spacing w:line="360" w:lineRule="auto"/>
        <w:ind w:left="8" w:right="5"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发包人将定期或不定期的检查承包人支付证明或以其他方式核实承包人的支付情</w:t>
      </w:r>
      <w:r>
        <w:rPr>
          <w:rFonts w:ascii="宋体" w:hAnsi="宋体" w:cs="宋体"/>
          <w:color w:val="000000" w:themeColor="text1"/>
          <w:spacing w:val="-2"/>
          <w:sz w:val="24"/>
          <w:highlight w:val="none"/>
          <w14:textFill>
            <w14:solidFill>
              <w14:schemeClr w14:val="tx1"/>
            </w14:solidFill>
          </w14:textFill>
        </w:rPr>
        <w:t>况，如发现承包人有上述违规行为的，发包人有权扣除相应款项代为支付，承包人须无</w:t>
      </w:r>
      <w:r>
        <w:rPr>
          <w:rFonts w:ascii="宋体" w:hAnsi="宋体" w:cs="宋体"/>
          <w:color w:val="000000" w:themeColor="text1"/>
          <w:spacing w:val="1"/>
          <w:sz w:val="24"/>
          <w:highlight w:val="none"/>
          <w14:textFill>
            <w14:solidFill>
              <w14:schemeClr w14:val="tx1"/>
            </w14:solidFill>
          </w14:textFill>
        </w:rPr>
        <w:t>条件接受。认定承包人违约的，将按照第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款的规定追究承包人的违约责任</w:t>
      </w:r>
      <w:r>
        <w:rPr>
          <w:rFonts w:ascii="宋体" w:hAnsi="宋体" w:cs="宋体"/>
          <w:color w:val="000000" w:themeColor="text1"/>
          <w:sz w:val="24"/>
          <w:highlight w:val="none"/>
          <w14:textFill>
            <w14:solidFill>
              <w14:schemeClr w14:val="tx1"/>
            </w14:solidFill>
          </w14:textFill>
        </w:rPr>
        <w:t>并课以</w:t>
      </w:r>
      <w:r>
        <w:rPr>
          <w:rFonts w:ascii="宋体" w:hAnsi="宋体" w:cs="宋体"/>
          <w:color w:val="000000" w:themeColor="text1"/>
          <w:spacing w:val="-3"/>
          <w:sz w:val="24"/>
          <w:highlight w:val="none"/>
          <w14:textFill>
            <w14:solidFill>
              <w14:schemeClr w14:val="tx1"/>
            </w14:solidFill>
          </w14:textFill>
        </w:rPr>
        <w:t>违约金。</w:t>
      </w:r>
    </w:p>
    <w:p w14:paraId="12BDE46E">
      <w:pPr>
        <w:spacing w:line="360" w:lineRule="auto"/>
        <w:ind w:left="9" w:right="8"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（3）发包人对</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II类材料的选定有否决权，承包人对此拒绝接受的，或在所选材料</w:t>
      </w:r>
      <w:r>
        <w:rPr>
          <w:rFonts w:ascii="宋体" w:hAnsi="宋体" w:cs="宋体"/>
          <w:color w:val="000000" w:themeColor="text1"/>
          <w:spacing w:val="-2"/>
          <w:sz w:val="24"/>
          <w:highlight w:val="none"/>
          <w14:textFill>
            <w14:solidFill>
              <w14:schemeClr w14:val="tx1"/>
            </w14:solidFill>
          </w14:textFill>
        </w:rPr>
        <w:t>和工程设备品牌被否决后，未经发包人同意，拒绝提供新的品牌的，视为承包人违约，</w:t>
      </w:r>
      <w:r>
        <w:rPr>
          <w:rFonts w:ascii="宋体" w:hAnsi="宋体" w:cs="宋体"/>
          <w:color w:val="000000" w:themeColor="text1"/>
          <w:spacing w:val="-1"/>
          <w:sz w:val="24"/>
          <w:highlight w:val="none"/>
          <w14:textFill>
            <w14:solidFill>
              <w14:schemeClr w14:val="tx1"/>
            </w14:solidFill>
          </w14:textFill>
        </w:rPr>
        <w:t>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款承包人违约处理，情节严重的没</w:t>
      </w:r>
      <w:r>
        <w:rPr>
          <w:rFonts w:ascii="宋体" w:hAnsi="宋体" w:cs="宋体"/>
          <w:color w:val="000000" w:themeColor="text1"/>
          <w:spacing w:val="-2"/>
          <w:sz w:val="24"/>
          <w:highlight w:val="none"/>
          <w14:textFill>
            <w14:solidFill>
              <w14:schemeClr w14:val="tx1"/>
            </w14:solidFill>
          </w14:textFill>
        </w:rPr>
        <w:t>收履约保证金。</w:t>
      </w:r>
    </w:p>
    <w:p w14:paraId="192F2433">
      <w:pPr>
        <w:spacing w:line="360" w:lineRule="auto"/>
        <w:ind w:left="7"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（4）本项目使用的支座、伸缩缝必须确保通过项目竣工检测，若由于承包人原因</w:t>
      </w:r>
      <w:r>
        <w:rPr>
          <w:rFonts w:ascii="宋体" w:hAnsi="宋体" w:cs="宋体"/>
          <w:color w:val="000000" w:themeColor="text1"/>
          <w:spacing w:val="-2"/>
          <w:sz w:val="24"/>
          <w:highlight w:val="none"/>
          <w14:textFill>
            <w14:solidFill>
              <w14:schemeClr w14:val="tx1"/>
            </w14:solidFill>
          </w14:textFill>
        </w:rPr>
        <w:t>未达到设计及相关规范要求的，承包人应无条件按发包人及设计要求，在规定的时间内</w:t>
      </w:r>
      <w:r>
        <w:rPr>
          <w:rFonts w:ascii="宋体" w:hAnsi="宋体" w:cs="宋体"/>
          <w:color w:val="000000" w:themeColor="text1"/>
          <w:spacing w:val="-1"/>
          <w:sz w:val="24"/>
          <w:highlight w:val="none"/>
          <w14:textFill>
            <w14:solidFill>
              <w14:schemeClr w14:val="tx1"/>
            </w14:solidFill>
          </w14:textFill>
        </w:rPr>
        <w:t>对支座、伸缩缝进行更换，所需的所有费用由承包人承担，</w:t>
      </w:r>
      <w:r>
        <w:rPr>
          <w:rFonts w:ascii="宋体" w:hAnsi="宋体" w:cs="宋体"/>
          <w:color w:val="000000" w:themeColor="text1"/>
          <w:spacing w:val="-2"/>
          <w:sz w:val="24"/>
          <w:highlight w:val="none"/>
          <w14:textFill>
            <w14:solidFill>
              <w14:schemeClr w14:val="tx1"/>
            </w14:solidFill>
          </w14:textFill>
        </w:rPr>
        <w:t>包括但不限于设备进退场、运输费、过桥过路费、道路封闭、安全围护、支座更换、桥梁顶升、支架搭设等；若承包人未及时对上述缺陷进行修复，发包人有权委托相关单位进行修复，所需费用直接在</w:t>
      </w:r>
      <w:r>
        <w:rPr>
          <w:rFonts w:ascii="宋体" w:hAnsi="宋体" w:cs="宋体"/>
          <w:color w:val="000000" w:themeColor="text1"/>
          <w:spacing w:val="-1"/>
          <w:sz w:val="24"/>
          <w:highlight w:val="none"/>
          <w14:textFill>
            <w14:solidFill>
              <w14:schemeClr w14:val="tx1"/>
            </w14:solidFill>
          </w14:textFill>
        </w:rPr>
        <w:t>承包人的一切应得款项中扣除，同时视为承包人违约，按</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款承包人违约处理。</w:t>
      </w:r>
    </w:p>
    <w:p w14:paraId="172CD678">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5.1.7 其他工程材料管理</w:t>
      </w:r>
    </w:p>
    <w:p w14:paraId="2F6F390D">
      <w:pPr>
        <w:spacing w:line="360" w:lineRule="auto"/>
        <w:ind w:left="6" w:right="8" w:firstLine="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（1）除本合同条款第 5.1.4 款规定外（含补充纳入“</w:t>
      </w:r>
      <w:r>
        <w:rPr>
          <w:rFonts w:ascii="宋体" w:hAnsi="宋体" w:cs="宋体"/>
          <w:color w:val="000000" w:themeColor="text1"/>
          <w:spacing w:val="-6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甲控乙购</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”管理的材料和工</w:t>
      </w:r>
      <w:r>
        <w:rPr>
          <w:rFonts w:ascii="宋体" w:hAnsi="宋体" w:cs="宋体"/>
          <w:color w:val="000000" w:themeColor="text1"/>
          <w:spacing w:val="-1"/>
          <w:sz w:val="24"/>
          <w:highlight w:val="none"/>
          <w14:textFill>
            <w14:solidFill>
              <w14:schemeClr w14:val="tx1"/>
            </w14:solidFill>
          </w14:textFill>
        </w:rPr>
        <w:t>程设备</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其他工程材料由发包人在技术规范中列明具体的技术参数、</w:t>
      </w:r>
      <w:r>
        <w:rPr>
          <w:rFonts w:ascii="宋体" w:hAnsi="宋体" w:cs="宋体"/>
          <w:color w:val="000000" w:themeColor="text1"/>
          <w:spacing w:val="-2"/>
          <w:sz w:val="24"/>
          <w:highlight w:val="none"/>
          <w14:textFill>
            <w14:solidFill>
              <w14:schemeClr w14:val="tx1"/>
            </w14:solidFill>
          </w14:textFill>
        </w:rPr>
        <w:t>技术指标，承包</w:t>
      </w:r>
      <w:r>
        <w:rPr>
          <w:rFonts w:ascii="宋体" w:hAnsi="宋体" w:cs="宋体"/>
          <w:color w:val="000000" w:themeColor="text1"/>
          <w:spacing w:val="-1"/>
          <w:sz w:val="24"/>
          <w:highlight w:val="none"/>
          <w14:textFill>
            <w14:solidFill>
              <w14:schemeClr w14:val="tx1"/>
            </w14:solidFill>
          </w14:textFill>
        </w:rPr>
        <w:t>人应按照不低于上述参数、指标，以及技术</w:t>
      </w:r>
      <w:r>
        <w:rPr>
          <w:rFonts w:ascii="宋体" w:hAnsi="宋体" w:cs="宋体"/>
          <w:color w:val="000000" w:themeColor="text1"/>
          <w:spacing w:val="-2"/>
          <w:sz w:val="24"/>
          <w:highlight w:val="none"/>
          <w14:textFill>
            <w14:solidFill>
              <w14:schemeClr w14:val="tx1"/>
            </w14:solidFill>
          </w14:textFill>
        </w:rPr>
        <w:t>规范、建设项目管理制度的规定进行材料采</w:t>
      </w:r>
      <w:r>
        <w:rPr>
          <w:rFonts w:ascii="宋体" w:hAnsi="宋体" w:cs="宋体"/>
          <w:color w:val="000000" w:themeColor="text1"/>
          <w:spacing w:val="-4"/>
          <w:sz w:val="24"/>
          <w:highlight w:val="none"/>
          <w14:textFill>
            <w14:solidFill>
              <w14:schemeClr w14:val="tx1"/>
            </w14:solidFill>
          </w14:textFill>
        </w:rPr>
        <w:t>购。</w:t>
      </w:r>
    </w:p>
    <w:p w14:paraId="2552C41C">
      <w:pPr>
        <w:spacing w:line="360" w:lineRule="auto"/>
        <w:ind w:left="14" w:right="8"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（2）其他工程材料采购所需费用（含材料费）均已包含在合同价格中，发包人不</w:t>
      </w:r>
      <w:r>
        <w:rPr>
          <w:rFonts w:ascii="宋体" w:hAnsi="宋体" w:cs="宋体"/>
          <w:color w:val="000000" w:themeColor="text1"/>
          <w:spacing w:val="-4"/>
          <w:sz w:val="24"/>
          <w:highlight w:val="none"/>
          <w14:textFill>
            <w14:solidFill>
              <w14:schemeClr w14:val="tx1"/>
            </w14:solidFill>
          </w14:textFill>
        </w:rPr>
        <w:t>另行支付。</w:t>
      </w:r>
    </w:p>
    <w:p w14:paraId="36D74E42">
      <w:pPr>
        <w:spacing w:line="360" w:lineRule="auto"/>
        <w:ind w:left="10" w:right="8"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（3）对于承包人所选采购品牌不符合本合同条款、技术规范的规定的，监理人可</w:t>
      </w:r>
      <w:r>
        <w:rPr>
          <w:rFonts w:ascii="宋体" w:hAnsi="宋体" w:cs="宋体"/>
          <w:color w:val="000000" w:themeColor="text1"/>
          <w:spacing w:val="-2"/>
          <w:sz w:val="24"/>
          <w:highlight w:val="none"/>
          <w14:textFill>
            <w14:solidFill>
              <w14:schemeClr w14:val="tx1"/>
            </w14:solidFill>
          </w14:textFill>
        </w:rPr>
        <w:t>否决不符合要求的材料和工程设备品牌，在此情况下，承包人应按照上述规定重新确定</w:t>
      </w:r>
      <w:r>
        <w:rPr>
          <w:rFonts w:ascii="宋体" w:hAnsi="宋体" w:cs="宋体"/>
          <w:color w:val="000000" w:themeColor="text1"/>
          <w:spacing w:val="-1"/>
          <w:sz w:val="24"/>
          <w:highlight w:val="none"/>
          <w14:textFill>
            <w14:solidFill>
              <w14:schemeClr w14:val="tx1"/>
            </w14:solidFill>
          </w14:textFill>
        </w:rPr>
        <w:t>主选或备选品牌，直到满足合同文件规定为止。</w:t>
      </w:r>
    </w:p>
    <w:p w14:paraId="24BA103E">
      <w:pPr>
        <w:spacing w:line="360" w:lineRule="auto"/>
        <w:ind w:left="7" w:right="5"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（4）本项目混凝土用砂遵照《广东省交通运输厅关于进一步加强我省交通建设工</w:t>
      </w:r>
      <w:r>
        <w:rPr>
          <w:rFonts w:ascii="宋体" w:hAnsi="宋体" w:cs="宋体"/>
          <w:color w:val="000000" w:themeColor="text1"/>
          <w:sz w:val="24"/>
          <w:highlight w:val="none"/>
          <w14:textFill>
            <w14:solidFill>
              <w14:schemeClr w14:val="tx1"/>
            </w14:solidFill>
          </w14:textFill>
        </w:rPr>
        <w:t>程混凝土用砂质量管理的通知》（粤交质管字〔2022〕11</w:t>
      </w:r>
      <w:r>
        <w:rPr>
          <w:rFonts w:ascii="宋体" w:hAnsi="宋体" w:cs="宋体"/>
          <w:color w:val="000000" w:themeColor="text1"/>
          <w:spacing w:val="-1"/>
          <w:sz w:val="24"/>
          <w:highlight w:val="none"/>
          <w14:textFill>
            <w14:solidFill>
              <w14:schemeClr w14:val="tx1"/>
            </w14:solidFill>
          </w14:textFill>
        </w:rPr>
        <w:t>0</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号）的规定执行，建立健全</w:t>
      </w:r>
      <w:r>
        <w:rPr>
          <w:rFonts w:ascii="宋体" w:hAnsi="宋体" w:cs="宋体"/>
          <w:color w:val="000000" w:themeColor="text1"/>
          <w:spacing w:val="-2"/>
          <w:sz w:val="24"/>
          <w:highlight w:val="none"/>
          <w14:textFill>
            <w14:solidFill>
              <w14:schemeClr w14:val="tx1"/>
            </w14:solidFill>
          </w14:textFill>
        </w:rPr>
        <w:t>混凝土用天然砂管理制度。承包人要完善混凝土用砂采购、运输、进场检验和使用管理制度，择优选择合法的砂源、信誉良好的供应商和备选供应商，不得违规采用海砂拌制混凝土。严格落实砂料入仓前逐车、逐船氯离子含量快速筛查及含泥量检测措施，发现异常时直接拒绝进场，杜绝出现海砂入仓情况。进场检验台账至少包含产地、品种、数量、日期、进货批号、检测结果等信息，不同产地、品种的砂应分别堆放并有明显、准确的标识。砂料入库时要安排专业技术人员进行跟踪核查，发现同一来源不同时段入仓的砂在外观上存在显著差异，或者含泥、贝壳较多时，要及时封存并安排检验。当连续</w:t>
      </w:r>
      <w:r>
        <w:rPr>
          <w:rFonts w:ascii="宋体" w:hAnsi="宋体" w:cs="宋体"/>
          <w:color w:val="000000" w:themeColor="text1"/>
          <w:sz w:val="24"/>
          <w:highlight w:val="none"/>
          <w14:textFill>
            <w14:solidFill>
              <w14:schemeClr w14:val="tx1"/>
            </w14:solidFill>
          </w14:textFill>
        </w:rPr>
        <w:t>两批砂检验不合格时，要暂停商家供货资格，启用</w:t>
      </w:r>
      <w:r>
        <w:rPr>
          <w:rFonts w:ascii="宋体" w:hAnsi="宋体" w:cs="宋体"/>
          <w:color w:val="000000" w:themeColor="text1"/>
          <w:spacing w:val="-1"/>
          <w:sz w:val="24"/>
          <w:highlight w:val="none"/>
          <w14:textFill>
            <w14:solidFill>
              <w14:schemeClr w14:val="tx1"/>
            </w14:solidFill>
          </w14:textFill>
        </w:rPr>
        <w:t>经批准的合格备选货源。</w:t>
      </w:r>
    </w:p>
    <w:p w14:paraId="28E5DF2F">
      <w:pPr>
        <w:spacing w:line="360" w:lineRule="auto"/>
        <w:ind w:left="10" w:right="11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工程所需设备、材料如因供应的规格、数量</w:t>
      </w:r>
      <w:r>
        <w:rPr>
          <w:rFonts w:ascii="宋体" w:hAnsi="宋体" w:cs="宋体"/>
          <w:color w:val="000000" w:themeColor="text1"/>
          <w:spacing w:val="-7"/>
          <w:sz w:val="24"/>
          <w:highlight w:val="none"/>
          <w14:textFill>
            <w14:solidFill>
              <w14:schemeClr w14:val="tx1"/>
            </w14:solidFill>
          </w14:textFill>
        </w:rPr>
        <w:t>等不能满足工程建设要求而需要更换时，</w:t>
      </w:r>
      <w:r>
        <w:rPr>
          <w:rFonts w:ascii="宋体" w:hAnsi="宋体" w:cs="宋体"/>
          <w:color w:val="000000" w:themeColor="text1"/>
          <w:spacing w:val="-1"/>
          <w:sz w:val="24"/>
          <w:highlight w:val="none"/>
          <w14:textFill>
            <w14:solidFill>
              <w14:schemeClr w14:val="tx1"/>
            </w14:solidFill>
          </w14:textFill>
        </w:rPr>
        <w:t>按发包人材料管理办法办理相关手续，但不因此免除承包人的责任。</w:t>
      </w:r>
    </w:p>
    <w:p w14:paraId="6C32E73B">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5.1.8 材料的防护、标识和可追溯性</w:t>
      </w:r>
    </w:p>
    <w:p w14:paraId="04C0A937">
      <w:pPr>
        <w:spacing w:line="360" w:lineRule="auto"/>
        <w:ind w:left="7" w:right="173"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承包人应根据材料特性对材料的运输、储存和保管的方法予以规定和执行，防止材</w:t>
      </w:r>
      <w:r>
        <w:rPr>
          <w:rFonts w:ascii="宋体" w:hAnsi="宋体" w:cs="宋体"/>
          <w:color w:val="000000" w:themeColor="text1"/>
          <w:spacing w:val="-1"/>
          <w:sz w:val="24"/>
          <w:highlight w:val="none"/>
          <w14:textFill>
            <w14:solidFill>
              <w14:schemeClr w14:val="tx1"/>
            </w14:solidFill>
          </w14:textFill>
        </w:rPr>
        <w:t>料发生损坏、混淆、变质和受到污染。各种原材料、半成品</w:t>
      </w:r>
      <w:r>
        <w:rPr>
          <w:rFonts w:ascii="宋体" w:hAnsi="宋体" w:cs="宋体"/>
          <w:color w:val="000000" w:themeColor="text1"/>
          <w:spacing w:val="-2"/>
          <w:sz w:val="24"/>
          <w:highlight w:val="none"/>
          <w14:textFill>
            <w14:solidFill>
              <w14:schemeClr w14:val="tx1"/>
            </w14:solidFill>
          </w14:textFill>
        </w:rPr>
        <w:t>的储存方式及所用的仓库、</w:t>
      </w:r>
      <w:r>
        <w:rPr>
          <w:rFonts w:ascii="宋体" w:hAnsi="宋体" w:cs="宋体"/>
          <w:color w:val="000000" w:themeColor="text1"/>
          <w:spacing w:val="-1"/>
          <w:sz w:val="24"/>
          <w:highlight w:val="none"/>
          <w14:textFill>
            <w14:solidFill>
              <w14:schemeClr w14:val="tx1"/>
            </w14:solidFill>
          </w14:textFill>
        </w:rPr>
        <w:t>储罐、场地等应提前得到监理人的同意和确认。</w:t>
      </w:r>
    </w:p>
    <w:p w14:paraId="5B3EE80D">
      <w:pPr>
        <w:spacing w:line="360" w:lineRule="auto"/>
        <w:ind w:left="17" w:right="181" w:firstLine="47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承包人应对材料的种类、特性和检验状态进行标识，确保每批材料保持良好状态并</w:t>
      </w:r>
      <w:r>
        <w:rPr>
          <w:rFonts w:ascii="宋体" w:hAnsi="宋体" w:cs="宋体"/>
          <w:color w:val="000000" w:themeColor="text1"/>
          <w:spacing w:val="-1"/>
          <w:sz w:val="24"/>
          <w:highlight w:val="none"/>
          <w14:textFill>
            <w14:solidFill>
              <w14:schemeClr w14:val="tx1"/>
            </w14:solidFill>
          </w14:textFill>
        </w:rPr>
        <w:t>能追溯到采购日期、供应商和相关的质量证明文件。</w:t>
      </w:r>
    </w:p>
    <w:p w14:paraId="7F51984A">
      <w:pPr>
        <w:spacing w:line="360" w:lineRule="auto"/>
        <w:ind w:left="8"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承包人在施工现场应建立原材料的进出场台帐、质量检验和质量跟踪台帐。其内容应包括进货日期、材料名称、品种、规格、数量、生产单位、供货单位、质量证明书编</w:t>
      </w:r>
      <w:r>
        <w:rPr>
          <w:rFonts w:ascii="宋体" w:hAnsi="宋体" w:cs="宋体"/>
          <w:color w:val="000000" w:themeColor="text1"/>
          <w:spacing w:val="-1"/>
          <w:sz w:val="24"/>
          <w:highlight w:val="none"/>
          <w14:textFill>
            <w14:solidFill>
              <w14:schemeClr w14:val="tx1"/>
            </w14:solidFill>
          </w14:textFill>
        </w:rPr>
        <w:t>号、复试检验报告编号、检验结果和所用的工程部位等。</w:t>
      </w:r>
    </w:p>
    <w:p w14:paraId="10E807AD">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82" w:name="_Toc19818"/>
      <w:bookmarkStart w:id="183" w:name="_Toc26173"/>
      <w:r>
        <w:rPr>
          <w:rFonts w:ascii="宋体" w:hAnsi="宋体" w:cs="宋体"/>
          <w:color w:val="000000" w:themeColor="text1"/>
          <w:spacing w:val="-1"/>
          <w:sz w:val="24"/>
          <w:highlight w:val="none"/>
          <w14:textFill>
            <w14:solidFill>
              <w14:schemeClr w14:val="tx1"/>
            </w14:solidFill>
          </w14:textFill>
        </w:rPr>
        <w:t>5.2 发包人提供的材料和工程设备</w:t>
      </w:r>
      <w:bookmarkEnd w:id="182"/>
      <w:bookmarkEnd w:id="183"/>
    </w:p>
    <w:p w14:paraId="59B2754F">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5.2.1</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项细化为：</w:t>
      </w:r>
    </w:p>
    <w:p w14:paraId="0F69CF82">
      <w:pPr>
        <w:spacing w:line="360" w:lineRule="auto"/>
        <w:ind w:left="9" w:right="18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5.2.1</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为确保本项目的建设质量，发包人将按4.3.15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款关于特殊分包人或</w:t>
      </w:r>
      <w:r>
        <w:rPr>
          <w:rFonts w:ascii="宋体" w:hAnsi="宋体" w:cs="宋体"/>
          <w:color w:val="000000" w:themeColor="text1"/>
          <w:spacing w:val="-3"/>
          <w:sz w:val="24"/>
          <w:highlight w:val="none"/>
          <w14:textFill>
            <w14:solidFill>
              <w14:schemeClr w14:val="tx1"/>
            </w14:solidFill>
          </w14:textFill>
        </w:rPr>
        <w:t>供货人的</w:t>
      </w:r>
      <w:r>
        <w:rPr>
          <w:rFonts w:ascii="宋体" w:hAnsi="宋体" w:cs="宋体"/>
          <w:color w:val="000000" w:themeColor="text1"/>
          <w:spacing w:val="-2"/>
          <w:sz w:val="24"/>
          <w:highlight w:val="none"/>
          <w14:textFill>
            <w14:solidFill>
              <w14:schemeClr w14:val="tx1"/>
            </w14:solidFill>
          </w14:textFill>
        </w:rPr>
        <w:t>规定，将本合同附件十《特殊材料设备供应一览表》（下称一览表）规定的材料设备通过招标方式选定材料设备供货人。材料设备供货人将按表列的价格向承包人提供材料设</w:t>
      </w:r>
      <w:r>
        <w:rPr>
          <w:rFonts w:ascii="宋体" w:hAnsi="宋体" w:cs="宋体"/>
          <w:color w:val="000000" w:themeColor="text1"/>
          <w:spacing w:val="-1"/>
          <w:sz w:val="24"/>
          <w:highlight w:val="none"/>
          <w14:textFill>
            <w14:solidFill>
              <w14:schemeClr w14:val="tx1"/>
            </w14:solidFill>
          </w14:textFill>
        </w:rPr>
        <w:t>备。对于此类特殊材料的供货，应满足以下规定：</w:t>
      </w:r>
    </w:p>
    <w:p w14:paraId="7618610F">
      <w:pPr>
        <w:spacing w:line="360" w:lineRule="auto"/>
        <w:ind w:left="7"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 发包人按一览表约定的内容提供材料设备，并负责向承包人提供产品合</w:t>
      </w:r>
      <w:r>
        <w:rPr>
          <w:rFonts w:ascii="宋体" w:hAnsi="宋体" w:cs="宋体"/>
          <w:color w:val="000000" w:themeColor="text1"/>
          <w:spacing w:val="-5"/>
          <w:sz w:val="24"/>
          <w:highlight w:val="none"/>
          <w14:textFill>
            <w14:solidFill>
              <w14:schemeClr w14:val="tx1"/>
            </w14:solidFill>
          </w14:textFill>
        </w:rPr>
        <w:t>格证明，</w:t>
      </w:r>
      <w:r>
        <w:rPr>
          <w:rFonts w:ascii="宋体" w:hAnsi="宋体" w:cs="宋体"/>
          <w:color w:val="000000" w:themeColor="text1"/>
          <w:sz w:val="24"/>
          <w:highlight w:val="none"/>
          <w14:textFill>
            <w14:solidFill>
              <w14:schemeClr w14:val="tx1"/>
            </w14:solidFill>
          </w14:textFill>
        </w:rPr>
        <w:t>对其真实性负责。但此项规定并不表明免除承包人检验</w:t>
      </w:r>
      <w:r>
        <w:rPr>
          <w:rFonts w:ascii="宋体" w:hAnsi="宋体" w:cs="宋体"/>
          <w:color w:val="000000" w:themeColor="text1"/>
          <w:spacing w:val="-1"/>
          <w:sz w:val="24"/>
          <w:highlight w:val="none"/>
          <w14:textFill>
            <w14:solidFill>
              <w14:schemeClr w14:val="tx1"/>
            </w14:solidFill>
          </w14:textFill>
        </w:rPr>
        <w:t>材料设备质量的责任。</w:t>
      </w:r>
    </w:p>
    <w:p w14:paraId="23ED7965">
      <w:pPr>
        <w:spacing w:line="360" w:lineRule="auto"/>
        <w:ind w:left="7" w:right="181"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 工程开工后，承包人应根据进度计划向发包人提出本款规定的材料设备使用计</w:t>
      </w:r>
      <w:r>
        <w:rPr>
          <w:rFonts w:ascii="宋体" w:hAnsi="宋体" w:cs="宋体"/>
          <w:color w:val="000000" w:themeColor="text1"/>
          <w:spacing w:val="-1"/>
          <w:sz w:val="24"/>
          <w:highlight w:val="none"/>
          <w14:textFill>
            <w14:solidFill>
              <w14:schemeClr w14:val="tx1"/>
            </w14:solidFill>
          </w14:textFill>
        </w:rPr>
        <w:t>划，由发包人按计划提供材料。</w:t>
      </w:r>
    </w:p>
    <w:p w14:paraId="1BD06882">
      <w:pPr>
        <w:spacing w:line="360" w:lineRule="auto"/>
        <w:ind w:left="8" w:right="181"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 发包人在所供材料设备到货前</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24</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小时，以书</w:t>
      </w:r>
      <w:r>
        <w:rPr>
          <w:rFonts w:ascii="宋体" w:hAnsi="宋体" w:cs="宋体"/>
          <w:color w:val="000000" w:themeColor="text1"/>
          <w:spacing w:val="-1"/>
          <w:sz w:val="24"/>
          <w:highlight w:val="none"/>
          <w14:textFill>
            <w14:solidFill>
              <w14:schemeClr w14:val="tx1"/>
            </w14:solidFill>
          </w14:textFill>
        </w:rPr>
        <w:t>面形式通知承包人；到货时，由承包人派人清点，必要时，发包人可派人参加。</w:t>
      </w:r>
    </w:p>
    <w:p w14:paraId="25C096D1">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 材料设备办理清点交接手续后，承包人承担产品的储存、保管责任。</w:t>
      </w:r>
    </w:p>
    <w:p w14:paraId="59025EB6">
      <w:pPr>
        <w:spacing w:line="360" w:lineRule="auto"/>
        <w:ind w:left="10" w:right="80"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(5) 一览表约定的数量为暂定数量，发包人按承包人实际接收材料设备数量进行结</w:t>
      </w:r>
      <w:r>
        <w:rPr>
          <w:rFonts w:ascii="宋体" w:hAnsi="宋体" w:cs="宋体"/>
          <w:color w:val="000000" w:themeColor="text1"/>
          <w:spacing w:val="-6"/>
          <w:sz w:val="24"/>
          <w:highlight w:val="none"/>
          <w14:textFill>
            <w14:solidFill>
              <w14:schemeClr w14:val="tx1"/>
            </w14:solidFill>
          </w14:textFill>
        </w:rPr>
        <w:t>算。</w:t>
      </w:r>
    </w:p>
    <w:p w14:paraId="4DF29FB1">
      <w:pPr>
        <w:spacing w:line="360" w:lineRule="auto"/>
        <w:ind w:left="6" w:right="80" w:firstLine="52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(6) 一览表约定的到货地点不一致时，发包人负责运达一览表指定地点；发包人采</w:t>
      </w:r>
      <w:r>
        <w:rPr>
          <w:rFonts w:ascii="宋体" w:hAnsi="宋体" w:cs="宋体"/>
          <w:color w:val="000000" w:themeColor="text1"/>
          <w:sz w:val="24"/>
          <w:highlight w:val="none"/>
          <w14:textFill>
            <w14:solidFill>
              <w14:schemeClr w14:val="tx1"/>
            </w14:solidFill>
          </w14:textFill>
        </w:rPr>
        <w:t>购单价与一览表材料设备单价不符，发包人仅</w:t>
      </w:r>
      <w:r>
        <w:rPr>
          <w:rFonts w:ascii="宋体" w:hAnsi="宋体" w:cs="宋体"/>
          <w:color w:val="000000" w:themeColor="text1"/>
          <w:spacing w:val="-1"/>
          <w:sz w:val="24"/>
          <w:highlight w:val="none"/>
          <w14:textFill>
            <w14:solidFill>
              <w14:schemeClr w14:val="tx1"/>
            </w14:solidFill>
          </w14:textFill>
        </w:rPr>
        <w:t>承担价差（含税）。</w:t>
      </w:r>
    </w:p>
    <w:p w14:paraId="374C95C5">
      <w:pPr>
        <w:spacing w:line="360" w:lineRule="auto"/>
        <w:ind w:left="9"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(7) 发包人供应的材料设备使用前，由承包人负责检验或试验，品种、规格、型号</w:t>
      </w:r>
      <w:r>
        <w:rPr>
          <w:rFonts w:ascii="宋体" w:hAnsi="宋体" w:cs="宋体"/>
          <w:color w:val="000000" w:themeColor="text1"/>
          <w:sz w:val="24"/>
          <w:highlight w:val="none"/>
          <w14:textFill>
            <w14:solidFill>
              <w14:schemeClr w14:val="tx1"/>
            </w14:solidFill>
          </w14:textFill>
        </w:rPr>
        <w:t>或质量与一览表不符的，承包人可拒绝接收，发包人应负责</w:t>
      </w:r>
      <w:r>
        <w:rPr>
          <w:rFonts w:ascii="宋体" w:hAnsi="宋体" w:cs="宋体"/>
          <w:color w:val="000000" w:themeColor="text1"/>
          <w:spacing w:val="-1"/>
          <w:sz w:val="24"/>
          <w:highlight w:val="none"/>
          <w14:textFill>
            <w14:solidFill>
              <w14:schemeClr w14:val="tx1"/>
            </w14:solidFill>
          </w14:textFill>
        </w:rPr>
        <w:t>运出施工场地并重新采购；</w:t>
      </w:r>
      <w:r>
        <w:rPr>
          <w:rFonts w:ascii="宋体" w:hAnsi="宋体" w:cs="宋体"/>
          <w:color w:val="000000" w:themeColor="text1"/>
          <w:spacing w:val="-6"/>
          <w:sz w:val="24"/>
          <w:highlight w:val="none"/>
          <w14:textFill>
            <w14:solidFill>
              <w14:schemeClr w14:val="tx1"/>
            </w14:solidFill>
          </w14:textFill>
        </w:rPr>
        <w:t>品种、规格或型号与一览表不符但质量经检验合格的，经监理人同意，可调剂串换使用。</w:t>
      </w:r>
      <w:r>
        <w:rPr>
          <w:rFonts w:ascii="宋体" w:hAnsi="宋体" w:cs="宋体"/>
          <w:color w:val="000000" w:themeColor="text1"/>
          <w:spacing w:val="-2"/>
          <w:sz w:val="24"/>
          <w:highlight w:val="none"/>
          <w14:textFill>
            <w14:solidFill>
              <w14:schemeClr w14:val="tx1"/>
            </w14:solidFill>
          </w14:textFill>
        </w:rPr>
        <w:t>若上述不符是属于承包人责任造成的，则因此而增加的相应费用由承包人承担。若上述不符是属于非承包人责任造成的，并因此引起承包人工期延误或费用增加，则由发包人</w:t>
      </w:r>
      <w:r>
        <w:rPr>
          <w:rFonts w:ascii="宋体" w:hAnsi="宋体" w:cs="宋体"/>
          <w:color w:val="000000" w:themeColor="text1"/>
          <w:spacing w:val="-3"/>
          <w:sz w:val="24"/>
          <w:highlight w:val="none"/>
          <w14:textFill>
            <w14:solidFill>
              <w14:schemeClr w14:val="tx1"/>
            </w14:solidFill>
          </w14:textFill>
        </w:rPr>
        <w:t>负责赔偿。</w:t>
      </w:r>
    </w:p>
    <w:p w14:paraId="320B0D21">
      <w:pPr>
        <w:spacing w:line="360" w:lineRule="auto"/>
        <w:ind w:left="13" w:right="80" w:firstLine="5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(8) 为恰当和正确地使用、安装和实施这些材料和工程设备所必需的但一览表中未</w:t>
      </w:r>
      <w:r>
        <w:rPr>
          <w:rFonts w:ascii="宋体" w:hAnsi="宋体" w:cs="宋体"/>
          <w:color w:val="000000" w:themeColor="text1"/>
          <w:spacing w:val="-1"/>
          <w:sz w:val="24"/>
          <w:highlight w:val="none"/>
          <w14:textFill>
            <w14:solidFill>
              <w14:schemeClr w14:val="tx1"/>
            </w14:solidFill>
          </w14:textFill>
        </w:rPr>
        <w:t>列明的其他任何辅助性材料以及人工费应已经包含在承包人的合同总价中。</w:t>
      </w:r>
    </w:p>
    <w:p w14:paraId="607FEFF7">
      <w:pPr>
        <w:spacing w:line="360" w:lineRule="auto"/>
        <w:ind w:left="7" w:right="80"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(9) 发包人供应的材料设备款，发包人将在供应后一个至两个月内从承包人工程进</w:t>
      </w:r>
      <w:r>
        <w:rPr>
          <w:rFonts w:ascii="宋体" w:hAnsi="宋体" w:cs="宋体"/>
          <w:color w:val="000000" w:themeColor="text1"/>
          <w:spacing w:val="-2"/>
          <w:sz w:val="24"/>
          <w:highlight w:val="none"/>
          <w14:textFill>
            <w14:solidFill>
              <w14:schemeClr w14:val="tx1"/>
            </w14:solidFill>
          </w14:textFill>
        </w:rPr>
        <w:t>度款中扣回。但为保证材料设备款在交工验收时得到全额扣回，发包人有权调整扣回时间及比例。</w:t>
      </w:r>
    </w:p>
    <w:p w14:paraId="61123AC4">
      <w:pPr>
        <w:spacing w:line="360" w:lineRule="auto"/>
        <w:ind w:left="9" w:right="20"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(10) 如发包人需采用任何从国（境）</w:t>
      </w:r>
      <w:r>
        <w:rPr>
          <w:rFonts w:ascii="宋体" w:hAnsi="宋体" w:cs="宋体"/>
          <w:color w:val="000000" w:themeColor="text1"/>
          <w:sz w:val="24"/>
          <w:highlight w:val="none"/>
          <w14:textFill>
            <w14:solidFill>
              <w14:schemeClr w14:val="tx1"/>
            </w14:solidFill>
          </w14:textFill>
        </w:rPr>
        <w:t>外进口材料和工程设备，且这些进口的材料</w:t>
      </w:r>
      <w:r>
        <w:rPr>
          <w:rFonts w:ascii="宋体" w:hAnsi="宋体" w:cs="宋体"/>
          <w:color w:val="000000" w:themeColor="text1"/>
          <w:spacing w:val="-2"/>
          <w:sz w:val="24"/>
          <w:highlight w:val="none"/>
          <w14:textFill>
            <w14:solidFill>
              <w14:schemeClr w14:val="tx1"/>
            </w14:solidFill>
          </w14:textFill>
        </w:rPr>
        <w:t>和工程设备直接由发包人负责采购和办理进口，则由发包人承担进口材料和工程设备的一切开支，负责办理与此类进口有关的申请、许可、证书、外汇使用等手续并承担相应的费用。如果由于发包人原因导致进口材料和工程设备不能按计划运抵现场致使工程延</w:t>
      </w:r>
      <w:r>
        <w:rPr>
          <w:rFonts w:ascii="宋体" w:hAnsi="宋体" w:cs="宋体"/>
          <w:color w:val="000000" w:themeColor="text1"/>
          <w:spacing w:val="-6"/>
          <w:sz w:val="24"/>
          <w:highlight w:val="none"/>
          <w14:textFill>
            <w14:solidFill>
              <w14:schemeClr w14:val="tx1"/>
            </w14:solidFill>
          </w14:textFill>
        </w:rPr>
        <w:t>误，承包人应就此通知监理人，监理人在收到此类通知并与承包人适当协商</w:t>
      </w:r>
      <w:r>
        <w:rPr>
          <w:rFonts w:ascii="宋体" w:hAnsi="宋体" w:cs="宋体"/>
          <w:color w:val="000000" w:themeColor="text1"/>
          <w:spacing w:val="-7"/>
          <w:sz w:val="24"/>
          <w:highlight w:val="none"/>
          <w14:textFill>
            <w14:solidFill>
              <w14:schemeClr w14:val="tx1"/>
            </w14:solidFill>
          </w14:textFill>
        </w:rPr>
        <w:t>之后应决定：</w:t>
      </w:r>
      <w:r>
        <w:rPr>
          <w:rFonts w:ascii="宋体" w:hAnsi="宋体" w:cs="宋体"/>
          <w:color w:val="000000" w:themeColor="text1"/>
          <w:spacing w:val="1"/>
          <w:sz w:val="24"/>
          <w:highlight w:val="none"/>
          <w14:textFill>
            <w14:solidFill>
              <w14:schemeClr w14:val="tx1"/>
            </w14:solidFill>
          </w14:textFill>
        </w:rPr>
        <w:t>依据第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11.3</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款规定承包人是否可以延长工</w:t>
      </w:r>
      <w:r>
        <w:rPr>
          <w:rFonts w:ascii="宋体" w:hAnsi="宋体" w:cs="宋体"/>
          <w:color w:val="000000" w:themeColor="text1"/>
          <w:sz w:val="24"/>
          <w:highlight w:val="none"/>
          <w14:textFill>
            <w14:solidFill>
              <w14:schemeClr w14:val="tx1"/>
            </w14:solidFill>
          </w14:textFill>
        </w:rPr>
        <w:t>期，承包人由此而发生的额外费用是否增加</w:t>
      </w:r>
      <w:r>
        <w:rPr>
          <w:rFonts w:ascii="宋体" w:hAnsi="宋体" w:cs="宋体"/>
          <w:color w:val="000000" w:themeColor="text1"/>
          <w:spacing w:val="-2"/>
          <w:sz w:val="24"/>
          <w:highlight w:val="none"/>
          <w14:textFill>
            <w14:solidFill>
              <w14:schemeClr w14:val="tx1"/>
            </w14:solidFill>
          </w14:textFill>
        </w:rPr>
        <w:t>到合同价中。</w:t>
      </w:r>
    </w:p>
    <w:p w14:paraId="3E1BCF85">
      <w:pPr>
        <w:spacing w:line="360" w:lineRule="auto"/>
        <w:ind w:left="1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没有发包人的书面同意，承包人不得自行采购</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5.2.1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款规</w:t>
      </w:r>
      <w:r>
        <w:rPr>
          <w:rFonts w:ascii="宋体" w:hAnsi="宋体" w:cs="宋体"/>
          <w:color w:val="000000" w:themeColor="text1"/>
          <w:spacing w:val="-3"/>
          <w:sz w:val="24"/>
          <w:highlight w:val="none"/>
          <w14:textFill>
            <w14:solidFill>
              <w14:schemeClr w14:val="tx1"/>
            </w14:solidFill>
          </w14:textFill>
        </w:rPr>
        <w:t>定的材料和工程设备，否</w:t>
      </w:r>
      <w:r>
        <w:rPr>
          <w:rFonts w:ascii="宋体" w:hAnsi="宋体" w:cs="宋体"/>
          <w:color w:val="000000" w:themeColor="text1"/>
          <w:spacing w:val="-6"/>
          <w:sz w:val="24"/>
          <w:highlight w:val="none"/>
          <w14:textFill>
            <w14:solidFill>
              <w14:schemeClr w14:val="tx1"/>
            </w14:solidFill>
          </w14:textFill>
        </w:rPr>
        <w:t>则监理人、发包人将拒绝使用这些材料和工程设备，承包人应赔偿由此带来的一切损失。</w:t>
      </w:r>
      <w:r>
        <w:rPr>
          <w:rFonts w:ascii="宋体" w:hAnsi="宋体" w:cs="宋体"/>
          <w:color w:val="000000" w:themeColor="text1"/>
          <w:sz w:val="24"/>
          <w:highlight w:val="none"/>
          <w14:textFill>
            <w14:solidFill>
              <w14:schemeClr w14:val="tx1"/>
            </w14:solidFill>
          </w14:textFill>
        </w:rPr>
        <w:t>无论出现任何情况，承包人均不得售卖发包人供应的材料和工程设备，否则一经查实，</w:t>
      </w:r>
      <w:r>
        <w:rPr>
          <w:rFonts w:ascii="宋体" w:hAnsi="宋体" w:cs="宋体"/>
          <w:color w:val="000000" w:themeColor="text1"/>
          <w:spacing w:val="-1"/>
          <w:sz w:val="24"/>
          <w:highlight w:val="none"/>
          <w14:textFill>
            <w14:solidFill>
              <w14:schemeClr w14:val="tx1"/>
            </w14:solidFill>
          </w14:textFill>
        </w:rPr>
        <w:t>发包人有权对承包人处以售卖材料或工程设备金额两倍的违约金。</w:t>
      </w:r>
    </w:p>
    <w:p w14:paraId="101D8AC4">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84" w:name="_Toc24985"/>
      <w:bookmarkStart w:id="185" w:name="_Toc18805"/>
      <w:r>
        <w:rPr>
          <w:rFonts w:ascii="宋体" w:hAnsi="宋体" w:cs="宋体"/>
          <w:color w:val="000000" w:themeColor="text1"/>
          <w:spacing w:val="-1"/>
          <w:sz w:val="24"/>
          <w:highlight w:val="none"/>
          <w14:textFill>
            <w14:solidFill>
              <w14:schemeClr w14:val="tx1"/>
            </w14:solidFill>
          </w14:textFill>
        </w:rPr>
        <w:t>5.4 禁止使用不合格的材料和工程设备</w:t>
      </w:r>
      <w:bookmarkEnd w:id="184"/>
      <w:bookmarkEnd w:id="185"/>
    </w:p>
    <w:p w14:paraId="739FDDF2">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在</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5.4.2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项末尾增加：承包人还应承担由此</w:t>
      </w:r>
      <w:r>
        <w:rPr>
          <w:rFonts w:ascii="宋体" w:hAnsi="宋体" w:cs="宋体"/>
          <w:color w:val="000000" w:themeColor="text1"/>
          <w:spacing w:val="-2"/>
          <w:sz w:val="24"/>
          <w:highlight w:val="none"/>
          <w14:textFill>
            <w14:solidFill>
              <w14:schemeClr w14:val="tx1"/>
            </w14:solidFill>
          </w14:textFill>
        </w:rPr>
        <w:t>带来的一切损失。</w:t>
      </w:r>
    </w:p>
    <w:p w14:paraId="61F14BDA">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本条补充第 5.5</w:t>
      </w:r>
      <w:r>
        <w:rPr>
          <w:rFonts w:ascii="宋体" w:hAnsi="宋体" w:cs="宋体"/>
          <w:color w:val="000000" w:themeColor="text1"/>
          <w:spacing w:val="1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款-第</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5.8</w:t>
      </w:r>
      <w:r>
        <w:rPr>
          <w:rFonts w:ascii="宋体" w:hAnsi="宋体" w:cs="宋体"/>
          <w:color w:val="000000" w:themeColor="text1"/>
          <w:spacing w:val="1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w:t>
      </w:r>
    </w:p>
    <w:p w14:paraId="782BE681">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86" w:name="_Toc31499"/>
      <w:bookmarkStart w:id="187" w:name="_Toc1046"/>
      <w:r>
        <w:rPr>
          <w:rFonts w:ascii="宋体" w:hAnsi="宋体" w:cs="宋体"/>
          <w:color w:val="000000" w:themeColor="text1"/>
          <w:spacing w:val="-3"/>
          <w:sz w:val="24"/>
          <w:highlight w:val="none"/>
          <w14:textFill>
            <w14:solidFill>
              <w14:schemeClr w14:val="tx1"/>
            </w14:solidFill>
          </w14:textFill>
        </w:rPr>
        <w:t>5.5</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代用材料的使用</w:t>
      </w:r>
      <w:bookmarkEnd w:id="186"/>
      <w:bookmarkEnd w:id="187"/>
    </w:p>
    <w:p w14:paraId="7EEEBBD4">
      <w:pPr>
        <w:spacing w:line="360" w:lineRule="auto"/>
        <w:ind w:left="9"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5.5.1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承包人需要使用代用材料时，应经监理人认可</w:t>
      </w:r>
      <w:r>
        <w:rPr>
          <w:rFonts w:ascii="宋体" w:hAnsi="宋体" w:cs="宋体"/>
          <w:color w:val="000000" w:themeColor="text1"/>
          <w:spacing w:val="-1"/>
          <w:sz w:val="24"/>
          <w:highlight w:val="none"/>
          <w14:textFill>
            <w14:solidFill>
              <w14:schemeClr w14:val="tx1"/>
            </w14:solidFill>
          </w14:textFill>
        </w:rPr>
        <w:t>并由发包人同意后才能使用，</w:t>
      </w:r>
      <w:r>
        <w:rPr>
          <w:rFonts w:ascii="宋体" w:hAnsi="宋体" w:cs="宋体"/>
          <w:color w:val="000000" w:themeColor="text1"/>
          <w:spacing w:val="-2"/>
          <w:sz w:val="24"/>
          <w:highlight w:val="none"/>
          <w14:textFill>
            <w14:solidFill>
              <w14:schemeClr w14:val="tx1"/>
            </w14:solidFill>
          </w14:textFill>
        </w:rPr>
        <w:t>由此增减的合同价款双方以书面形式议定。承包人申请使用代用材料，仅限于出现下列</w:t>
      </w:r>
      <w:r>
        <w:rPr>
          <w:rFonts w:ascii="宋体" w:hAnsi="宋体" w:cs="宋体"/>
          <w:color w:val="000000" w:themeColor="text1"/>
          <w:spacing w:val="-3"/>
          <w:sz w:val="24"/>
          <w:highlight w:val="none"/>
          <w14:textFill>
            <w14:solidFill>
              <w14:schemeClr w14:val="tx1"/>
            </w14:solidFill>
          </w14:textFill>
        </w:rPr>
        <w:t>情况时：</w:t>
      </w:r>
    </w:p>
    <w:p w14:paraId="5A7013A3">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(1)市场上无供应或在一定时间内突然供应短缺；</w:t>
      </w:r>
    </w:p>
    <w:p w14:paraId="6F5609EB">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(2)政府或有关管理机构的后继规章、规定禁止</w:t>
      </w:r>
      <w:r>
        <w:rPr>
          <w:rFonts w:ascii="宋体" w:hAnsi="宋体" w:cs="宋体"/>
          <w:color w:val="000000" w:themeColor="text1"/>
          <w:spacing w:val="-3"/>
          <w:sz w:val="24"/>
          <w:highlight w:val="none"/>
          <w14:textFill>
            <w14:solidFill>
              <w14:schemeClr w14:val="tx1"/>
            </w14:solidFill>
          </w14:textFill>
        </w:rPr>
        <w:t>使用；</w:t>
      </w:r>
    </w:p>
    <w:p w14:paraId="094E2ED4">
      <w:pPr>
        <w:spacing w:line="360" w:lineRule="auto"/>
        <w:ind w:left="9" w:right="61"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(3)发包人或监理人要求使用其他替代品</w:t>
      </w:r>
      <w:r>
        <w:rPr>
          <w:rFonts w:ascii="宋体" w:hAnsi="宋体" w:cs="宋体"/>
          <w:color w:val="000000" w:themeColor="text1"/>
          <w:sz w:val="24"/>
          <w:highlight w:val="none"/>
          <w14:textFill>
            <w14:solidFill>
              <w14:schemeClr w14:val="tx1"/>
            </w14:solidFill>
          </w14:textFill>
        </w:rPr>
        <w:t>；或者承包人提出，发包人和监理人批准</w:t>
      </w:r>
      <w:r>
        <w:rPr>
          <w:rFonts w:ascii="宋体" w:hAnsi="宋体" w:cs="宋体"/>
          <w:color w:val="000000" w:themeColor="text1"/>
          <w:spacing w:val="-2"/>
          <w:sz w:val="24"/>
          <w:highlight w:val="none"/>
          <w14:textFill>
            <w14:solidFill>
              <w14:schemeClr w14:val="tx1"/>
            </w14:solidFill>
          </w14:textFill>
        </w:rPr>
        <w:t>使用其他替代品；</w:t>
      </w:r>
    </w:p>
    <w:p w14:paraId="246AE304">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(4)其他原因导致使用替代品成为必要的。</w:t>
      </w:r>
    </w:p>
    <w:p w14:paraId="784D525A">
      <w:pPr>
        <w:spacing w:line="360" w:lineRule="auto"/>
        <w:ind w:left="15" w:right="61"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如果使用代用材料，承包人应在使用前至少</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14</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天，以书面形式通知监理人并提交</w:t>
      </w:r>
      <w:r>
        <w:rPr>
          <w:rFonts w:ascii="宋体" w:hAnsi="宋体" w:cs="宋体"/>
          <w:color w:val="000000" w:themeColor="text1"/>
          <w:spacing w:val="-4"/>
          <w:sz w:val="24"/>
          <w:highlight w:val="none"/>
          <w14:textFill>
            <w14:solidFill>
              <w14:schemeClr w14:val="tx1"/>
            </w14:solidFill>
          </w14:textFill>
        </w:rPr>
        <w:t>下列文件：</w:t>
      </w:r>
    </w:p>
    <w:p w14:paraId="0BAD32C0">
      <w:pPr>
        <w:spacing w:line="360" w:lineRule="auto"/>
        <w:ind w:left="11" w:right="61" w:firstLine="51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(1)拟采用的替代品的名称、数量、规格</w:t>
      </w:r>
      <w:r>
        <w:rPr>
          <w:rFonts w:ascii="宋体" w:hAnsi="宋体" w:cs="宋体"/>
          <w:color w:val="000000" w:themeColor="text1"/>
          <w:sz w:val="24"/>
          <w:highlight w:val="none"/>
          <w14:textFill>
            <w14:solidFill>
              <w14:schemeClr w14:val="tx1"/>
            </w14:solidFill>
          </w14:textFill>
        </w:rPr>
        <w:t>、型号、品牌、性能、价格及其他必要的</w:t>
      </w:r>
      <w:r>
        <w:rPr>
          <w:rFonts w:ascii="宋体" w:hAnsi="宋体" w:cs="宋体"/>
          <w:color w:val="000000" w:themeColor="text1"/>
          <w:spacing w:val="-3"/>
          <w:sz w:val="24"/>
          <w:highlight w:val="none"/>
          <w14:textFill>
            <w14:solidFill>
              <w14:schemeClr w14:val="tx1"/>
            </w14:solidFill>
          </w14:textFill>
        </w:rPr>
        <w:t>详细资料；</w:t>
      </w:r>
    </w:p>
    <w:p w14:paraId="3A305E99">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(2)替代品使用的工程部位；</w:t>
      </w:r>
    </w:p>
    <w:p w14:paraId="7B20EAC6">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(3)采用替代品的理由和原因；</w:t>
      </w:r>
    </w:p>
    <w:p w14:paraId="1D6D4A1D">
      <w:pPr>
        <w:spacing w:line="360" w:lineRule="auto"/>
        <w:ind w:left="9" w:right="61"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(4)替代品与合同中约定的产品之间的差</w:t>
      </w:r>
      <w:r>
        <w:rPr>
          <w:rFonts w:ascii="宋体" w:hAnsi="宋体" w:cs="宋体"/>
          <w:color w:val="000000" w:themeColor="text1"/>
          <w:sz w:val="24"/>
          <w:highlight w:val="none"/>
          <w14:textFill>
            <w14:solidFill>
              <w14:schemeClr w14:val="tx1"/>
            </w14:solidFill>
          </w14:textFill>
        </w:rPr>
        <w:t>异以及使用替代品后可能对工程产生任何</w:t>
      </w:r>
      <w:r>
        <w:rPr>
          <w:rFonts w:ascii="宋体" w:hAnsi="宋体" w:cs="宋体"/>
          <w:color w:val="000000" w:themeColor="text1"/>
          <w:spacing w:val="-2"/>
          <w:sz w:val="24"/>
          <w:highlight w:val="none"/>
          <w14:textFill>
            <w14:solidFill>
              <w14:schemeClr w14:val="tx1"/>
            </w14:solidFill>
          </w14:textFill>
        </w:rPr>
        <w:t>方面的影响；</w:t>
      </w:r>
    </w:p>
    <w:p w14:paraId="7AAD2139">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(5)价格上的差异；</w:t>
      </w:r>
    </w:p>
    <w:p w14:paraId="355985F2">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(6)监理人为作出适当的决定而随时要求承包人提供的任何其他文件。</w:t>
      </w:r>
    </w:p>
    <w:p w14:paraId="512DB239">
      <w:pPr>
        <w:spacing w:line="360" w:lineRule="auto"/>
        <w:ind w:left="7" w:right="61"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监理人在收到此类通知及上述文件后，应在</w:t>
      </w:r>
      <w:r>
        <w:rPr>
          <w:rFonts w:ascii="宋体" w:hAnsi="宋体" w:cs="宋体"/>
          <w:color w:val="000000" w:themeColor="text1"/>
          <w:spacing w:val="-1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14</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天内作出审查意见，并报发包人批</w:t>
      </w:r>
      <w:r>
        <w:rPr>
          <w:rFonts w:ascii="宋体" w:hAnsi="宋体" w:cs="宋体"/>
          <w:color w:val="000000" w:themeColor="text1"/>
          <w:spacing w:val="-2"/>
          <w:sz w:val="24"/>
          <w:highlight w:val="none"/>
          <w14:textFill>
            <w14:solidFill>
              <w14:schemeClr w14:val="tx1"/>
            </w14:solidFill>
          </w14:textFill>
        </w:rPr>
        <w:t>准。发包人对使用替代品的批准以及承包人据此使用替代品不应解除承包人合同约定的任何职责和义务。任何情况下，使用替代品都应遵守本合同中其他对材料和工程设备的</w:t>
      </w:r>
    </w:p>
    <w:p w14:paraId="5F04C66F">
      <w:pPr>
        <w:spacing w:line="360" w:lineRule="auto"/>
        <w:ind w:left="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任何约定。</w:t>
      </w:r>
    </w:p>
    <w:p w14:paraId="18969AFE">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5.5.2  机制砂的使用</w:t>
      </w:r>
    </w:p>
    <w:p w14:paraId="199F603C">
      <w:pPr>
        <w:spacing w:line="360" w:lineRule="auto"/>
        <w:ind w:right="13"/>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机制砂应满足设计文件和技术规范的要求，并按照国家、省</w:t>
      </w:r>
      <w:r>
        <w:rPr>
          <w:rFonts w:ascii="宋体" w:hAnsi="宋体" w:cs="宋体"/>
          <w:color w:val="000000" w:themeColor="text1"/>
          <w:spacing w:val="-1"/>
          <w:sz w:val="24"/>
          <w:highlight w:val="none"/>
          <w14:textFill>
            <w14:solidFill>
              <w14:schemeClr w14:val="tx1"/>
            </w14:solidFill>
          </w14:textFill>
        </w:rPr>
        <w:t>有关文件的规定使用。</w:t>
      </w:r>
    </w:p>
    <w:p w14:paraId="52EEA888">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88" w:name="_Toc19502"/>
      <w:bookmarkStart w:id="189" w:name="_Toc2879"/>
      <w:r>
        <w:rPr>
          <w:rFonts w:ascii="宋体" w:hAnsi="宋体" w:cs="宋体"/>
          <w:color w:val="000000" w:themeColor="text1"/>
          <w:spacing w:val="-1"/>
          <w:sz w:val="24"/>
          <w:highlight w:val="none"/>
          <w14:textFill>
            <w14:solidFill>
              <w14:schemeClr w14:val="tx1"/>
            </w14:solidFill>
          </w14:textFill>
        </w:rPr>
        <w:t>5.6 材料、工程设备和工程的试验和检验</w:t>
      </w:r>
      <w:bookmarkEnd w:id="188"/>
      <w:bookmarkEnd w:id="189"/>
    </w:p>
    <w:p w14:paraId="6BEE0DFB">
      <w:pPr>
        <w:spacing w:line="360" w:lineRule="auto"/>
        <w:ind w:left="7"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5.6.1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承包人应按合同约定和技术标准，以及试验人的相关要求，建立工地试验室，</w:t>
      </w:r>
      <w:r>
        <w:rPr>
          <w:rFonts w:ascii="宋体" w:hAnsi="宋体" w:cs="宋体"/>
          <w:color w:val="000000" w:themeColor="text1"/>
          <w:spacing w:val="-2"/>
          <w:sz w:val="24"/>
          <w:highlight w:val="none"/>
          <w14:textFill>
            <w14:solidFill>
              <w14:schemeClr w14:val="tx1"/>
            </w14:solidFill>
          </w14:textFill>
        </w:rPr>
        <w:t>完善试验和检验体系，对材料、工程设备和工程的质量进行试验和检验，向监理履行报检程序，并为监理人、试验人对上述材料、工程设备和工程的质量检查，提供必要的试</w:t>
      </w:r>
      <w:r>
        <w:rPr>
          <w:rFonts w:ascii="宋体" w:hAnsi="宋体" w:cs="宋体"/>
          <w:color w:val="000000" w:themeColor="text1"/>
          <w:spacing w:val="-1"/>
          <w:sz w:val="24"/>
          <w:highlight w:val="none"/>
          <w14:textFill>
            <w14:solidFill>
              <w14:schemeClr w14:val="tx1"/>
            </w14:solidFill>
          </w14:textFill>
        </w:rPr>
        <w:t>验资料和原始记录。</w:t>
      </w:r>
    </w:p>
    <w:p w14:paraId="08A7DDA6">
      <w:pPr>
        <w:spacing w:line="360" w:lineRule="auto"/>
        <w:ind w:left="12"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5.6.2</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承包人应于工程开工前完成工地试验室建设和</w:t>
      </w:r>
      <w:r>
        <w:rPr>
          <w:rFonts w:ascii="宋体" w:hAnsi="宋体" w:cs="宋体"/>
          <w:color w:val="000000" w:themeColor="text1"/>
          <w:spacing w:val="-1"/>
          <w:sz w:val="24"/>
          <w:highlight w:val="none"/>
          <w14:textFill>
            <w14:solidFill>
              <w14:schemeClr w14:val="tx1"/>
            </w14:solidFill>
          </w14:textFill>
        </w:rPr>
        <w:t>资质认证工作，工地试验室建</w:t>
      </w:r>
      <w:r>
        <w:rPr>
          <w:rFonts w:ascii="宋体" w:hAnsi="宋体" w:cs="宋体"/>
          <w:color w:val="000000" w:themeColor="text1"/>
          <w:sz w:val="24"/>
          <w:highlight w:val="none"/>
          <w14:textFill>
            <w14:solidFill>
              <w14:schemeClr w14:val="tx1"/>
            </w14:solidFill>
          </w14:textFill>
        </w:rPr>
        <w:t>设、相关配置及管理应满足标准化要求，并按</w:t>
      </w:r>
      <w:r>
        <w:rPr>
          <w:rFonts w:ascii="宋体" w:hAnsi="宋体" w:cs="宋体"/>
          <w:color w:val="000000" w:themeColor="text1"/>
          <w:spacing w:val="-1"/>
          <w:sz w:val="24"/>
          <w:highlight w:val="none"/>
          <w14:textFill>
            <w14:solidFill>
              <w14:schemeClr w14:val="tx1"/>
            </w14:solidFill>
          </w14:textFill>
        </w:rPr>
        <w:t>发包人发布的项目管理制度执行。</w:t>
      </w:r>
    </w:p>
    <w:p w14:paraId="766E213D">
      <w:pPr>
        <w:spacing w:line="360" w:lineRule="auto"/>
        <w:ind w:left="8" w:right="80"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5.6.3</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承包人工地试验室资质范围以外的试验和检验</w:t>
      </w:r>
      <w:r>
        <w:rPr>
          <w:rFonts w:ascii="宋体" w:hAnsi="宋体" w:cs="宋体"/>
          <w:color w:val="000000" w:themeColor="text1"/>
          <w:spacing w:val="-1"/>
          <w:sz w:val="24"/>
          <w:highlight w:val="none"/>
          <w14:textFill>
            <w14:solidFill>
              <w14:schemeClr w14:val="tx1"/>
            </w14:solidFill>
          </w14:textFill>
        </w:rPr>
        <w:t>项目，经监理人和发包人同意</w:t>
      </w:r>
      <w:r>
        <w:rPr>
          <w:rFonts w:ascii="宋体" w:hAnsi="宋体" w:cs="宋体"/>
          <w:color w:val="000000" w:themeColor="text1"/>
          <w:spacing w:val="-2"/>
          <w:sz w:val="24"/>
          <w:highlight w:val="none"/>
          <w14:textFill>
            <w14:solidFill>
              <w14:schemeClr w14:val="tx1"/>
            </w14:solidFill>
          </w14:textFill>
        </w:rPr>
        <w:t>可对外委托具有相应资质的检测试验机构进行试验，但承包人应将检测试验机构有关资</w:t>
      </w:r>
      <w:r>
        <w:rPr>
          <w:rFonts w:ascii="宋体" w:hAnsi="宋体" w:cs="宋体"/>
          <w:color w:val="000000" w:themeColor="text1"/>
          <w:spacing w:val="-1"/>
          <w:sz w:val="24"/>
          <w:highlight w:val="none"/>
          <w14:textFill>
            <w14:solidFill>
              <w14:schemeClr w14:val="tx1"/>
            </w14:solidFill>
          </w14:textFill>
        </w:rPr>
        <w:t>料报备监理人和试验人。</w:t>
      </w:r>
    </w:p>
    <w:p w14:paraId="3CDFF7D6">
      <w:pPr>
        <w:spacing w:line="360" w:lineRule="auto"/>
        <w:ind w:left="7"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5.6.4 承包人根据合同约定或监理人指示进行的现场材料试验，应由承包人提供试</w:t>
      </w:r>
      <w:r>
        <w:rPr>
          <w:rFonts w:ascii="宋体" w:hAnsi="宋体" w:cs="宋体"/>
          <w:color w:val="000000" w:themeColor="text1"/>
          <w:spacing w:val="-1"/>
          <w:sz w:val="24"/>
          <w:highlight w:val="none"/>
          <w14:textFill>
            <w14:solidFill>
              <w14:schemeClr w14:val="tx1"/>
            </w14:solidFill>
          </w14:textFill>
        </w:rPr>
        <w:t>验场所、试验人员、试验设备器材以及其他必要的试验条件。</w:t>
      </w:r>
    </w:p>
    <w:p w14:paraId="464A37B5">
      <w:pPr>
        <w:spacing w:line="360" w:lineRule="auto"/>
        <w:ind w:left="12"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5.6.5 如有必要，发包人、监理人、试验人可以免费使用承包人的试验场所、试验设备器材以及其他试验条件，进行以工程质量检查为目的的复核性材料试验，承包人应</w:t>
      </w:r>
      <w:r>
        <w:rPr>
          <w:rFonts w:ascii="宋体" w:hAnsi="宋体" w:cs="宋体"/>
          <w:color w:val="000000" w:themeColor="text1"/>
          <w:spacing w:val="-3"/>
          <w:sz w:val="24"/>
          <w:highlight w:val="none"/>
          <w14:textFill>
            <w14:solidFill>
              <w14:schemeClr w14:val="tx1"/>
            </w14:solidFill>
          </w14:textFill>
        </w:rPr>
        <w:t>予以协助。</w:t>
      </w:r>
    </w:p>
    <w:p w14:paraId="6441C2B6">
      <w:pPr>
        <w:spacing w:line="360" w:lineRule="auto"/>
        <w:ind w:left="9"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5.6.6 承包人的试验和检验和外委试验应严格执</w:t>
      </w:r>
      <w:r>
        <w:rPr>
          <w:rFonts w:ascii="宋体" w:hAnsi="宋体" w:cs="宋体"/>
          <w:color w:val="000000" w:themeColor="text1"/>
          <w:spacing w:val="4"/>
          <w:sz w:val="24"/>
          <w:highlight w:val="none"/>
          <w14:textFill>
            <w14:solidFill>
              <w14:schemeClr w14:val="tx1"/>
            </w14:solidFill>
          </w14:textFill>
        </w:rPr>
        <w:t>行专用项目管理制度的相关规定</w:t>
      </w:r>
      <w:r>
        <w:rPr>
          <w:rFonts w:ascii="宋体" w:hAnsi="宋体" w:cs="宋体"/>
          <w:color w:val="000000" w:themeColor="text1"/>
          <w:spacing w:val="-6"/>
          <w:sz w:val="24"/>
          <w:highlight w:val="none"/>
          <w14:textFill>
            <w14:solidFill>
              <w14:schemeClr w14:val="tx1"/>
            </w14:solidFill>
          </w14:textFill>
        </w:rPr>
        <w:t>和要求。由承包人、监理人、试验人三方共同委外的检查项目的检测费用由承包人承担。</w:t>
      </w:r>
    </w:p>
    <w:p w14:paraId="20237C94">
      <w:pPr>
        <w:spacing w:line="360" w:lineRule="auto"/>
        <w:ind w:left="7"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5.6.7 承包人应根据材料、工程设备进场计划和工程施工计划，制订相应试验和检</w:t>
      </w:r>
      <w:r>
        <w:rPr>
          <w:rFonts w:ascii="宋体" w:hAnsi="宋体" w:cs="宋体"/>
          <w:color w:val="000000" w:themeColor="text1"/>
          <w:sz w:val="24"/>
          <w:highlight w:val="none"/>
          <w14:textFill>
            <w14:solidFill>
              <w14:schemeClr w14:val="tx1"/>
            </w14:solidFill>
          </w14:textFill>
        </w:rPr>
        <w:t>验计划，按计划开展试验检测工作，并将上述计划报</w:t>
      </w:r>
      <w:r>
        <w:rPr>
          <w:rFonts w:ascii="宋体" w:hAnsi="宋体" w:cs="宋体"/>
          <w:color w:val="000000" w:themeColor="text1"/>
          <w:spacing w:val="-1"/>
          <w:sz w:val="24"/>
          <w:highlight w:val="none"/>
          <w14:textFill>
            <w14:solidFill>
              <w14:schemeClr w14:val="tx1"/>
            </w14:solidFill>
          </w14:textFill>
        </w:rPr>
        <w:t>送监理人和和试验人。</w:t>
      </w:r>
    </w:p>
    <w:p w14:paraId="00A286A3">
      <w:pPr>
        <w:spacing w:line="360" w:lineRule="auto"/>
        <w:ind w:left="30" w:right="80" w:firstLine="46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5.6.8 承包人的试验和检验过程须接受监理人的旁站监督；承包人应接受试验检测</w:t>
      </w:r>
      <w:r>
        <w:rPr>
          <w:rFonts w:ascii="宋体" w:hAnsi="宋体" w:cs="宋体"/>
          <w:color w:val="000000" w:themeColor="text1"/>
          <w:spacing w:val="-1"/>
          <w:sz w:val="24"/>
          <w:highlight w:val="none"/>
          <w14:textFill>
            <w14:solidFill>
              <w14:schemeClr w14:val="tx1"/>
            </w14:solidFill>
          </w14:textFill>
        </w:rPr>
        <w:t>中心的监督指导，并按试验检测中心制定的管理制度开展试验检测工作。</w:t>
      </w:r>
    </w:p>
    <w:p w14:paraId="4FB40A2F">
      <w:pPr>
        <w:spacing w:line="360" w:lineRule="auto"/>
        <w:ind w:left="8" w:right="80"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5.6.9 监理人对承包人的试验和检验结果有疑问，或为查清承包人试验和检验成果的可靠性，要求承包人重新试验和检验时，可由监理人、试验人与承包人共同进行。重新试验和检验的结果证明该项材料、工程设备或工程的质量不符合合同要求的，由此增</w:t>
      </w:r>
      <w:r>
        <w:rPr>
          <w:rFonts w:ascii="宋体" w:hAnsi="宋体" w:cs="宋体"/>
          <w:color w:val="000000" w:themeColor="text1"/>
          <w:spacing w:val="-1"/>
          <w:sz w:val="24"/>
          <w:highlight w:val="none"/>
          <w14:textFill>
            <w14:solidFill>
              <w14:schemeClr w14:val="tx1"/>
            </w14:solidFill>
          </w14:textFill>
        </w:rPr>
        <w:t>加的费用和（或）工期延误由承包人承担。</w:t>
      </w:r>
    </w:p>
    <w:p w14:paraId="29EF0BEC">
      <w:pPr>
        <w:spacing w:line="360" w:lineRule="auto"/>
        <w:ind w:left="7"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5.6.10 发包人、监理人和相关政府部门或发包人认可的其他第三方机构有权对工</w:t>
      </w:r>
      <w:r>
        <w:rPr>
          <w:rFonts w:ascii="宋体" w:hAnsi="宋体" w:cs="宋体"/>
          <w:color w:val="000000" w:themeColor="text1"/>
          <w:spacing w:val="-2"/>
          <w:sz w:val="24"/>
          <w:highlight w:val="none"/>
          <w14:textFill>
            <w14:solidFill>
              <w14:schemeClr w14:val="tx1"/>
            </w14:solidFill>
          </w14:textFill>
        </w:rPr>
        <w:t>程的所有部位及其施工工艺、工程设备和材料进行检查和检验。承包人应为上述人员的检查和检验提供方便，包括到施工现场，或制造、加工地点，或其他地方进行察看和查阅施工原始记录。承包人还应按发包人、监理人、试验人和发包人认可的人员指示，进行施工现场取样试验、工程复核测量和设备性能检测，提供试验样品，提交试验报告和</w:t>
      </w:r>
      <w:r>
        <w:rPr>
          <w:rFonts w:ascii="宋体" w:hAnsi="宋体" w:cs="宋体"/>
          <w:color w:val="000000" w:themeColor="text1"/>
          <w:spacing w:val="-1"/>
          <w:sz w:val="24"/>
          <w:highlight w:val="none"/>
          <w14:textFill>
            <w14:solidFill>
              <w14:schemeClr w14:val="tx1"/>
            </w14:solidFill>
          </w14:textFill>
        </w:rPr>
        <w:t>测量成果，完成上述人员要求进行的其他检查和检验工作。</w:t>
      </w:r>
    </w:p>
    <w:p w14:paraId="569539F0">
      <w:pPr>
        <w:spacing w:line="360" w:lineRule="auto"/>
        <w:ind w:left="8" w:right="80"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发包人、监理人、试验人和发包人认可的相关政府部门或其他第三方机构的检查和</w:t>
      </w:r>
      <w:r>
        <w:rPr>
          <w:rFonts w:ascii="宋体" w:hAnsi="宋体" w:cs="宋体"/>
          <w:color w:val="000000" w:themeColor="text1"/>
          <w:spacing w:val="-1"/>
          <w:sz w:val="24"/>
          <w:highlight w:val="none"/>
          <w14:textFill>
            <w14:solidFill>
              <w14:schemeClr w14:val="tx1"/>
            </w14:solidFill>
          </w14:textFill>
        </w:rPr>
        <w:t>检验，不免除承包人合同约定的责任。</w:t>
      </w:r>
    </w:p>
    <w:p w14:paraId="6CED7F86">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5.6.11 本项目将对部分试验检验设备要求具有数</w:t>
      </w:r>
      <w:r>
        <w:rPr>
          <w:rFonts w:ascii="宋体" w:hAnsi="宋体" w:cs="宋体"/>
          <w:color w:val="000000" w:themeColor="text1"/>
          <w:spacing w:val="1"/>
          <w:sz w:val="24"/>
          <w:highlight w:val="none"/>
          <w14:textFill>
            <w14:solidFill>
              <w14:schemeClr w14:val="tx1"/>
            </w14:solidFill>
          </w14:textFill>
        </w:rPr>
        <w:t>据自动采集、实时上传功能，达</w:t>
      </w:r>
    </w:p>
    <w:p w14:paraId="5126A6ED">
      <w:pPr>
        <w:spacing w:line="360" w:lineRule="auto"/>
        <w:ind w:left="10" w:right="61" w:firstLine="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到试验检测和质量安全监督工作的自动化和实时化的管理目标。承包人须按要求采购相关的自动采集终端设备，并负责设备安装、调试与维护。承包人不得对自动采集的试验</w:t>
      </w:r>
      <w:r>
        <w:rPr>
          <w:rFonts w:ascii="宋体" w:hAnsi="宋体" w:cs="宋体"/>
          <w:color w:val="000000" w:themeColor="text1"/>
          <w:spacing w:val="-1"/>
          <w:sz w:val="24"/>
          <w:highlight w:val="none"/>
          <w14:textFill>
            <w14:solidFill>
              <w14:schemeClr w14:val="tx1"/>
            </w14:solidFill>
          </w14:textFill>
        </w:rPr>
        <w:t>数据进行修改、造假，否则按照第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款承</w:t>
      </w:r>
      <w:r>
        <w:rPr>
          <w:rFonts w:ascii="宋体" w:hAnsi="宋体" w:cs="宋体"/>
          <w:color w:val="000000" w:themeColor="text1"/>
          <w:spacing w:val="-2"/>
          <w:sz w:val="24"/>
          <w:highlight w:val="none"/>
          <w14:textFill>
            <w14:solidFill>
              <w14:schemeClr w14:val="tx1"/>
            </w14:solidFill>
          </w14:textFill>
        </w:rPr>
        <w:t>包人违约处理。</w:t>
      </w:r>
    </w:p>
    <w:p w14:paraId="28DEBC94">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90" w:name="_Toc16174"/>
      <w:bookmarkStart w:id="191" w:name="_Toc1967"/>
      <w:r>
        <w:rPr>
          <w:rFonts w:ascii="宋体" w:hAnsi="宋体" w:cs="宋体"/>
          <w:color w:val="000000" w:themeColor="text1"/>
          <w:spacing w:val="-2"/>
          <w:sz w:val="24"/>
          <w:highlight w:val="none"/>
          <w14:textFill>
            <w14:solidFill>
              <w14:schemeClr w14:val="tx1"/>
            </w14:solidFill>
          </w14:textFill>
        </w:rPr>
        <w:t>5.7 标准试验</w:t>
      </w:r>
      <w:bookmarkEnd w:id="190"/>
      <w:bookmarkEnd w:id="191"/>
    </w:p>
    <w:p w14:paraId="74525E85">
      <w:pPr>
        <w:spacing w:line="360" w:lineRule="auto"/>
        <w:ind w:left="7" w:right="6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5.7.1 对于混凝土配合比、标准干密度等标准试验，承包人应于相应分项工程开工前完成上述试验，并将试验结果报监理人，同时由试验检测中心进行相应的平行试验检</w:t>
      </w:r>
      <w:r>
        <w:rPr>
          <w:rFonts w:ascii="宋体" w:hAnsi="宋体" w:cs="宋体"/>
          <w:color w:val="000000" w:themeColor="text1"/>
          <w:spacing w:val="-1"/>
          <w:sz w:val="24"/>
          <w:highlight w:val="none"/>
          <w14:textFill>
            <w14:solidFill>
              <w14:schemeClr w14:val="tx1"/>
            </w14:solidFill>
          </w14:textFill>
        </w:rPr>
        <w:t>验，履行审批程序后方可用于工程施工控制。</w:t>
      </w:r>
    </w:p>
    <w:p w14:paraId="53126CD6">
      <w:pPr>
        <w:spacing w:line="360" w:lineRule="auto"/>
        <w:ind w:left="12"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5.7.2 当用于工程施工的原材料发生变化时，承包人应重新进行上述标准试验，并履行平行试验和审批程序。</w:t>
      </w:r>
    </w:p>
    <w:p w14:paraId="4DABBE1B">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192" w:name="_Toc13962"/>
      <w:bookmarkStart w:id="193" w:name="_Toc30567"/>
      <w:r>
        <w:rPr>
          <w:rFonts w:ascii="宋体" w:hAnsi="宋体" w:cs="宋体"/>
          <w:color w:val="000000" w:themeColor="text1"/>
          <w:spacing w:val="-4"/>
          <w:sz w:val="24"/>
          <w:highlight w:val="none"/>
          <w14:textFill>
            <w14:solidFill>
              <w14:schemeClr w14:val="tx1"/>
            </w14:solidFill>
          </w14:textFill>
        </w:rPr>
        <w:t>5.8</w:t>
      </w:r>
      <w:r>
        <w:rPr>
          <w:rFonts w:ascii="宋体" w:hAnsi="宋体" w:cs="宋体"/>
          <w:color w:val="000000" w:themeColor="text1"/>
          <w:spacing w:val="1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工艺试验</w:t>
      </w:r>
      <w:bookmarkEnd w:id="192"/>
      <w:bookmarkEnd w:id="193"/>
    </w:p>
    <w:p w14:paraId="308D7867">
      <w:pPr>
        <w:spacing w:line="360" w:lineRule="auto"/>
        <w:ind w:left="7" w:right="6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5.8.1 承包人应按合同约定或监理人指示进行现场工艺试验。对大型的现场工艺试</w:t>
      </w:r>
      <w:r>
        <w:rPr>
          <w:rFonts w:ascii="宋体" w:hAnsi="宋体" w:cs="宋体"/>
          <w:color w:val="000000" w:themeColor="text1"/>
          <w:spacing w:val="-1"/>
          <w:sz w:val="24"/>
          <w:highlight w:val="none"/>
          <w14:textFill>
            <w14:solidFill>
              <w14:schemeClr w14:val="tx1"/>
            </w14:solidFill>
          </w14:textFill>
        </w:rPr>
        <w:t>验，应编制工艺试验方案和计划，报送监理人审批后实施。</w:t>
      </w:r>
    </w:p>
    <w:p w14:paraId="61F44E31">
      <w:pPr>
        <w:spacing w:line="360" w:lineRule="auto"/>
        <w:ind w:left="9"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5.8.2 对于特殊工艺质量检验，承包人应制定相应的检验方案和工艺，经评委评审</w:t>
      </w:r>
      <w:r>
        <w:rPr>
          <w:rFonts w:ascii="宋体" w:hAnsi="宋体" w:cs="宋体"/>
          <w:color w:val="000000" w:themeColor="text1"/>
          <w:spacing w:val="-1"/>
          <w:sz w:val="24"/>
          <w:highlight w:val="none"/>
          <w14:textFill>
            <w14:solidFill>
              <w14:schemeClr w14:val="tx1"/>
            </w14:solidFill>
          </w14:textFill>
        </w:rPr>
        <w:t>和发包人审核确认后应用于现场工程质量控制和检验。</w:t>
      </w:r>
    </w:p>
    <w:p w14:paraId="3A62AB42">
      <w:pPr>
        <w:spacing w:line="360" w:lineRule="auto"/>
        <w:ind w:left="488"/>
        <w:outlineLvl w:val="1"/>
        <w:rPr>
          <w:rFonts w:hint="eastAsia" w:ascii="宋体" w:hAnsi="宋体" w:cs="宋体"/>
          <w:color w:val="000000" w:themeColor="text1"/>
          <w:sz w:val="24"/>
          <w:highlight w:val="none"/>
          <w14:textFill>
            <w14:solidFill>
              <w14:schemeClr w14:val="tx1"/>
            </w14:solidFill>
          </w14:textFill>
        </w:rPr>
      </w:pPr>
      <w:bookmarkStart w:id="194" w:name="_Toc2258"/>
      <w:bookmarkStart w:id="195" w:name="_Toc29847"/>
      <w:r>
        <w:rPr>
          <w:rFonts w:ascii="宋体" w:hAnsi="宋体" w:cs="宋体"/>
          <w:b/>
          <w:bCs/>
          <w:color w:val="000000" w:themeColor="text1"/>
          <w:spacing w:val="-3"/>
          <w:sz w:val="24"/>
          <w:highlight w:val="none"/>
          <w14:textFill>
            <w14:solidFill>
              <w14:schemeClr w14:val="tx1"/>
            </w14:solidFill>
          </w14:textFill>
        </w:rPr>
        <w:t>6.</w:t>
      </w:r>
      <w:r>
        <w:rPr>
          <w:rFonts w:ascii="宋体" w:hAnsi="宋体" w:cs="宋体"/>
          <w:color w:val="000000" w:themeColor="text1"/>
          <w:spacing w:val="-3"/>
          <w:sz w:val="24"/>
          <w:highlight w:val="none"/>
          <w14:textFill>
            <w14:solidFill>
              <w14:schemeClr w14:val="tx1"/>
            </w14:solidFill>
          </w14:textFill>
        </w:rPr>
        <w:t xml:space="preserve"> </w:t>
      </w:r>
      <w:r>
        <w:rPr>
          <w:rFonts w:ascii="宋体" w:hAnsi="宋体" w:cs="宋体"/>
          <w:b/>
          <w:bCs/>
          <w:color w:val="000000" w:themeColor="text1"/>
          <w:spacing w:val="-3"/>
          <w:sz w:val="24"/>
          <w:highlight w:val="none"/>
          <w14:textFill>
            <w14:solidFill>
              <w14:schemeClr w14:val="tx1"/>
            </w14:solidFill>
          </w14:textFill>
        </w:rPr>
        <w:t>施工设备和临时设施</w:t>
      </w:r>
      <w:bookmarkEnd w:id="194"/>
      <w:bookmarkEnd w:id="195"/>
    </w:p>
    <w:p w14:paraId="111FC2BC">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96" w:name="_Toc26032"/>
      <w:bookmarkStart w:id="197" w:name="_Toc11409"/>
      <w:r>
        <w:rPr>
          <w:rFonts w:ascii="宋体" w:hAnsi="宋体" w:cs="宋体"/>
          <w:color w:val="000000" w:themeColor="text1"/>
          <w:spacing w:val="-2"/>
          <w:sz w:val="24"/>
          <w:highlight w:val="none"/>
          <w14:textFill>
            <w14:solidFill>
              <w14:schemeClr w14:val="tx1"/>
            </w14:solidFill>
          </w14:textFill>
        </w:rPr>
        <w:t>6.1</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承包人提供的施工设备和临时设施</w:t>
      </w:r>
      <w:bookmarkEnd w:id="196"/>
      <w:bookmarkEnd w:id="197"/>
    </w:p>
    <w:p w14:paraId="1975C909">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6.1.1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4CC8F1F9">
      <w:pPr>
        <w:spacing w:line="360" w:lineRule="auto"/>
        <w:ind w:left="8" w:right="2"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承包人在投标文件承诺的主要设备（含检验</w:t>
      </w:r>
      <w:r>
        <w:rPr>
          <w:rFonts w:ascii="宋体" w:hAnsi="宋体" w:cs="宋体"/>
          <w:color w:val="000000" w:themeColor="text1"/>
          <w:spacing w:val="-7"/>
          <w:sz w:val="24"/>
          <w:highlight w:val="none"/>
          <w14:textFill>
            <w14:solidFill>
              <w14:schemeClr w14:val="tx1"/>
            </w14:solidFill>
          </w14:textFill>
        </w:rPr>
        <w:t>、试验设备）必须按现场施工需要到位；</w:t>
      </w:r>
      <w:r>
        <w:rPr>
          <w:rFonts w:ascii="宋体" w:hAnsi="宋体" w:cs="宋体"/>
          <w:color w:val="000000" w:themeColor="text1"/>
          <w:spacing w:val="-2"/>
          <w:sz w:val="24"/>
          <w:highlight w:val="none"/>
          <w14:textFill>
            <w14:solidFill>
              <w14:schemeClr w14:val="tx1"/>
            </w14:solidFill>
          </w14:textFill>
        </w:rPr>
        <w:t>承包人不管何种原因需推迟设备到位时间或改变到位设备的数量、型号等，均须事先经发包人和监理人的同意并将变更情况书面报监理人备案，违反上述规定视为承包人违约</w:t>
      </w:r>
      <w:r>
        <w:rPr>
          <w:rFonts w:ascii="宋体" w:hAnsi="宋体" w:cs="宋体"/>
          <w:color w:val="000000" w:themeColor="text1"/>
          <w:spacing w:val="-3"/>
          <w:sz w:val="24"/>
          <w:highlight w:val="none"/>
          <w14:textFill>
            <w14:solidFill>
              <w14:schemeClr w14:val="tx1"/>
            </w14:solidFill>
          </w14:textFill>
        </w:rPr>
        <w:t>并按</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款约定处理。</w:t>
      </w:r>
    </w:p>
    <w:p w14:paraId="61359E42">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本款补充第</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6.1.3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7D5B9C14">
      <w:pPr>
        <w:spacing w:line="360" w:lineRule="auto"/>
        <w:ind w:left="7"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进场后，根据施工需要配备龙门吊、塔吊、架桥机等特种设备的，须提供厂家生产许可证、产品出厂合格证、设计计算书、使用说明书及图纸等资料；对于架桥机还应提供设备出厂到拟投入使用前的使用履历，包括有无发生过设备事故、有无改装以及有无经过大修；架桥机应明确其使用人及权属人。承包人在特种设备使用前应制定安</w:t>
      </w:r>
      <w:r>
        <w:rPr>
          <w:rFonts w:ascii="宋体" w:hAnsi="宋体" w:cs="宋体"/>
          <w:color w:val="000000" w:themeColor="text1"/>
          <w:spacing w:val="-8"/>
          <w:sz w:val="24"/>
          <w:highlight w:val="none"/>
          <w14:textFill>
            <w14:solidFill>
              <w14:schemeClr w14:val="tx1"/>
            </w14:solidFill>
          </w14:textFill>
        </w:rPr>
        <w:t>装拆除方案及生产安全事故应急预案，由具有安装（拆除）资质的单位进行安装（拆除</w:t>
      </w:r>
      <w:r>
        <w:rPr>
          <w:rFonts w:ascii="宋体" w:hAnsi="宋体" w:cs="宋体"/>
          <w:color w:val="000000" w:themeColor="text1"/>
          <w:spacing w:val="-54"/>
          <w:w w:val="86"/>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并向特种设备所在地质量技术监督部门办理告知等一系列手续，提供验收合格证、当地使用登记证等资料。加强特种设备日常维护保养和自行检查制度，对作业人员进行相应</w:t>
      </w:r>
      <w:r>
        <w:rPr>
          <w:rFonts w:ascii="宋体" w:hAnsi="宋体" w:cs="宋体"/>
          <w:color w:val="000000" w:themeColor="text1"/>
          <w:spacing w:val="-1"/>
          <w:sz w:val="24"/>
          <w:highlight w:val="none"/>
          <w14:textFill>
            <w14:solidFill>
              <w14:schemeClr w14:val="tx1"/>
            </w14:solidFill>
          </w14:textFill>
        </w:rPr>
        <w:t>的教育培训、安全技术交底。特种作业人员必须</w:t>
      </w:r>
      <w:r>
        <w:rPr>
          <w:rFonts w:ascii="宋体" w:hAnsi="宋体" w:cs="宋体"/>
          <w:color w:val="000000" w:themeColor="text1"/>
          <w:spacing w:val="-2"/>
          <w:sz w:val="24"/>
          <w:highlight w:val="none"/>
          <w14:textFill>
            <w14:solidFill>
              <w14:schemeClr w14:val="tx1"/>
            </w14:solidFill>
          </w14:textFill>
        </w:rPr>
        <w:t>持证上岗。</w:t>
      </w:r>
    </w:p>
    <w:p w14:paraId="55593A0E">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198" w:name="_Toc12120"/>
      <w:bookmarkStart w:id="199" w:name="_Toc26235"/>
      <w:r>
        <w:rPr>
          <w:rFonts w:ascii="宋体" w:hAnsi="宋体" w:cs="宋体"/>
          <w:color w:val="000000" w:themeColor="text1"/>
          <w:spacing w:val="-1"/>
          <w:sz w:val="24"/>
          <w:highlight w:val="none"/>
          <w14:textFill>
            <w14:solidFill>
              <w14:schemeClr w14:val="tx1"/>
            </w14:solidFill>
          </w14:textFill>
        </w:rPr>
        <w:t>6.3 要求承包人增加或更换施工设备</w:t>
      </w:r>
      <w:bookmarkEnd w:id="198"/>
      <w:bookmarkEnd w:id="199"/>
    </w:p>
    <w:p w14:paraId="5844C02B">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在本款后补充：</w:t>
      </w:r>
    </w:p>
    <w:p w14:paraId="19D73B58">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承包人在接到上述指令</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14</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天内未按要求执行，将按第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款视为承包人违约。</w:t>
      </w:r>
    </w:p>
    <w:p w14:paraId="6505B8B7">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本条补充第 6.5</w:t>
      </w:r>
      <w:r>
        <w:rPr>
          <w:rFonts w:ascii="宋体" w:hAnsi="宋体" w:cs="宋体"/>
          <w:color w:val="000000" w:themeColor="text1"/>
          <w:spacing w:val="1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w:t>
      </w:r>
    </w:p>
    <w:p w14:paraId="445B8D6B">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200" w:name="_Toc14002"/>
      <w:bookmarkStart w:id="201" w:name="_Toc10875"/>
      <w:r>
        <w:rPr>
          <w:rFonts w:ascii="宋体" w:hAnsi="宋体" w:cs="宋体"/>
          <w:color w:val="000000" w:themeColor="text1"/>
          <w:spacing w:val="-2"/>
          <w:sz w:val="24"/>
          <w:highlight w:val="none"/>
          <w14:textFill>
            <w14:solidFill>
              <w14:schemeClr w14:val="tx1"/>
            </w14:solidFill>
          </w14:textFill>
        </w:rPr>
        <w:t>6.5 信息化管理</w:t>
      </w:r>
      <w:bookmarkEnd w:id="200"/>
      <w:bookmarkEnd w:id="201"/>
    </w:p>
    <w:p w14:paraId="6EED89A7">
      <w:pPr>
        <w:spacing w:line="360" w:lineRule="auto"/>
        <w:ind w:left="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6.5.1 计算机系统配置</w:t>
      </w:r>
    </w:p>
    <w:p w14:paraId="77A8B853">
      <w:pPr>
        <w:spacing w:line="360" w:lineRule="auto"/>
        <w:ind w:left="8"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发包人采用信息化手段对本项目进行管理。承包人的计算机及网络配置应满足项目</w:t>
      </w:r>
      <w:r>
        <w:rPr>
          <w:rFonts w:ascii="宋体" w:hAnsi="宋体" w:cs="宋体"/>
          <w:color w:val="000000" w:themeColor="text1"/>
          <w:spacing w:val="-1"/>
          <w:sz w:val="24"/>
          <w:highlight w:val="none"/>
          <w14:textFill>
            <w14:solidFill>
              <w14:schemeClr w14:val="tx1"/>
            </w14:solidFill>
          </w14:textFill>
        </w:rPr>
        <w:t>信息化管理和发包人的有关要求。</w:t>
      </w:r>
    </w:p>
    <w:p w14:paraId="63B6A695">
      <w:pPr>
        <w:spacing w:line="360"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承包人应确保有专用计算机和一条专用网络连接线，同时应充分考虑可视化管理的</w:t>
      </w:r>
      <w:r>
        <w:rPr>
          <w:rFonts w:ascii="宋体" w:hAnsi="宋体" w:cs="宋体"/>
          <w:color w:val="000000" w:themeColor="text1"/>
          <w:spacing w:val="-3"/>
          <w:sz w:val="24"/>
          <w:highlight w:val="none"/>
          <w14:textFill>
            <w14:solidFill>
              <w14:schemeClr w14:val="tx1"/>
            </w14:solidFill>
          </w14:textFill>
        </w:rPr>
        <w:t>手段，网络速度不小于</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100Mbps。</w:t>
      </w:r>
    </w:p>
    <w:p w14:paraId="6D6935A2">
      <w:pPr>
        <w:spacing w:line="360"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项目管理系统专用计算机的管理要求：</w:t>
      </w:r>
    </w:p>
    <w:p w14:paraId="2BF924A6">
      <w:pPr>
        <w:spacing w:line="360" w:lineRule="auto"/>
        <w:ind w:left="17" w:right="1" w:firstLine="5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(1)项目管理系统专用的计算机应由熟悉</w:t>
      </w:r>
      <w:r>
        <w:rPr>
          <w:rFonts w:ascii="宋体" w:hAnsi="宋体" w:cs="宋体"/>
          <w:color w:val="000000" w:themeColor="text1"/>
          <w:sz w:val="24"/>
          <w:highlight w:val="none"/>
          <w14:textFill>
            <w14:solidFill>
              <w14:schemeClr w14:val="tx1"/>
            </w14:solidFill>
          </w14:textFill>
        </w:rPr>
        <w:t>计算机操作的管理人员专人管理，管理人</w:t>
      </w:r>
      <w:r>
        <w:rPr>
          <w:rFonts w:ascii="宋体" w:hAnsi="宋体" w:cs="宋体"/>
          <w:color w:val="000000" w:themeColor="text1"/>
          <w:spacing w:val="-2"/>
          <w:sz w:val="24"/>
          <w:highlight w:val="none"/>
          <w14:textFill>
            <w14:solidFill>
              <w14:schemeClr w14:val="tx1"/>
            </w14:solidFill>
          </w14:textFill>
        </w:rPr>
        <w:t>员必须参加发包人举办的培训班。</w:t>
      </w:r>
    </w:p>
    <w:p w14:paraId="66CDDD56">
      <w:pPr>
        <w:spacing w:line="360" w:lineRule="auto"/>
        <w:ind w:left="9" w:right="1"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(2)严禁在专用的计算机上安装软驱、光驱或进行登录</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Internet</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网及其局域网的操</w:t>
      </w:r>
      <w:r>
        <w:rPr>
          <w:rFonts w:ascii="宋体" w:hAnsi="宋体" w:cs="宋体"/>
          <w:color w:val="000000" w:themeColor="text1"/>
          <w:spacing w:val="-6"/>
          <w:sz w:val="24"/>
          <w:highlight w:val="none"/>
          <w14:textFill>
            <w14:solidFill>
              <w14:schemeClr w14:val="tx1"/>
            </w14:solidFill>
          </w14:textFill>
        </w:rPr>
        <w:t>作。</w:t>
      </w:r>
    </w:p>
    <w:p w14:paraId="32125D62">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(3)严禁在专用计算机上安装或卸载软件。</w:t>
      </w:r>
    </w:p>
    <w:p w14:paraId="4E2C37CC">
      <w:pPr>
        <w:spacing w:line="360" w:lineRule="auto"/>
        <w:ind w:left="13" w:right="1" w:firstLine="5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(4)本网络系统对操作者进行了权限设置</w:t>
      </w:r>
      <w:r>
        <w:rPr>
          <w:rFonts w:ascii="宋体" w:hAnsi="宋体" w:cs="宋体"/>
          <w:color w:val="000000" w:themeColor="text1"/>
          <w:sz w:val="24"/>
          <w:highlight w:val="none"/>
          <w14:textFill>
            <w14:solidFill>
              <w14:schemeClr w14:val="tx1"/>
            </w14:solidFill>
          </w14:textFill>
        </w:rPr>
        <w:t>，任何操作员的违规操作将按照有关规定</w:t>
      </w:r>
      <w:r>
        <w:rPr>
          <w:rFonts w:ascii="宋体" w:hAnsi="宋体" w:cs="宋体"/>
          <w:color w:val="000000" w:themeColor="text1"/>
          <w:spacing w:val="-5"/>
          <w:sz w:val="24"/>
          <w:highlight w:val="none"/>
          <w14:textFill>
            <w14:solidFill>
              <w14:schemeClr w14:val="tx1"/>
            </w14:solidFill>
          </w14:textFill>
        </w:rPr>
        <w:t>处理。</w:t>
      </w:r>
    </w:p>
    <w:p w14:paraId="1F10ECF4">
      <w:pPr>
        <w:spacing w:line="360" w:lineRule="auto"/>
        <w:ind w:left="8" w:right="1"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(5)专用计算机访问登录服务器前，操作</w:t>
      </w:r>
      <w:r>
        <w:rPr>
          <w:rFonts w:ascii="宋体" w:hAnsi="宋体" w:cs="宋体"/>
          <w:color w:val="000000" w:themeColor="text1"/>
          <w:sz w:val="24"/>
          <w:highlight w:val="none"/>
          <w14:textFill>
            <w14:solidFill>
              <w14:schemeClr w14:val="tx1"/>
            </w14:solidFill>
          </w14:textFill>
        </w:rPr>
        <w:t>员应准备好所有要传送的资料，登录后，</w:t>
      </w:r>
      <w:r>
        <w:rPr>
          <w:rFonts w:ascii="宋体" w:hAnsi="宋体" w:cs="宋体"/>
          <w:color w:val="000000" w:themeColor="text1"/>
          <w:spacing w:val="-2"/>
          <w:sz w:val="24"/>
          <w:highlight w:val="none"/>
          <w14:textFill>
            <w14:solidFill>
              <w14:schemeClr w14:val="tx1"/>
            </w14:solidFill>
          </w14:textFill>
        </w:rPr>
        <w:t>应立即进行传送的操作，以避免长时间占用通讯通道。严禁登录占用通讯通道后才开始</w:t>
      </w:r>
      <w:r>
        <w:rPr>
          <w:rFonts w:ascii="宋体" w:hAnsi="宋体" w:cs="宋体"/>
          <w:color w:val="000000" w:themeColor="text1"/>
          <w:sz w:val="24"/>
          <w:highlight w:val="none"/>
          <w14:textFill>
            <w14:solidFill>
              <w14:schemeClr w14:val="tx1"/>
            </w14:solidFill>
          </w14:textFill>
        </w:rPr>
        <w:t>整理资料或编制文档，若有此情况将视作霸用</w:t>
      </w:r>
      <w:r>
        <w:rPr>
          <w:rFonts w:ascii="宋体" w:hAnsi="宋体" w:cs="宋体"/>
          <w:color w:val="000000" w:themeColor="text1"/>
          <w:spacing w:val="-1"/>
          <w:sz w:val="24"/>
          <w:highlight w:val="none"/>
          <w14:textFill>
            <w14:solidFill>
              <w14:schemeClr w14:val="tx1"/>
            </w14:solidFill>
          </w14:textFill>
        </w:rPr>
        <w:t>通讯通道处以经济惩罚。</w:t>
      </w:r>
    </w:p>
    <w:p w14:paraId="23047D64">
      <w:pPr>
        <w:spacing w:line="360" w:lineRule="auto"/>
        <w:ind w:left="9" w:right="1" w:firstLine="52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(6)承包人应安排专人配合发包人将项目</w:t>
      </w:r>
      <w:r>
        <w:rPr>
          <w:rFonts w:ascii="宋体" w:hAnsi="宋体" w:cs="宋体"/>
          <w:color w:val="000000" w:themeColor="text1"/>
          <w:sz w:val="24"/>
          <w:highlight w:val="none"/>
          <w14:textFill>
            <w14:solidFill>
              <w14:schemeClr w14:val="tx1"/>
            </w14:solidFill>
          </w14:textFill>
        </w:rPr>
        <w:t>信息管理系统与广东省交通运输厅建设管</w:t>
      </w:r>
      <w:r>
        <w:rPr>
          <w:rFonts w:ascii="宋体" w:hAnsi="宋体" w:cs="宋体"/>
          <w:color w:val="000000" w:themeColor="text1"/>
          <w:spacing w:val="-1"/>
          <w:sz w:val="24"/>
          <w:highlight w:val="none"/>
          <w14:textFill>
            <w14:solidFill>
              <w14:schemeClr w14:val="tx1"/>
            </w14:solidFill>
          </w14:textFill>
        </w:rPr>
        <w:t>养平台进行对接，保证网络畅通。</w:t>
      </w:r>
    </w:p>
    <w:p w14:paraId="40FAD252">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202" w:name="_Toc9652"/>
      <w:bookmarkStart w:id="203" w:name="_Toc547"/>
      <w:r>
        <w:rPr>
          <w:rFonts w:ascii="宋体" w:hAnsi="宋体" w:cs="宋体"/>
          <w:color w:val="000000" w:themeColor="text1"/>
          <w:spacing w:val="-3"/>
          <w:sz w:val="24"/>
          <w:highlight w:val="none"/>
          <w14:textFill>
            <w14:solidFill>
              <w14:schemeClr w14:val="tx1"/>
            </w14:solidFill>
          </w14:textFill>
        </w:rPr>
        <w:t>7.交通运输</w:t>
      </w:r>
      <w:bookmarkEnd w:id="202"/>
      <w:bookmarkEnd w:id="203"/>
    </w:p>
    <w:p w14:paraId="3AD95D5A">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204" w:name="_Toc18698"/>
      <w:bookmarkStart w:id="205" w:name="_Toc4104"/>
      <w:r>
        <w:rPr>
          <w:rFonts w:ascii="宋体" w:hAnsi="宋体" w:cs="宋体"/>
          <w:color w:val="000000" w:themeColor="text1"/>
          <w:spacing w:val="-3"/>
          <w:sz w:val="24"/>
          <w:highlight w:val="none"/>
          <w14:textFill>
            <w14:solidFill>
              <w14:schemeClr w14:val="tx1"/>
            </w14:solidFill>
          </w14:textFill>
        </w:rPr>
        <w:t>7.2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场内施工道路</w:t>
      </w:r>
      <w:bookmarkEnd w:id="204"/>
      <w:bookmarkEnd w:id="205"/>
    </w:p>
    <w:p w14:paraId="5EF798C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本款补充第</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7.2.3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w:t>
      </w:r>
    </w:p>
    <w:p w14:paraId="3AD93758">
      <w:pPr>
        <w:spacing w:line="360" w:lineRule="auto"/>
        <w:ind w:left="11" w:right="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负责对本标段内施工便道进行建设和维护，包括便道硬化及便桥加固等，并无条件允许发包人、监理人、试验人、本工程其他承包人及供应商使用。如该便道因各种原因损坏而未能及时修复，影响使用的，若发包人与承包人协调无果时，发包人有</w:t>
      </w:r>
      <w:r>
        <w:rPr>
          <w:rFonts w:ascii="宋体" w:hAnsi="宋体" w:cs="宋体"/>
          <w:color w:val="000000" w:themeColor="text1"/>
          <w:sz w:val="24"/>
          <w:highlight w:val="none"/>
          <w14:textFill>
            <w14:solidFill>
              <w14:schemeClr w14:val="tx1"/>
            </w14:solidFill>
          </w14:textFill>
        </w:rPr>
        <w:t>权委托第三方进行修复，所发生的费用从承包人工程款中扣回，</w:t>
      </w:r>
      <w:r>
        <w:rPr>
          <w:rFonts w:ascii="宋体" w:hAnsi="宋体" w:cs="宋体"/>
          <w:color w:val="000000" w:themeColor="text1"/>
          <w:spacing w:val="-1"/>
          <w:sz w:val="24"/>
          <w:highlight w:val="none"/>
          <w14:textFill>
            <w14:solidFill>
              <w14:schemeClr w14:val="tx1"/>
            </w14:solidFill>
          </w14:textFill>
        </w:rPr>
        <w:t>承包人应无条件接受。</w:t>
      </w:r>
    </w:p>
    <w:p w14:paraId="25B6CA5D">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本款补充第</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7.2.4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w:t>
      </w:r>
    </w:p>
    <w:p w14:paraId="3D3870D2">
      <w:pPr>
        <w:spacing w:line="360" w:lineRule="auto"/>
        <w:ind w:left="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7.2.4</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施工便道要求：</w:t>
      </w:r>
    </w:p>
    <w:p w14:paraId="306479B6">
      <w:pPr>
        <w:spacing w:line="360" w:lineRule="auto"/>
        <w:ind w:left="7" w:right="166"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承包人应无条件按发包人要求的时间节点拉通施工便道，在实施便道工程前，应做好现场调查，结合工点施工组织方案，编制施工便道专项方案。承包人在取弃土前，应</w:t>
      </w:r>
      <w:r>
        <w:rPr>
          <w:rFonts w:ascii="宋体" w:hAnsi="宋体" w:cs="宋体"/>
          <w:color w:val="000000" w:themeColor="text1"/>
          <w:spacing w:val="-8"/>
          <w:sz w:val="24"/>
          <w:highlight w:val="none"/>
          <w14:textFill>
            <w14:solidFill>
              <w14:schemeClr w14:val="tx1"/>
            </w14:solidFill>
          </w14:textFill>
        </w:rPr>
        <w:t>对取弃土场的位置、容量等进行勘测复查，编制取弃土场专项方案。具体方案需符合《广</w:t>
      </w:r>
      <w:r>
        <w:rPr>
          <w:rFonts w:ascii="宋体" w:hAnsi="宋体" w:cs="宋体"/>
          <w:color w:val="000000" w:themeColor="text1"/>
          <w:spacing w:val="-1"/>
          <w:sz w:val="24"/>
          <w:highlight w:val="none"/>
          <w14:textFill>
            <w14:solidFill>
              <w14:schemeClr w14:val="tx1"/>
            </w14:solidFill>
          </w14:textFill>
        </w:rPr>
        <w:t>东省交通运输厅关于进一步加强公路施工便道取弃土场的设计和施工管理工作的通知》</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《广东省高速公路工程施工安全标准化指南》和《广东省公路工程施工标准化指南》的</w:t>
      </w:r>
      <w:r>
        <w:rPr>
          <w:rFonts w:ascii="宋体" w:hAnsi="宋体" w:cs="宋体"/>
          <w:color w:val="000000" w:themeColor="text1"/>
          <w:spacing w:val="-3"/>
          <w:sz w:val="24"/>
          <w:highlight w:val="none"/>
          <w14:textFill>
            <w14:solidFill>
              <w14:schemeClr w14:val="tx1"/>
            </w14:solidFill>
          </w14:textFill>
        </w:rPr>
        <w:t>要求。</w:t>
      </w:r>
    </w:p>
    <w:p w14:paraId="07C28E27">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206" w:name="_Toc6049"/>
      <w:bookmarkStart w:id="207" w:name="_Toc8186"/>
      <w:r>
        <w:rPr>
          <w:rFonts w:ascii="宋体" w:hAnsi="宋体" w:cs="宋体"/>
          <w:color w:val="000000" w:themeColor="text1"/>
          <w:spacing w:val="-4"/>
          <w:sz w:val="24"/>
          <w:highlight w:val="none"/>
          <w14:textFill>
            <w14:solidFill>
              <w14:schemeClr w14:val="tx1"/>
            </w14:solidFill>
          </w14:textFill>
        </w:rPr>
        <w:t>7.3</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场外交通</w:t>
      </w:r>
      <w:bookmarkEnd w:id="206"/>
      <w:bookmarkEnd w:id="207"/>
    </w:p>
    <w:p w14:paraId="795D878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本款补充第</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7.3.3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w:t>
      </w:r>
    </w:p>
    <w:p w14:paraId="16036C36">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为保证道路交通安全及运输畅通，承包人应采取以下措施：</w:t>
      </w:r>
    </w:p>
    <w:p w14:paraId="5D4A4079">
      <w:pPr>
        <w:spacing w:line="360" w:lineRule="auto"/>
        <w:ind w:left="35" w:right="138" w:firstLine="46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（a）承包人必须在与市政、交通和交警等</w:t>
      </w:r>
      <w:r>
        <w:rPr>
          <w:rFonts w:ascii="宋体" w:hAnsi="宋体" w:cs="宋体"/>
          <w:color w:val="000000" w:themeColor="text1"/>
          <w:spacing w:val="-4"/>
          <w:sz w:val="24"/>
          <w:highlight w:val="none"/>
          <w14:textFill>
            <w14:solidFill>
              <w14:schemeClr w14:val="tx1"/>
            </w14:solidFill>
          </w14:textFill>
        </w:rPr>
        <w:t>部门的协商下采取足够的交通引导措施，</w:t>
      </w:r>
      <w:r>
        <w:rPr>
          <w:rFonts w:ascii="宋体" w:hAnsi="宋体" w:cs="宋体"/>
          <w:color w:val="000000" w:themeColor="text1"/>
          <w:spacing w:val="-3"/>
          <w:sz w:val="24"/>
          <w:highlight w:val="none"/>
          <w14:textFill>
            <w14:solidFill>
              <w14:schemeClr w14:val="tx1"/>
            </w14:solidFill>
          </w14:textFill>
        </w:rPr>
        <w:t>以防止施工期间出现道路堵塞；</w:t>
      </w:r>
    </w:p>
    <w:p w14:paraId="2AD3380E">
      <w:pPr>
        <w:spacing w:line="360" w:lineRule="auto"/>
        <w:ind w:left="9" w:right="20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（b）承包人制定施工材料运输计划时，应尽量避开现有道路交通高峰时的运输活</w:t>
      </w:r>
      <w:r>
        <w:rPr>
          <w:rFonts w:ascii="宋体" w:hAnsi="宋体" w:cs="宋体"/>
          <w:color w:val="000000" w:themeColor="text1"/>
          <w:spacing w:val="-6"/>
          <w:sz w:val="24"/>
          <w:highlight w:val="none"/>
          <w14:textFill>
            <w14:solidFill>
              <w14:schemeClr w14:val="tx1"/>
            </w14:solidFill>
          </w14:textFill>
        </w:rPr>
        <w:t>动。</w:t>
      </w:r>
    </w:p>
    <w:p w14:paraId="627DF90C">
      <w:pPr>
        <w:spacing w:line="360" w:lineRule="auto"/>
        <w:ind w:left="37" w:right="200" w:firstLine="46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（c）承包人须编制交通组织方案，报相关部门审查批复，必要时组织评审，费用</w:t>
      </w:r>
      <w:r>
        <w:rPr>
          <w:rFonts w:ascii="宋体" w:hAnsi="宋体" w:cs="宋体"/>
          <w:color w:val="000000" w:themeColor="text1"/>
          <w:spacing w:val="-3"/>
          <w:sz w:val="24"/>
          <w:highlight w:val="none"/>
          <w14:textFill>
            <w14:solidFill>
              <w14:schemeClr w14:val="tx1"/>
            </w14:solidFill>
          </w14:textFill>
        </w:rPr>
        <w:t>由承包人负责（合同另有约定除外）。</w:t>
      </w:r>
    </w:p>
    <w:p w14:paraId="7389BDC4">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补充第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7.4</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w:t>
      </w:r>
      <w:r>
        <w:rPr>
          <w:rFonts w:ascii="宋体" w:hAnsi="宋体" w:cs="宋体"/>
          <w:color w:val="000000" w:themeColor="text1"/>
          <w:spacing w:val="-18"/>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适用于特大桥梁工程中钢结构工程）</w:t>
      </w:r>
    </w:p>
    <w:p w14:paraId="7627E836">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208" w:name="_Toc10027"/>
      <w:bookmarkStart w:id="209" w:name="_Toc6275"/>
      <w:r>
        <w:rPr>
          <w:rFonts w:ascii="宋体" w:hAnsi="宋体" w:cs="宋体"/>
          <w:color w:val="000000" w:themeColor="text1"/>
          <w:spacing w:val="-2"/>
          <w:sz w:val="24"/>
          <w:highlight w:val="none"/>
          <w14:textFill>
            <w14:solidFill>
              <w14:schemeClr w14:val="tx1"/>
            </w14:solidFill>
          </w14:textFill>
        </w:rPr>
        <w:t>7.4 钢结构的运输</w:t>
      </w:r>
      <w:bookmarkEnd w:id="208"/>
      <w:bookmarkEnd w:id="209"/>
    </w:p>
    <w:p w14:paraId="3C942BA0">
      <w:pPr>
        <w:spacing w:line="360" w:lineRule="auto"/>
        <w:ind w:left="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7.4.1 运输计划和运输方案</w:t>
      </w:r>
    </w:p>
    <w:p w14:paraId="32834A73">
      <w:pPr>
        <w:spacing w:line="360" w:lineRule="auto"/>
        <w:ind w:left="11"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承包人应在综合考虑钢结构供应计划、制造场地和拼装场地的地理位置、减少运输或转运风险，以及其他风险和成本效益因素的前提下，在施工组织设计中对承包人的钢</w:t>
      </w:r>
      <w:r>
        <w:rPr>
          <w:rFonts w:ascii="宋体" w:hAnsi="宋体" w:cs="宋体"/>
          <w:color w:val="000000" w:themeColor="text1"/>
          <w:spacing w:val="-3"/>
          <w:sz w:val="24"/>
          <w:highlight w:val="none"/>
          <w14:textFill>
            <w14:solidFill>
              <w14:schemeClr w14:val="tx1"/>
            </w14:solidFill>
          </w14:textFill>
        </w:rPr>
        <w:t>结构运输方式及运输线路予以详细规划，包括但不限于对钢结构运输至交付地点的运距、</w:t>
      </w:r>
      <w:r>
        <w:rPr>
          <w:rFonts w:ascii="宋体" w:hAnsi="宋体" w:cs="宋体"/>
          <w:color w:val="000000" w:themeColor="text1"/>
          <w:spacing w:val="-2"/>
          <w:sz w:val="24"/>
          <w:highlight w:val="none"/>
          <w14:textFill>
            <w14:solidFill>
              <w14:schemeClr w14:val="tx1"/>
            </w14:solidFill>
          </w14:textFill>
        </w:rPr>
        <w:t>理论运输时间、拟投入的运输船舶数量及各自船舶运输能力、绑扎方案及受力分析（含最不利条件下的受力分析）及其他防护措施等，并附上详细的计算说明书。如发包人认</w:t>
      </w:r>
      <w:r>
        <w:rPr>
          <w:rFonts w:ascii="宋体" w:hAnsi="宋体" w:cs="宋体"/>
          <w:color w:val="000000" w:themeColor="text1"/>
          <w:sz w:val="24"/>
          <w:highlight w:val="none"/>
          <w14:textFill>
            <w14:solidFill>
              <w14:schemeClr w14:val="tx1"/>
            </w14:solidFill>
          </w14:textFill>
        </w:rPr>
        <w:t>为必要时，还应当组织专题分析会议和报告</w:t>
      </w:r>
      <w:r>
        <w:rPr>
          <w:rFonts w:ascii="宋体" w:hAnsi="宋体" w:cs="宋体"/>
          <w:color w:val="000000" w:themeColor="text1"/>
          <w:spacing w:val="-1"/>
          <w:sz w:val="24"/>
          <w:highlight w:val="none"/>
          <w14:textFill>
            <w14:solidFill>
              <w14:schemeClr w14:val="tx1"/>
            </w14:solidFill>
          </w14:textFill>
        </w:rPr>
        <w:t>，论证实施可行性和实施风险。</w:t>
      </w:r>
    </w:p>
    <w:p w14:paraId="7FD52070">
      <w:pPr>
        <w:spacing w:line="360" w:lineRule="auto"/>
        <w:ind w:left="8" w:right="20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7.4.2 承包人在运输钢结构前，应负责向有关管理部门办理申请手续。运输超大件或超重件所需的道路和桥梁临时加固改造费用、海上运输通道或航道的疏浚所需办理的</w:t>
      </w:r>
      <w:r>
        <w:rPr>
          <w:rFonts w:ascii="宋体" w:hAnsi="宋体" w:cs="宋体"/>
          <w:color w:val="000000" w:themeColor="text1"/>
          <w:sz w:val="24"/>
          <w:highlight w:val="none"/>
          <w14:textFill>
            <w14:solidFill>
              <w14:schemeClr w14:val="tx1"/>
            </w14:solidFill>
          </w14:textFill>
        </w:rPr>
        <w:t>相关手续及所需发生的费用，以及其他有关费</w:t>
      </w:r>
      <w:r>
        <w:rPr>
          <w:rFonts w:ascii="宋体" w:hAnsi="宋体" w:cs="宋体"/>
          <w:color w:val="000000" w:themeColor="text1"/>
          <w:spacing w:val="-1"/>
          <w:sz w:val="24"/>
          <w:highlight w:val="none"/>
          <w14:textFill>
            <w14:solidFill>
              <w14:schemeClr w14:val="tx1"/>
            </w14:solidFill>
          </w14:textFill>
        </w:rPr>
        <w:t>用均由承包人自行承担。</w:t>
      </w:r>
    </w:p>
    <w:p w14:paraId="02592EBF">
      <w:pPr>
        <w:spacing w:line="360" w:lineRule="auto"/>
        <w:ind w:left="8"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7.4.3 承包人应对钢结构的运输方案和防护措施的安全性负责，如在安装完成前造成的上述钢结构划伤、损伤、变形、沉没等一切损失，均应由承包人承担，并免费进行</w:t>
      </w:r>
      <w:r>
        <w:rPr>
          <w:rFonts w:ascii="宋体" w:hAnsi="宋体" w:cs="宋体"/>
          <w:color w:val="000000" w:themeColor="text1"/>
          <w:spacing w:val="-1"/>
          <w:sz w:val="24"/>
          <w:highlight w:val="none"/>
          <w14:textFill>
            <w14:solidFill>
              <w14:schemeClr w14:val="tx1"/>
            </w14:solidFill>
          </w14:textFill>
        </w:rPr>
        <w:t>修复、更换或打捞工作。</w:t>
      </w:r>
    </w:p>
    <w:p w14:paraId="3D9296FC">
      <w:pPr>
        <w:spacing w:line="360" w:lineRule="auto"/>
        <w:ind w:left="7"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7.4.4 现场验收完成前，钢结构运输的通航安全维护由承包人负责，承包人应根据海事、航道等部门的要求和现场需要，自行设置施工指示灯、导航、防撞、防冲刷等安</w:t>
      </w:r>
      <w:r>
        <w:rPr>
          <w:rFonts w:ascii="宋体" w:hAnsi="宋体" w:cs="宋体"/>
          <w:color w:val="000000" w:themeColor="text1"/>
          <w:spacing w:val="-6"/>
          <w:sz w:val="24"/>
          <w:highlight w:val="none"/>
          <w14:textFill>
            <w14:solidFill>
              <w14:schemeClr w14:val="tx1"/>
            </w14:solidFill>
          </w14:textFill>
        </w:rPr>
        <w:t>全维护设施，安排警戒船只及应急处理船只、设备或设施，并承担由此产生的一切费用。</w:t>
      </w:r>
    </w:p>
    <w:p w14:paraId="7827C3C4">
      <w:pPr>
        <w:spacing w:line="360" w:lineRule="auto"/>
        <w:ind w:left="488"/>
        <w:outlineLvl w:val="1"/>
        <w:rPr>
          <w:rFonts w:hint="eastAsia" w:ascii="宋体" w:hAnsi="宋体" w:cs="宋体"/>
          <w:color w:val="000000" w:themeColor="text1"/>
          <w:sz w:val="24"/>
          <w:highlight w:val="none"/>
          <w14:textFill>
            <w14:solidFill>
              <w14:schemeClr w14:val="tx1"/>
            </w14:solidFill>
          </w14:textFill>
        </w:rPr>
      </w:pPr>
      <w:bookmarkStart w:id="210" w:name="_Toc5883"/>
      <w:bookmarkStart w:id="211" w:name="_Toc13900"/>
      <w:r>
        <w:rPr>
          <w:rFonts w:ascii="宋体" w:hAnsi="宋体" w:cs="宋体"/>
          <w:b/>
          <w:bCs/>
          <w:color w:val="000000" w:themeColor="text1"/>
          <w:spacing w:val="-3"/>
          <w:sz w:val="24"/>
          <w:highlight w:val="none"/>
          <w14:textFill>
            <w14:solidFill>
              <w14:schemeClr w14:val="tx1"/>
            </w14:solidFill>
          </w14:textFill>
        </w:rPr>
        <w:t>9.</w:t>
      </w:r>
      <w:r>
        <w:rPr>
          <w:rFonts w:ascii="宋体" w:hAnsi="宋体" w:cs="宋体"/>
          <w:color w:val="000000" w:themeColor="text1"/>
          <w:spacing w:val="-3"/>
          <w:sz w:val="24"/>
          <w:highlight w:val="none"/>
          <w14:textFill>
            <w14:solidFill>
              <w14:schemeClr w14:val="tx1"/>
            </w14:solidFill>
          </w14:textFill>
        </w:rPr>
        <w:t xml:space="preserve"> </w:t>
      </w:r>
      <w:r>
        <w:rPr>
          <w:rFonts w:ascii="宋体" w:hAnsi="宋体" w:cs="宋体"/>
          <w:b/>
          <w:bCs/>
          <w:color w:val="000000" w:themeColor="text1"/>
          <w:spacing w:val="-3"/>
          <w:sz w:val="24"/>
          <w:highlight w:val="none"/>
          <w14:textFill>
            <w14:solidFill>
              <w14:schemeClr w14:val="tx1"/>
            </w14:solidFill>
          </w14:textFill>
        </w:rPr>
        <w:t>施工安全、治安保卫和环境保护</w:t>
      </w:r>
      <w:bookmarkEnd w:id="210"/>
      <w:bookmarkEnd w:id="211"/>
    </w:p>
    <w:p w14:paraId="00CCE142">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212" w:name="_Toc2164"/>
      <w:bookmarkStart w:id="213" w:name="_Toc30703"/>
      <w:r>
        <w:rPr>
          <w:rFonts w:ascii="宋体" w:hAnsi="宋体" w:cs="宋体"/>
          <w:color w:val="000000" w:themeColor="text1"/>
          <w:spacing w:val="-1"/>
          <w:sz w:val="24"/>
          <w:highlight w:val="none"/>
          <w14:textFill>
            <w14:solidFill>
              <w14:schemeClr w14:val="tx1"/>
            </w14:solidFill>
          </w14:textFill>
        </w:rPr>
        <w:t>9.2 承包人的施工安全责任</w:t>
      </w:r>
      <w:bookmarkEnd w:id="212"/>
      <w:bookmarkEnd w:id="213"/>
    </w:p>
    <w:p w14:paraId="15EFF1A8">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9.2.1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5B70DF22">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承包人应按《广东省高速公路工程施工安全标准化指南</w:t>
      </w:r>
      <w:r>
        <w:rPr>
          <w:rFonts w:ascii="宋体" w:hAnsi="宋体" w:cs="宋体"/>
          <w:color w:val="000000" w:themeColor="text1"/>
          <w:spacing w:val="-1"/>
          <w:sz w:val="24"/>
          <w:highlight w:val="none"/>
          <w14:textFill>
            <w14:solidFill>
              <w14:schemeClr w14:val="tx1"/>
            </w14:solidFill>
          </w14:textFill>
        </w:rPr>
        <w:t>》的规定履行安全职责。</w:t>
      </w:r>
    </w:p>
    <w:p w14:paraId="595B6806">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本项目需要编制专项施工方案的工程包括但不限于以下内容：</w:t>
      </w:r>
    </w:p>
    <w:p w14:paraId="580B30BC">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补充第（11）-（14）</w:t>
      </w:r>
      <w:r>
        <w:rPr>
          <w:rFonts w:ascii="宋体" w:hAnsi="宋体" w:cs="宋体"/>
          <w:color w:val="000000" w:themeColor="text1"/>
          <w:spacing w:val="-6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w:t>
      </w:r>
    </w:p>
    <w:p w14:paraId="512CC9B0">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（11）旧桥涵（含分离立交、匝道桥、现浇、连续梁）的拆除与加固；</w:t>
      </w:r>
    </w:p>
    <w:p w14:paraId="103F49A4">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（12）纵断面调整路段的路基路面施工；</w:t>
      </w:r>
    </w:p>
    <w:p w14:paraId="6674EDB7">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（13）旧收费雨棚及收费岛拆除，旧门架式监控或标志设施拆除；</w:t>
      </w:r>
    </w:p>
    <w:p w14:paraId="35638CC0">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（14）其他危险性较大的工程。</w:t>
      </w:r>
    </w:p>
    <w:p w14:paraId="5928F09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750A5185">
      <w:pPr>
        <w:spacing w:line="360" w:lineRule="auto"/>
        <w:ind w:left="10" w:right="8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国家和有关部门的规定，对施工现场人员和作业船舶、机械、设备的防台风、防突风、防风暴潮、防汛、防火、防雾、防坠落、防雷击等进行安全管理，对施工现场加强水陆交通安全管理、治安防范和消防安全防护措施，并承担由于措施不力造</w:t>
      </w:r>
      <w:r>
        <w:rPr>
          <w:rFonts w:ascii="宋体" w:hAnsi="宋体" w:cs="宋体"/>
          <w:color w:val="000000" w:themeColor="text1"/>
          <w:spacing w:val="-1"/>
          <w:sz w:val="24"/>
          <w:highlight w:val="none"/>
          <w14:textFill>
            <w14:solidFill>
              <w14:schemeClr w14:val="tx1"/>
            </w14:solidFill>
          </w14:textFill>
        </w:rPr>
        <w:t>成的事故责任和由此发生的费用。</w:t>
      </w:r>
    </w:p>
    <w:p w14:paraId="25D11539">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9.2.3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293422BC">
      <w:pPr>
        <w:spacing w:line="360" w:lineRule="auto"/>
        <w:ind w:left="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9.2.3.1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承包人应贯彻执行国家有关安全生产、职业健康与环境</w:t>
      </w:r>
      <w:r>
        <w:rPr>
          <w:rFonts w:ascii="宋体" w:hAnsi="宋体" w:cs="宋体"/>
          <w:color w:val="000000" w:themeColor="text1"/>
          <w:spacing w:val="-5"/>
          <w:sz w:val="24"/>
          <w:highlight w:val="none"/>
          <w14:textFill>
            <w14:solidFill>
              <w14:schemeClr w14:val="tx1"/>
            </w14:solidFill>
          </w14:textFill>
        </w:rPr>
        <w:t>保护的法律、法规、</w:t>
      </w:r>
      <w:r>
        <w:rPr>
          <w:rFonts w:ascii="宋体" w:hAnsi="宋体" w:cs="宋体"/>
          <w:color w:val="000000" w:themeColor="text1"/>
          <w:spacing w:val="-2"/>
          <w:sz w:val="24"/>
          <w:highlight w:val="none"/>
          <w14:textFill>
            <w14:solidFill>
              <w14:schemeClr w14:val="tx1"/>
            </w14:solidFill>
          </w14:textFill>
        </w:rPr>
        <w:t>工程建设强制性标准及项目所在地的有关规定，以及发包人制定的管理制度，建立有效的安全生产、职业健康、环境保护管理体系，用于规范项目的安全生产、职业健康和环境保护管理工作。</w:t>
      </w:r>
    </w:p>
    <w:p w14:paraId="274619BF">
      <w:pPr>
        <w:spacing w:line="360" w:lineRule="auto"/>
        <w:ind w:left="7"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9.2.3.2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项目的安全生产、职业健康和环境保护管理</w:t>
      </w:r>
      <w:r>
        <w:rPr>
          <w:rFonts w:ascii="宋体" w:hAnsi="宋体" w:cs="宋体"/>
          <w:color w:val="000000" w:themeColor="text1"/>
          <w:spacing w:val="-1"/>
          <w:sz w:val="24"/>
          <w:highlight w:val="none"/>
          <w14:textFill>
            <w14:solidFill>
              <w14:schemeClr w14:val="tx1"/>
            </w14:solidFill>
          </w14:textFill>
        </w:rPr>
        <w:t>，应接受政府主管部门及其授</w:t>
      </w:r>
      <w:r>
        <w:rPr>
          <w:rFonts w:ascii="宋体" w:hAnsi="宋体" w:cs="宋体"/>
          <w:color w:val="000000" w:themeColor="text1"/>
          <w:sz w:val="24"/>
          <w:highlight w:val="none"/>
          <w14:textFill>
            <w14:solidFill>
              <w14:schemeClr w14:val="tx1"/>
            </w14:solidFill>
          </w14:textFill>
        </w:rPr>
        <w:t>权委托机构、发包人及其所委托的监理机构的监督</w:t>
      </w:r>
      <w:r>
        <w:rPr>
          <w:rFonts w:ascii="宋体" w:hAnsi="宋体" w:cs="宋体"/>
          <w:color w:val="000000" w:themeColor="text1"/>
          <w:spacing w:val="-1"/>
          <w:sz w:val="24"/>
          <w:highlight w:val="none"/>
          <w14:textFill>
            <w14:solidFill>
              <w14:schemeClr w14:val="tx1"/>
            </w14:solidFill>
          </w14:textFill>
        </w:rPr>
        <w:t>、检查、协调与指导。</w:t>
      </w:r>
    </w:p>
    <w:p w14:paraId="6B4114B1">
      <w:pPr>
        <w:spacing w:line="360" w:lineRule="auto"/>
        <w:ind w:left="7" w:right="77"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9.2.3.3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承包人应建立健全并落实安全生产“一岗双责</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”责任制和全员安全生产责任制，确保管生产同时管安全，实现全员全过程安全管理。</w:t>
      </w:r>
    </w:p>
    <w:p w14:paraId="6594A30B">
      <w:pPr>
        <w:spacing w:line="360" w:lineRule="auto"/>
        <w:ind w:left="8" w:right="6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9.2.3.4</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承包人应深入开展以岗位达标、专业达标和项目达标</w:t>
      </w:r>
      <w:r>
        <w:rPr>
          <w:rFonts w:ascii="宋体" w:hAnsi="宋体" w:cs="宋体"/>
          <w:color w:val="000000" w:themeColor="text1"/>
          <w:spacing w:val="-1"/>
          <w:sz w:val="24"/>
          <w:highlight w:val="none"/>
          <w14:textFill>
            <w14:solidFill>
              <w14:schemeClr w14:val="tx1"/>
            </w14:solidFill>
          </w14:textFill>
        </w:rPr>
        <w:t>为内容的安全生产标</w:t>
      </w:r>
      <w:r>
        <w:rPr>
          <w:rFonts w:ascii="宋体" w:hAnsi="宋体" w:cs="宋体"/>
          <w:color w:val="000000" w:themeColor="text1"/>
          <w:spacing w:val="-2"/>
          <w:sz w:val="24"/>
          <w:highlight w:val="none"/>
          <w14:textFill>
            <w14:solidFill>
              <w14:schemeClr w14:val="tx1"/>
            </w14:solidFill>
          </w14:textFill>
        </w:rPr>
        <w:t>准化建设。重点开展公路水运工程“平安工地</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”建设</w:t>
      </w:r>
      <w:r>
        <w:rPr>
          <w:rFonts w:ascii="宋体" w:hAnsi="宋体" w:cs="宋体"/>
          <w:color w:val="000000" w:themeColor="text1"/>
          <w:spacing w:val="-3"/>
          <w:sz w:val="24"/>
          <w:highlight w:val="none"/>
          <w14:textFill>
            <w14:solidFill>
              <w14:schemeClr w14:val="tx1"/>
            </w14:solidFill>
          </w14:textFill>
        </w:rPr>
        <w:t>管理活动，按照《广东省交通运输</w:t>
      </w:r>
      <w:r>
        <w:rPr>
          <w:rFonts w:ascii="宋体" w:hAnsi="宋体" w:cs="宋体"/>
          <w:color w:val="000000" w:themeColor="text1"/>
          <w:spacing w:val="-2"/>
          <w:sz w:val="24"/>
          <w:highlight w:val="none"/>
          <w14:textFill>
            <w14:solidFill>
              <w14:schemeClr w14:val="tx1"/>
            </w14:solidFill>
          </w14:textFill>
        </w:rPr>
        <w:t>厅关于公路水运工程平安工地建设的管理办法》，开展平安工地建设，经常性的开展安全生产自查和安全隐患排查，每月至少组织一次全面的自我考核评价，并将考核评价结</w:t>
      </w:r>
      <w:r>
        <w:rPr>
          <w:rFonts w:ascii="宋体" w:hAnsi="宋体" w:cs="宋体"/>
          <w:color w:val="000000" w:themeColor="text1"/>
          <w:spacing w:val="-1"/>
          <w:sz w:val="24"/>
          <w:highlight w:val="none"/>
          <w14:textFill>
            <w14:solidFill>
              <w14:schemeClr w14:val="tx1"/>
            </w14:solidFill>
          </w14:textFill>
        </w:rPr>
        <w:t>果向监理人和发包人备案。</w:t>
      </w:r>
    </w:p>
    <w:p w14:paraId="46FB3F64">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9.2.4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324BFA26">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承包人必须重视应急管理，在应急管理方面要</w:t>
      </w:r>
      <w:r>
        <w:rPr>
          <w:rFonts w:ascii="宋体" w:hAnsi="宋体" w:cs="宋体"/>
          <w:color w:val="000000" w:themeColor="text1"/>
          <w:spacing w:val="-1"/>
          <w:sz w:val="24"/>
          <w:highlight w:val="none"/>
          <w14:textFill>
            <w14:solidFill>
              <w14:schemeClr w14:val="tx1"/>
            </w14:solidFill>
          </w14:textFill>
        </w:rPr>
        <w:t>做好但不限于以下工作：</w:t>
      </w:r>
    </w:p>
    <w:p w14:paraId="49C68900">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（1）建立和完善应急组织体系。</w:t>
      </w:r>
    </w:p>
    <w:p w14:paraId="554D60D0">
      <w:pPr>
        <w:spacing w:line="360" w:lineRule="auto"/>
        <w:ind w:left="8" w:right="6"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（2）结合工程特点建立完善的应急预案体系，承包人编制的应急预案必须和项目</w:t>
      </w:r>
      <w:r>
        <w:rPr>
          <w:rFonts w:ascii="宋体" w:hAnsi="宋体" w:cs="宋体"/>
          <w:color w:val="000000" w:themeColor="text1"/>
          <w:spacing w:val="-6"/>
          <w:sz w:val="24"/>
          <w:highlight w:val="none"/>
          <w14:textFill>
            <w14:solidFill>
              <w14:schemeClr w14:val="tx1"/>
            </w14:solidFill>
          </w14:textFill>
        </w:rPr>
        <w:t>参建各方、项目所在地相关的应急预案体系相互衔接，互为呼应。按照应急预案的</w:t>
      </w:r>
      <w:r>
        <w:rPr>
          <w:rFonts w:ascii="宋体" w:hAnsi="宋体" w:cs="宋体"/>
          <w:color w:val="000000" w:themeColor="text1"/>
          <w:spacing w:val="-7"/>
          <w:sz w:val="24"/>
          <w:highlight w:val="none"/>
          <w14:textFill>
            <w14:solidFill>
              <w14:schemeClr w14:val="tx1"/>
            </w14:solidFill>
          </w14:textFill>
        </w:rPr>
        <w:t>要求，</w:t>
      </w:r>
      <w:r>
        <w:rPr>
          <w:rFonts w:ascii="宋体" w:hAnsi="宋体" w:cs="宋体"/>
          <w:color w:val="000000" w:themeColor="text1"/>
          <w:spacing w:val="-2"/>
          <w:sz w:val="24"/>
          <w:highlight w:val="none"/>
          <w14:textFill>
            <w14:solidFill>
              <w14:schemeClr w14:val="tx1"/>
            </w14:solidFill>
          </w14:textFill>
        </w:rPr>
        <w:t>组建和完善专兼职应急救援队伍、配备应急救援设施和装备，保证应急救援物资处于良</w:t>
      </w:r>
      <w:r>
        <w:rPr>
          <w:rFonts w:ascii="宋体" w:hAnsi="宋体" w:cs="宋体"/>
          <w:color w:val="000000" w:themeColor="text1"/>
          <w:spacing w:val="-1"/>
          <w:sz w:val="24"/>
          <w:highlight w:val="none"/>
          <w14:textFill>
            <w14:solidFill>
              <w14:schemeClr w14:val="tx1"/>
            </w14:solidFill>
          </w14:textFill>
        </w:rPr>
        <w:t>好状态，确保正常使用。</w:t>
      </w:r>
    </w:p>
    <w:p w14:paraId="266A4BC4">
      <w:pPr>
        <w:spacing w:line="360" w:lineRule="auto"/>
        <w:ind w:left="12" w:right="108"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（3）承包人应经常组织应急预案演练，不断完善应急预案，提升应急管理水平。</w:t>
      </w:r>
      <w:r>
        <w:rPr>
          <w:rFonts w:ascii="宋体" w:hAnsi="宋体" w:cs="宋体"/>
          <w:color w:val="000000" w:themeColor="text1"/>
          <w:spacing w:val="-1"/>
          <w:sz w:val="24"/>
          <w:highlight w:val="none"/>
          <w14:textFill>
            <w14:solidFill>
              <w14:schemeClr w14:val="tx1"/>
            </w14:solidFill>
          </w14:textFill>
        </w:rPr>
        <w:t>发生突发事件时，迅速启动应急预案，开展各项应急处置工作。</w:t>
      </w:r>
    </w:p>
    <w:p w14:paraId="7F146443">
      <w:pPr>
        <w:spacing w:line="360" w:lineRule="auto"/>
        <w:ind w:left="8" w:right="6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（4）承包人应主动接受所在地人民政府安全生产监督管理部门和有关主管部门安</w:t>
      </w:r>
      <w:r>
        <w:rPr>
          <w:rFonts w:ascii="宋体" w:hAnsi="宋体" w:cs="宋体"/>
          <w:color w:val="000000" w:themeColor="text1"/>
          <w:spacing w:val="-2"/>
          <w:sz w:val="24"/>
          <w:highlight w:val="none"/>
          <w14:textFill>
            <w14:solidFill>
              <w14:schemeClr w14:val="tx1"/>
            </w14:solidFill>
          </w14:textFill>
        </w:rPr>
        <w:t>全监督指导，并积极配合相关单位做好应急管理工作，因上述单位要求而增加的安全设</w:t>
      </w:r>
      <w:r>
        <w:rPr>
          <w:rFonts w:ascii="宋体" w:hAnsi="宋体" w:cs="宋体"/>
          <w:color w:val="000000" w:themeColor="text1"/>
          <w:spacing w:val="-1"/>
          <w:sz w:val="24"/>
          <w:highlight w:val="none"/>
          <w14:textFill>
            <w14:solidFill>
              <w14:schemeClr w14:val="tx1"/>
            </w14:solidFill>
          </w14:textFill>
        </w:rPr>
        <w:t>备、措施、防护等费用，原则上由承包人从安全生产费用</w:t>
      </w:r>
      <w:r>
        <w:rPr>
          <w:rFonts w:ascii="宋体" w:hAnsi="宋体" w:cs="宋体"/>
          <w:color w:val="000000" w:themeColor="text1"/>
          <w:spacing w:val="-2"/>
          <w:sz w:val="24"/>
          <w:highlight w:val="none"/>
          <w14:textFill>
            <w14:solidFill>
              <w14:schemeClr w14:val="tx1"/>
            </w14:solidFill>
          </w14:textFill>
        </w:rPr>
        <w:t>中列支，发包人不另行支付。</w:t>
      </w:r>
    </w:p>
    <w:p w14:paraId="5CC5B14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第</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9.2.5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项细化为：</w:t>
      </w:r>
    </w:p>
    <w:p w14:paraId="1C271A75">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根据国家、省和广东省交通运输厅关于印发《广东省交通运输厅关于公路水运建设工程安全生产费用的管理办法》的通知等相关规定要求，本合同设立安全生产费。</w:t>
      </w:r>
      <w:r>
        <w:rPr>
          <w:rFonts w:ascii="宋体" w:hAnsi="宋体" w:cs="宋体"/>
          <w:color w:val="000000" w:themeColor="text1"/>
          <w:spacing w:val="-2"/>
          <w:sz w:val="24"/>
          <w:highlight w:val="none"/>
          <w:u w:val="single"/>
          <w14:textFill>
            <w14:solidFill>
              <w14:schemeClr w14:val="tx1"/>
            </w14:solidFill>
          </w14:textFill>
        </w:rPr>
        <w:t>安全生产费按计费基数（按最高投标限价工程量清单各章费用之和，扣除安全生产费、保险费、机电工程设备购置费以及临时用地费）的</w:t>
      </w:r>
      <w:r>
        <w:rPr>
          <w:rFonts w:ascii="宋体" w:hAnsi="宋体" w:cs="宋体"/>
          <w:color w:val="000000" w:themeColor="text1"/>
          <w:spacing w:val="-31"/>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1.5%（不含新建、改建、扩建以及拆除、</w:t>
      </w:r>
      <w:r>
        <w:rPr>
          <w:rFonts w:ascii="宋体" w:hAnsi="宋体" w:cs="宋体"/>
          <w:color w:val="000000" w:themeColor="text1"/>
          <w:spacing w:val="2"/>
          <w:sz w:val="24"/>
          <w:highlight w:val="none"/>
          <w:u w:val="single"/>
          <w14:textFill>
            <w14:solidFill>
              <w14:schemeClr w14:val="tx1"/>
            </w14:solidFill>
          </w14:textFill>
        </w:rPr>
        <w:t>加固等建设工程专项交通安全维护费，其中房建</w:t>
      </w:r>
      <w:r>
        <w:rPr>
          <w:rFonts w:ascii="宋体" w:hAnsi="宋体" w:cs="宋体"/>
          <w:color w:val="000000" w:themeColor="text1"/>
          <w:spacing w:val="1"/>
          <w:sz w:val="24"/>
          <w:highlight w:val="none"/>
          <w:u w:val="single"/>
          <w14:textFill>
            <w14:solidFill>
              <w14:schemeClr w14:val="tx1"/>
            </w14:solidFill>
          </w14:textFill>
        </w:rPr>
        <w:t>工程按    %）以固定金额的形式计入</w:t>
      </w:r>
      <w:r>
        <w:rPr>
          <w:rFonts w:ascii="宋体" w:hAnsi="宋体" w:cs="宋体"/>
          <w:color w:val="000000" w:themeColor="text1"/>
          <w:spacing w:val="-1"/>
          <w:sz w:val="24"/>
          <w:highlight w:val="none"/>
          <w:u w:val="single"/>
          <w14:textFill>
            <w14:solidFill>
              <w14:schemeClr w14:val="tx1"/>
            </w14:solidFill>
          </w14:textFill>
        </w:rPr>
        <w:t>工程量清单支付子目</w:t>
      </w:r>
      <w:r>
        <w:rPr>
          <w:rFonts w:ascii="宋体" w:hAnsi="宋体" w:cs="宋体"/>
          <w:color w:val="000000" w:themeColor="text1"/>
          <w:spacing w:val="-26"/>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102-3</w:t>
      </w:r>
      <w:r>
        <w:rPr>
          <w:rFonts w:ascii="宋体" w:hAnsi="宋体" w:cs="宋体"/>
          <w:color w:val="000000" w:themeColor="text1"/>
          <w:spacing w:val="-26"/>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中</w:t>
      </w:r>
      <w:r>
        <w:rPr>
          <w:rFonts w:ascii="宋体" w:hAnsi="宋体" w:cs="宋体"/>
          <w:color w:val="000000" w:themeColor="text1"/>
          <w:spacing w:val="-1"/>
          <w:sz w:val="24"/>
          <w:highlight w:val="none"/>
          <w14:textFill>
            <w14:solidFill>
              <w14:schemeClr w14:val="tx1"/>
            </w14:solidFill>
          </w14:textFill>
        </w:rPr>
        <w:t>。因设计变更以及工程量清单数量与招标图纸、施工图</w:t>
      </w:r>
      <w:r>
        <w:rPr>
          <w:rFonts w:ascii="宋体" w:hAnsi="宋体" w:cs="宋体"/>
          <w:color w:val="000000" w:themeColor="text1"/>
          <w:spacing w:val="-2"/>
          <w:sz w:val="24"/>
          <w:highlight w:val="none"/>
          <w14:textFill>
            <w14:solidFill>
              <w14:schemeClr w14:val="tx1"/>
            </w14:solidFill>
          </w14:textFill>
        </w:rPr>
        <w:t>纸工程数量的差、错、漏而引起施工单位安全生产费用实际投入总额与合同约定不一致</w:t>
      </w:r>
      <w:r>
        <w:rPr>
          <w:rFonts w:ascii="宋体" w:hAnsi="宋体" w:cs="宋体"/>
          <w:color w:val="000000" w:themeColor="text1"/>
          <w:sz w:val="24"/>
          <w:highlight w:val="none"/>
          <w14:textFill>
            <w14:solidFill>
              <w14:schemeClr w14:val="tx1"/>
            </w14:solidFill>
          </w14:textFill>
        </w:rPr>
        <w:t>的，差额部分的安全生产费用按照批复变更金额和规</w:t>
      </w:r>
      <w:r>
        <w:rPr>
          <w:rFonts w:ascii="宋体" w:hAnsi="宋体" w:cs="宋体"/>
          <w:color w:val="000000" w:themeColor="text1"/>
          <w:spacing w:val="-1"/>
          <w:sz w:val="24"/>
          <w:highlight w:val="none"/>
          <w14:textFill>
            <w14:solidFill>
              <w14:schemeClr w14:val="tx1"/>
            </w14:solidFill>
          </w14:textFill>
        </w:rPr>
        <w:t>定提取比例作相应调整。</w:t>
      </w:r>
    </w:p>
    <w:p w14:paraId="7FBF5F80">
      <w:pPr>
        <w:spacing w:line="360" w:lineRule="auto"/>
        <w:ind w:left="499"/>
        <w:rPr>
          <w:color w:val="000000" w:themeColor="text1"/>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（1）安全生产费用预付款比例及扣回方式：</w:t>
      </w:r>
      <w:r>
        <w:rPr>
          <w:rFonts w:ascii="宋体" w:hAnsi="宋体" w:cs="宋体"/>
          <w:color w:val="000000" w:themeColor="text1"/>
          <w:spacing w:val="-1"/>
          <w:sz w:val="24"/>
          <w:highlight w:val="none"/>
          <w:u w:val="single"/>
          <w14:textFill>
            <w14:solidFill>
              <w14:schemeClr w14:val="tx1"/>
            </w14:solidFill>
          </w14:textFill>
        </w:rPr>
        <w:t xml:space="preserve">        </w:t>
      </w:r>
      <w:r>
        <w:rPr>
          <w:rFonts w:hint="eastAsia" w:ascii="宋体" w:hAnsi="宋体" w:cs="宋体"/>
          <w:color w:val="000000" w:themeColor="text1"/>
          <w:spacing w:val="-1"/>
          <w:sz w:val="24"/>
          <w:highlight w:val="none"/>
          <w:u w:val="single"/>
          <w14:textFill>
            <w14:solidFill>
              <w14:schemeClr w14:val="tx1"/>
            </w14:solidFill>
          </w14:textFill>
        </w:rPr>
        <w:t>/</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8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p>
    <w:p w14:paraId="38359E36">
      <w:pPr>
        <w:spacing w:line="360" w:lineRule="auto"/>
        <w:ind w:left="8" w:right="181" w:firstLine="491"/>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（2）施工准备阶段，承包人应根据安全生产费总额及广东省交通运输厅关于印发</w:t>
      </w:r>
      <w:r>
        <w:rPr>
          <w:rFonts w:ascii="宋体" w:hAnsi="宋体" w:cs="宋体"/>
          <w:color w:val="000000" w:themeColor="text1"/>
          <w:spacing w:val="-2"/>
          <w:sz w:val="24"/>
          <w:highlight w:val="none"/>
          <w14:textFill>
            <w14:solidFill>
              <w14:schemeClr w14:val="tx1"/>
            </w14:solidFill>
          </w14:textFill>
        </w:rPr>
        <w:t>《广东省交通运输厅关于公路水运建设工程安全生产费用的管理办法》的通知规定的安全生产费用清单附录申报子目、价格及数量（包括购买安全生产责任保险</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由监理单</w:t>
      </w:r>
      <w:r>
        <w:rPr>
          <w:rFonts w:ascii="宋体" w:hAnsi="宋体" w:cs="宋体"/>
          <w:color w:val="000000" w:themeColor="text1"/>
          <w:spacing w:val="-1"/>
          <w:sz w:val="24"/>
          <w:highlight w:val="none"/>
          <w14:textFill>
            <w14:solidFill>
              <w14:schemeClr w14:val="tx1"/>
            </w14:solidFill>
          </w14:textFill>
        </w:rPr>
        <w:t>位审核后报发包人批准（或备案）。</w:t>
      </w:r>
    </w:p>
    <w:p w14:paraId="2F39E0BA">
      <w:pPr>
        <w:spacing w:line="360" w:lineRule="auto"/>
        <w:ind w:left="9" w:right="18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（3）承包人应根据每一计量周期安全生产投入情况及安全生产费用清单按实计量</w:t>
      </w:r>
      <w:r>
        <w:rPr>
          <w:rFonts w:ascii="宋体" w:hAnsi="宋体" w:cs="宋体"/>
          <w:color w:val="000000" w:themeColor="text1"/>
          <w:spacing w:val="-2"/>
          <w:sz w:val="24"/>
          <w:highlight w:val="none"/>
          <w14:textFill>
            <w14:solidFill>
              <w14:schemeClr w14:val="tx1"/>
            </w14:solidFill>
          </w14:textFill>
        </w:rPr>
        <w:t>支付，经发包人同意，安全生产经费各子项经费可相互调剂使用，但最终支付总额不超</w:t>
      </w:r>
      <w:r>
        <w:rPr>
          <w:rFonts w:ascii="宋体" w:hAnsi="宋体" w:cs="宋体"/>
          <w:color w:val="000000" w:themeColor="text1"/>
          <w:sz w:val="24"/>
          <w:highlight w:val="none"/>
          <w14:textFill>
            <w14:solidFill>
              <w14:schemeClr w14:val="tx1"/>
            </w14:solidFill>
          </w14:textFill>
        </w:rPr>
        <w:t>过安全生产费总额（发生设计变更的，以按合同</w:t>
      </w:r>
      <w:r>
        <w:rPr>
          <w:rFonts w:ascii="宋体" w:hAnsi="宋体" w:cs="宋体"/>
          <w:color w:val="000000" w:themeColor="text1"/>
          <w:spacing w:val="-1"/>
          <w:sz w:val="24"/>
          <w:highlight w:val="none"/>
          <w14:textFill>
            <w14:solidFill>
              <w14:schemeClr w14:val="tx1"/>
            </w14:solidFill>
          </w14:textFill>
        </w:rPr>
        <w:t>约定调整后的总额为准）。</w:t>
      </w:r>
    </w:p>
    <w:p w14:paraId="4A1E55CC">
      <w:pPr>
        <w:spacing w:line="360" w:lineRule="auto"/>
        <w:ind w:left="9" w:right="18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（4）安全生产费用应专门用于完善和改进工程项目安全作业环境、安全施工措施</w:t>
      </w:r>
      <w:r>
        <w:rPr>
          <w:rFonts w:ascii="宋体" w:hAnsi="宋体" w:cs="宋体"/>
          <w:color w:val="000000" w:themeColor="text1"/>
          <w:spacing w:val="-2"/>
          <w:sz w:val="24"/>
          <w:highlight w:val="none"/>
          <w14:textFill>
            <w14:solidFill>
              <w14:schemeClr w14:val="tx1"/>
            </w14:solidFill>
          </w14:textFill>
        </w:rPr>
        <w:t>和条件，严禁挪用。</w:t>
      </w:r>
    </w:p>
    <w:p w14:paraId="160C21F0">
      <w:pPr>
        <w:spacing w:line="360" w:lineRule="auto"/>
        <w:ind w:left="9" w:right="18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（5）承包人应根据实际需要使用安全生产费用，因设计变更造成承包人安全生产</w:t>
      </w:r>
      <w:r>
        <w:rPr>
          <w:rFonts w:ascii="宋体" w:hAnsi="宋体" w:cs="宋体"/>
          <w:color w:val="000000" w:themeColor="text1"/>
          <w:spacing w:val="-2"/>
          <w:sz w:val="24"/>
          <w:highlight w:val="none"/>
          <w14:textFill>
            <w14:solidFill>
              <w14:schemeClr w14:val="tx1"/>
            </w14:solidFill>
          </w14:textFill>
        </w:rPr>
        <w:t>费用实际投入总额与合同约定不一致的，差额部分的安全生产费用按照批复变更金额和</w:t>
      </w:r>
      <w:r>
        <w:rPr>
          <w:rFonts w:ascii="宋体" w:hAnsi="宋体" w:cs="宋体"/>
          <w:color w:val="000000" w:themeColor="text1"/>
          <w:spacing w:val="-1"/>
          <w:sz w:val="24"/>
          <w:highlight w:val="none"/>
          <w14:textFill>
            <w14:solidFill>
              <w14:schemeClr w14:val="tx1"/>
            </w14:solidFill>
          </w14:textFill>
        </w:rPr>
        <w:t>规定提取比例同时调整。</w:t>
      </w:r>
    </w:p>
    <w:p w14:paraId="72CD4597">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（6）非因设计变更造成承包人安全生产费用实际投入总额与合同约定不一致的，</w:t>
      </w:r>
    </w:p>
    <w:p w14:paraId="59C39113">
      <w:pPr>
        <w:spacing w:line="360" w:lineRule="auto"/>
        <w:ind w:left="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承包人安全生产费用实际支出超过合同约定安全生产费用总额的，发包人不再另行支付，</w:t>
      </w:r>
      <w:r>
        <w:rPr>
          <w:rFonts w:ascii="宋体" w:hAnsi="宋体" w:cs="宋体"/>
          <w:color w:val="000000" w:themeColor="text1"/>
          <w:spacing w:val="-1"/>
          <w:sz w:val="24"/>
          <w:highlight w:val="none"/>
          <w14:textFill>
            <w14:solidFill>
              <w14:schemeClr w14:val="tx1"/>
            </w14:solidFill>
          </w14:textFill>
        </w:rPr>
        <w:t>超出部分由承包人自行承担。</w:t>
      </w:r>
    </w:p>
    <w:p w14:paraId="39AF3956">
      <w:pPr>
        <w:spacing w:line="360" w:lineRule="auto"/>
        <w:ind w:left="7"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（7）承包人未按照合同约定落实安全生产措施的，发包人可以责令其暂停施工或</w:t>
      </w:r>
      <w:r>
        <w:rPr>
          <w:rFonts w:ascii="宋体" w:hAnsi="宋体" w:cs="宋体"/>
          <w:color w:val="000000" w:themeColor="text1"/>
          <w:spacing w:val="-2"/>
          <w:sz w:val="24"/>
          <w:highlight w:val="none"/>
          <w14:textFill>
            <w14:solidFill>
              <w14:schemeClr w14:val="tx1"/>
            </w14:solidFill>
          </w14:textFill>
        </w:rPr>
        <w:t>暂停支付安全生产费用，并要求监理人督促整改，直至承包人完成整改。若承包人未能</w:t>
      </w:r>
      <w:r>
        <w:rPr>
          <w:rFonts w:ascii="宋体" w:hAnsi="宋体" w:cs="宋体"/>
          <w:color w:val="000000" w:themeColor="text1"/>
          <w:spacing w:val="-3"/>
          <w:sz w:val="24"/>
          <w:highlight w:val="none"/>
          <w14:textFill>
            <w14:solidFill>
              <w14:schemeClr w14:val="tx1"/>
            </w14:solidFill>
          </w14:textFill>
        </w:rPr>
        <w:t>在规定期限内完成对施工现场事故隐患整改的，发包人可以直接委托其他单位代为整改，</w:t>
      </w:r>
      <w:r>
        <w:rPr>
          <w:rFonts w:ascii="宋体" w:hAnsi="宋体" w:cs="宋体"/>
          <w:color w:val="000000" w:themeColor="text1"/>
          <w:sz w:val="24"/>
          <w:highlight w:val="none"/>
          <w14:textFill>
            <w14:solidFill>
              <w14:schemeClr w14:val="tx1"/>
            </w14:solidFill>
          </w14:textFill>
        </w:rPr>
        <w:t>相关费用在支付给承包人的费用中扣除，并由发包人直</w:t>
      </w:r>
      <w:r>
        <w:rPr>
          <w:rFonts w:ascii="宋体" w:hAnsi="宋体" w:cs="宋体"/>
          <w:color w:val="000000" w:themeColor="text1"/>
          <w:spacing w:val="-1"/>
          <w:sz w:val="24"/>
          <w:highlight w:val="none"/>
          <w14:textFill>
            <w14:solidFill>
              <w14:schemeClr w14:val="tx1"/>
            </w14:solidFill>
          </w14:textFill>
        </w:rPr>
        <w:t>接支付给受委托单位。</w:t>
      </w:r>
    </w:p>
    <w:p w14:paraId="0BD5D59C">
      <w:pPr>
        <w:spacing w:line="360" w:lineRule="auto"/>
        <w:ind w:left="10" w:right="181"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（8）工程交工验收后，安全生产费用实际投入总额少于工程量清单中安全生产费</w:t>
      </w:r>
      <w:r>
        <w:rPr>
          <w:rFonts w:ascii="宋体" w:hAnsi="宋体" w:cs="宋体"/>
          <w:color w:val="000000" w:themeColor="text1"/>
          <w:sz w:val="24"/>
          <w:highlight w:val="none"/>
          <w14:textFill>
            <w14:solidFill>
              <w14:schemeClr w14:val="tx1"/>
            </w14:solidFill>
          </w14:textFill>
        </w:rPr>
        <w:t>用总额的，经监理人核实后，未计量部分（除变</w:t>
      </w:r>
      <w:r>
        <w:rPr>
          <w:rFonts w:ascii="宋体" w:hAnsi="宋体" w:cs="宋体"/>
          <w:color w:val="000000" w:themeColor="text1"/>
          <w:spacing w:val="-1"/>
          <w:sz w:val="24"/>
          <w:highlight w:val="none"/>
          <w14:textFill>
            <w14:solidFill>
              <w14:schemeClr w14:val="tx1"/>
            </w14:solidFill>
          </w14:textFill>
        </w:rPr>
        <w:t>更费用外）原则上不再支付。</w:t>
      </w:r>
    </w:p>
    <w:p w14:paraId="7CA17EA8">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9.2.6</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项细化为:</w:t>
      </w:r>
    </w:p>
    <w:p w14:paraId="3DDBD20C">
      <w:pPr>
        <w:spacing w:line="360" w:lineRule="auto"/>
        <w:ind w:left="8"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承包人对其分包施工现场的安全生产负总责。分包合同中应当明确各自的安全生产方面的权利、义务，承包人和分包人对分包工程的安全生产承担连带责任。分包单位安</w:t>
      </w:r>
      <w:r>
        <w:rPr>
          <w:rFonts w:ascii="宋体" w:hAnsi="宋体" w:cs="宋体"/>
          <w:color w:val="000000" w:themeColor="text1"/>
          <w:sz w:val="24"/>
          <w:highlight w:val="none"/>
          <w14:textFill>
            <w14:solidFill>
              <w14:schemeClr w14:val="tx1"/>
            </w14:solidFill>
          </w14:textFill>
        </w:rPr>
        <w:t>全生产条件和措施投入不足的应当由承包人负责配足</w:t>
      </w:r>
      <w:r>
        <w:rPr>
          <w:rFonts w:ascii="宋体" w:hAnsi="宋体" w:cs="宋体"/>
          <w:color w:val="000000" w:themeColor="text1"/>
          <w:spacing w:val="-1"/>
          <w:sz w:val="24"/>
          <w:highlight w:val="none"/>
          <w14:textFill>
            <w14:solidFill>
              <w14:schemeClr w14:val="tx1"/>
            </w14:solidFill>
          </w14:textFill>
        </w:rPr>
        <w:t>，其费用由承包人承担。</w:t>
      </w:r>
    </w:p>
    <w:p w14:paraId="1822C3C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9.2.8（4）</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目细化为：</w:t>
      </w:r>
    </w:p>
    <w:p w14:paraId="43304C1A">
      <w:pPr>
        <w:spacing w:line="360" w:lineRule="auto"/>
        <w:ind w:left="9" w:right="18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根据本合同各单位工程的施工特点，严格执行《公路水运工程安全生产监督管理办法》《公路工程施工安全技术规范》等有关规定。承包人须成立安全生产组织机构和独</w:t>
      </w:r>
    </w:p>
    <w:p w14:paraId="260A07C2">
      <w:pPr>
        <w:pStyle w:val="3"/>
        <w:spacing w:line="270" w:lineRule="auto"/>
        <w:rPr>
          <w:color w:val="000000" w:themeColor="text1"/>
          <w:highlight w:val="none"/>
          <w14:textFill>
            <w14:solidFill>
              <w14:schemeClr w14:val="tx1"/>
            </w14:solidFill>
          </w14:textFill>
        </w:rPr>
      </w:pPr>
      <w:bookmarkStart w:id="214" w:name="bookmark318"/>
      <w:bookmarkEnd w:id="214"/>
      <w:r>
        <w:rPr>
          <w:rFonts w:ascii="宋体" w:hAnsi="宋体" w:cs="宋体"/>
          <w:color w:val="000000" w:themeColor="text1"/>
          <w:spacing w:val="-2"/>
          <w:sz w:val="24"/>
          <w:highlight w:val="none"/>
          <w14:textFill>
            <w14:solidFill>
              <w14:schemeClr w14:val="tx1"/>
            </w14:solidFill>
          </w14:textFill>
        </w:rPr>
        <w:t>立的安全生产管理部门，配备安全专职副经理和专职安全生产管理人员，明确安全生产</w:t>
      </w:r>
    </w:p>
    <w:p w14:paraId="7FBA4208">
      <w:pPr>
        <w:spacing w:before="78" w:line="360" w:lineRule="auto"/>
        <w:ind w:left="12" w:right="178" w:hanging="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第一责任人、直接责任人及其职责，如责任人和专职安全管理人员发生变动，必须立即书面通知监理人和发包人。</w:t>
      </w:r>
    </w:p>
    <w:p w14:paraId="2645F3CF">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在本款补充第</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9.2.12</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项～第</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9.2.17</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0FBCFACE">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9.2.12</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涉水及船舶安全管理</w:t>
      </w:r>
    </w:p>
    <w:p w14:paraId="0209D9C3">
      <w:pPr>
        <w:spacing w:line="360" w:lineRule="auto"/>
        <w:ind w:left="9" w:right="178"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（1）承包人应根据《中华人民共和国水上水下作业和活动通航安全管理规定》的</w:t>
      </w:r>
      <w:r>
        <w:rPr>
          <w:rFonts w:ascii="宋体" w:hAnsi="宋体" w:cs="宋体"/>
          <w:color w:val="000000" w:themeColor="text1"/>
          <w:spacing w:val="-2"/>
          <w:sz w:val="24"/>
          <w:highlight w:val="none"/>
          <w14:textFill>
            <w14:solidFill>
              <w14:schemeClr w14:val="tx1"/>
            </w14:solidFill>
          </w14:textFill>
        </w:rPr>
        <w:t>规定及《中华人民共和国安全生产法》的要求，建立健全涉水工程水上交通安全制度和</w:t>
      </w:r>
      <w:r>
        <w:rPr>
          <w:rFonts w:ascii="宋体" w:hAnsi="宋体" w:cs="宋体"/>
          <w:color w:val="000000" w:themeColor="text1"/>
          <w:spacing w:val="-1"/>
          <w:sz w:val="24"/>
          <w:highlight w:val="none"/>
          <w14:textFill>
            <w14:solidFill>
              <w14:schemeClr w14:val="tx1"/>
            </w14:solidFill>
          </w14:textFill>
        </w:rPr>
        <w:t>管理体系，严格履行工程建设期水上交通安全有关职责。</w:t>
      </w:r>
    </w:p>
    <w:p w14:paraId="0952C65E">
      <w:pPr>
        <w:spacing w:line="360" w:lineRule="auto"/>
        <w:ind w:left="9" w:right="178"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（2）承包人应遵守属地政府和行业主管部门对作业船舶、作业噪音以及环境保护</w:t>
      </w:r>
      <w:r>
        <w:rPr>
          <w:rFonts w:ascii="宋体" w:hAnsi="宋体" w:cs="宋体"/>
          <w:color w:val="000000" w:themeColor="text1"/>
          <w:spacing w:val="-2"/>
          <w:sz w:val="24"/>
          <w:highlight w:val="none"/>
          <w14:textFill>
            <w14:solidFill>
              <w14:schemeClr w14:val="tx1"/>
            </w14:solidFill>
          </w14:textFill>
        </w:rPr>
        <w:t>和安全生产文明施工等的管理规定，所有进入作业区域的船只必须满足航区要求，并按规定办理有关手续，因手续不全引起的一切责任均由承包人负责。有关要求包括但不限</w:t>
      </w:r>
      <w:r>
        <w:rPr>
          <w:rFonts w:ascii="宋体" w:hAnsi="宋体" w:cs="宋体"/>
          <w:color w:val="000000" w:themeColor="text1"/>
          <w:spacing w:val="-6"/>
          <w:sz w:val="24"/>
          <w:highlight w:val="none"/>
          <w14:textFill>
            <w14:solidFill>
              <w14:schemeClr w14:val="tx1"/>
            </w14:solidFill>
          </w14:textFill>
        </w:rPr>
        <w:t>于：</w:t>
      </w:r>
    </w:p>
    <w:p w14:paraId="0A1F770E">
      <w:pPr>
        <w:spacing w:line="360" w:lineRule="auto"/>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①船舶必须持有效的船舶检验证书（包括但不限于船舶国籍证书、船舶登记证书等</w:t>
      </w:r>
      <w:r>
        <w:rPr>
          <w:rFonts w:ascii="宋体" w:hAnsi="宋体" w:cs="宋体"/>
          <w:color w:val="000000" w:themeColor="text1"/>
          <w:spacing w:val="-55"/>
          <w:w w:val="85"/>
          <w:sz w:val="24"/>
          <w:highlight w:val="none"/>
          <w14:textFill>
            <w14:solidFill>
              <w14:schemeClr w14:val="tx1"/>
            </w14:solidFill>
          </w14:textFill>
        </w:rPr>
        <w:t>）；</w:t>
      </w:r>
    </w:p>
    <w:p w14:paraId="25D10047">
      <w:pPr>
        <w:spacing w:line="360" w:lineRule="auto"/>
        <w:ind w:left="14" w:right="189" w:firstLine="47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②船舶配备的有关航行安全设施设备必须具有船舶检验部门签发的有效技术证书，</w:t>
      </w:r>
      <w:r>
        <w:rPr>
          <w:rFonts w:ascii="宋体" w:hAnsi="宋体" w:cs="宋体"/>
          <w:color w:val="000000" w:themeColor="text1"/>
          <w:spacing w:val="-3"/>
          <w:sz w:val="24"/>
          <w:highlight w:val="none"/>
          <w14:textFill>
            <w14:solidFill>
              <w14:schemeClr w14:val="tx1"/>
            </w14:solidFill>
          </w14:textFill>
        </w:rPr>
        <w:t>并在有效期内；</w:t>
      </w:r>
    </w:p>
    <w:p w14:paraId="6E4F010E">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③船舶应配备不低于船舶证书上要求的最低配</w:t>
      </w:r>
      <w:r>
        <w:rPr>
          <w:rFonts w:ascii="宋体" w:hAnsi="宋体" w:cs="宋体"/>
          <w:color w:val="000000" w:themeColor="text1"/>
          <w:spacing w:val="-1"/>
          <w:sz w:val="24"/>
          <w:highlight w:val="none"/>
          <w14:textFill>
            <w14:solidFill>
              <w14:schemeClr w14:val="tx1"/>
            </w14:solidFill>
          </w14:textFill>
        </w:rPr>
        <w:t>员数量的合格船员；</w:t>
      </w:r>
    </w:p>
    <w:p w14:paraId="484378CF">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④交通船应具有载客证书或临时载客证书；</w:t>
      </w:r>
    </w:p>
    <w:p w14:paraId="63970A38">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⑤所有船舶必须配备</w:t>
      </w:r>
      <w:r>
        <w:rPr>
          <w:rFonts w:ascii="宋体" w:hAnsi="宋体" w:cs="宋体"/>
          <w:color w:val="000000" w:themeColor="text1"/>
          <w:sz w:val="24"/>
          <w:highlight w:val="none"/>
          <w14:textFill>
            <w14:solidFill>
              <w14:schemeClr w14:val="tx1"/>
            </w14:solidFill>
          </w14:textFill>
        </w:rPr>
        <w:t>AIS</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VHF</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等设备；</w:t>
      </w:r>
    </w:p>
    <w:p w14:paraId="61BAE2D5">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⑥承包人应采取有效措施维护施工现场通航安全及现</w:t>
      </w:r>
      <w:r>
        <w:rPr>
          <w:rFonts w:ascii="宋体" w:hAnsi="宋体" w:cs="宋体"/>
          <w:color w:val="000000" w:themeColor="text1"/>
          <w:spacing w:val="-1"/>
          <w:sz w:val="24"/>
          <w:highlight w:val="none"/>
          <w14:textFill>
            <w14:solidFill>
              <w14:schemeClr w14:val="tx1"/>
            </w14:solidFill>
          </w14:textFill>
        </w:rPr>
        <w:t>有航道的航行安全；</w:t>
      </w:r>
    </w:p>
    <w:p w14:paraId="22E7FA6E">
      <w:pPr>
        <w:spacing w:line="360" w:lineRule="auto"/>
        <w:ind w:left="11" w:right="179" w:firstLine="47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⑦为钢结构及大型预制构件运输而设置的临时航道的设计必须取得有关行业主管</w:t>
      </w:r>
      <w:r>
        <w:rPr>
          <w:rFonts w:ascii="宋体" w:hAnsi="宋体" w:cs="宋体"/>
          <w:color w:val="000000" w:themeColor="text1"/>
          <w:spacing w:val="-1"/>
          <w:sz w:val="24"/>
          <w:highlight w:val="none"/>
          <w14:textFill>
            <w14:solidFill>
              <w14:schemeClr w14:val="tx1"/>
            </w14:solidFill>
          </w14:textFill>
        </w:rPr>
        <w:t>部门的批准，并在完善相关许可手续后，方可实施；</w:t>
      </w:r>
    </w:p>
    <w:p w14:paraId="1F4D518B">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⑧承包人须与船舶所有人签订安全协议；</w:t>
      </w:r>
    </w:p>
    <w:p w14:paraId="76F7BAFB">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承包人应承担因此产生的一切费用，并保障发</w:t>
      </w:r>
      <w:r>
        <w:rPr>
          <w:rFonts w:ascii="宋体" w:hAnsi="宋体" w:cs="宋体"/>
          <w:color w:val="000000" w:themeColor="text1"/>
          <w:spacing w:val="-1"/>
          <w:sz w:val="24"/>
          <w:highlight w:val="none"/>
          <w14:textFill>
            <w14:solidFill>
              <w14:schemeClr w14:val="tx1"/>
            </w14:solidFill>
          </w14:textFill>
        </w:rPr>
        <w:t>包人免于承担相关责任。</w:t>
      </w:r>
    </w:p>
    <w:p w14:paraId="0F823B05">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9.2.13 施工安全风险评估</w:t>
      </w:r>
    </w:p>
    <w:p w14:paraId="0E593240">
      <w:pPr>
        <w:spacing w:line="360" w:lineRule="auto"/>
        <w:ind w:left="10" w:right="178"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（1）承包人必须加强对重大危险源的管理，施工阶段风险源辨识与评价依据《公</w:t>
      </w:r>
      <w:r>
        <w:rPr>
          <w:rFonts w:ascii="宋体" w:hAnsi="宋体" w:cs="宋体"/>
          <w:color w:val="000000" w:themeColor="text1"/>
          <w:spacing w:val="-2"/>
          <w:sz w:val="24"/>
          <w:highlight w:val="none"/>
          <w14:textFill>
            <w14:solidFill>
              <w14:schemeClr w14:val="tx1"/>
            </w14:solidFill>
          </w14:textFill>
        </w:rPr>
        <w:t>路桥梁和隧道工程施工安全风险评估指南》（试行）及《交通运输部关于发布高速公路路堑高边坡工程施工安全风险评估指南（试行）的通知》操作。承包人在工程开工前，必须进行重大危险源识别，建立危险源清单，对重大危险源建立管理方案和档案，过程</w:t>
      </w:r>
      <w:r>
        <w:rPr>
          <w:rFonts w:ascii="宋体" w:hAnsi="宋体" w:cs="宋体"/>
          <w:color w:val="000000" w:themeColor="text1"/>
          <w:spacing w:val="-1"/>
          <w:sz w:val="24"/>
          <w:highlight w:val="none"/>
          <w14:textFill>
            <w14:solidFill>
              <w14:schemeClr w14:val="tx1"/>
            </w14:solidFill>
          </w14:textFill>
        </w:rPr>
        <w:t>中对危险源实行动态管理。</w:t>
      </w:r>
    </w:p>
    <w:p w14:paraId="6BC9CC06">
      <w:pPr>
        <w:spacing w:line="360" w:lineRule="auto"/>
        <w:ind w:left="7" w:right="178"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（2）承包人应严格按照交通运输部《关于开展公路桥梁和隧道工程施工安全风险</w:t>
      </w:r>
      <w:r>
        <w:rPr>
          <w:rFonts w:ascii="宋体" w:hAnsi="宋体" w:cs="宋体"/>
          <w:color w:val="000000" w:themeColor="text1"/>
          <w:spacing w:val="-2"/>
          <w:sz w:val="24"/>
          <w:highlight w:val="none"/>
          <w14:textFill>
            <w14:solidFill>
              <w14:schemeClr w14:val="tx1"/>
            </w14:solidFill>
          </w14:textFill>
        </w:rPr>
        <w:t>评估试行工作的通知》及《交通运输部关于发布高速公路路堑高边坡工程施工安全风险评估指南（试行）的通知》的要求，在施工期间开展安全风险评估工作，相关费用按照《广东省交通运输厅关于公路水运建设工程安全生产费用的管理办法》中安全生产费用使用范围的规定，公路桥梁和隧道工程、高速公路路堑高边坡施工安全风险评估工作费</w:t>
      </w:r>
      <w:r>
        <w:rPr>
          <w:rFonts w:ascii="宋体" w:hAnsi="宋体" w:cs="宋体"/>
          <w:color w:val="000000" w:themeColor="text1"/>
          <w:spacing w:val="-1"/>
          <w:sz w:val="24"/>
          <w:highlight w:val="none"/>
          <w14:textFill>
            <w14:solidFill>
              <w14:schemeClr w14:val="tx1"/>
            </w14:solidFill>
          </w14:textFill>
        </w:rPr>
        <w:t>用在项目安全生产费用中列支，发包人不另行支付。</w:t>
      </w:r>
    </w:p>
    <w:p w14:paraId="35180BF1">
      <w:pPr>
        <w:spacing w:before="5" w:line="359"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（3）根据《中华人民共和国水上水下作业和活动通航安全管理规定》的规定及按</w:t>
      </w:r>
      <w:r>
        <w:rPr>
          <w:rFonts w:ascii="宋体" w:hAnsi="宋体" w:cs="宋体"/>
          <w:color w:val="000000" w:themeColor="text1"/>
          <w:spacing w:val="-2"/>
          <w:sz w:val="24"/>
          <w:highlight w:val="none"/>
          <w14:textFill>
            <w14:solidFill>
              <w14:schemeClr w14:val="tx1"/>
            </w14:solidFill>
          </w14:textFill>
        </w:rPr>
        <w:t>照中华人民共和国海事局《中华人民共和国海事局水上水下活动通航安全影响论证与评估管理办法》的规定，在申请海事管理机构水上水下活动许可之前，开展涉水工程通航</w:t>
      </w:r>
      <w:r>
        <w:rPr>
          <w:rFonts w:ascii="宋体" w:hAnsi="宋体" w:cs="宋体"/>
          <w:color w:val="000000" w:themeColor="text1"/>
          <w:spacing w:val="-1"/>
          <w:sz w:val="24"/>
          <w:highlight w:val="none"/>
          <w14:textFill>
            <w14:solidFill>
              <w14:schemeClr w14:val="tx1"/>
            </w14:solidFill>
          </w14:textFill>
        </w:rPr>
        <w:t>安全评估，并通过海事管理机构的审核。</w:t>
      </w:r>
    </w:p>
    <w:p w14:paraId="595EEF64">
      <w:pPr>
        <w:spacing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9.2.14 施工作业人员的安全教育培训</w:t>
      </w:r>
    </w:p>
    <w:p w14:paraId="7BB9635D">
      <w:pPr>
        <w:spacing w:before="182"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切实加强作业工人安全培训教育和安全技术交底。运用《公路施工安全视频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68192F28">
      <w:pPr>
        <w:spacing w:line="22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9.2.15</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施工防护标准化</w:t>
      </w:r>
    </w:p>
    <w:p w14:paraId="738D3FAB">
      <w:pPr>
        <w:spacing w:before="182" w:line="360" w:lineRule="auto"/>
        <w:ind w:left="9" w:right="80"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按照《公路工程施工安全防护设施技术指南》要求推进施工防护设施标准化管理，积极运用模块化、装配化、专业化的防护设施，着力提升防护设施的本质安全水平和使用效能，加强安全防护设施的验收、使用、维护等管理，提升现场施工安全防护保障能力。</w:t>
      </w:r>
    </w:p>
    <w:p w14:paraId="309DF92F">
      <w:pPr>
        <w:spacing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9.2.16</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加强路堑边坡管理</w:t>
      </w:r>
    </w:p>
    <w:p w14:paraId="336F9EFE">
      <w:pPr>
        <w:spacing w:before="185" w:line="324"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（1）严格执行路堑边坡开工报告审查制度。对纳入项目重点管理的路堑边坡，应</w:t>
      </w:r>
      <w:r>
        <w:rPr>
          <w:rFonts w:ascii="宋体" w:hAnsi="宋体" w:cs="宋体"/>
          <w:color w:val="000000" w:themeColor="text1"/>
          <w:spacing w:val="-2"/>
          <w:sz w:val="24"/>
          <w:highlight w:val="none"/>
          <w14:textFill>
            <w14:solidFill>
              <w14:schemeClr w14:val="tx1"/>
            </w14:solidFill>
          </w14:textFill>
        </w:rPr>
        <w:t>严格执行开工报告审查制度，重点审查地质资料是否满足相关规范和设计要求、设计方案是否合理可行、施工准备工作（施工机械、材料、队伍等）是否到位等。对具备开工</w:t>
      </w:r>
      <w:r>
        <w:rPr>
          <w:rFonts w:ascii="宋体" w:hAnsi="宋体" w:cs="宋体"/>
          <w:color w:val="000000" w:themeColor="text1"/>
          <w:sz w:val="24"/>
          <w:highlight w:val="none"/>
          <w14:textFill>
            <w14:solidFill>
              <w14:schemeClr w14:val="tx1"/>
            </w14:solidFill>
          </w14:textFill>
        </w:rPr>
        <w:t>条件的边坡，施工单位应上报开工报告，经监理</w:t>
      </w:r>
      <w:r>
        <w:rPr>
          <w:rFonts w:ascii="宋体" w:hAnsi="宋体" w:cs="宋体"/>
          <w:color w:val="000000" w:themeColor="text1"/>
          <w:spacing w:val="-1"/>
          <w:sz w:val="24"/>
          <w:highlight w:val="none"/>
          <w14:textFill>
            <w14:solidFill>
              <w14:schemeClr w14:val="tx1"/>
            </w14:solidFill>
          </w14:textFill>
        </w:rPr>
        <w:t>单位审查同意后方可施工。</w:t>
      </w:r>
    </w:p>
    <w:p w14:paraId="031A69A3">
      <w:pPr>
        <w:spacing w:before="186" w:line="313"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（2）强化施工技术交底与质量控制。边坡施工前必须开展各工序施工工艺与质量</w:t>
      </w:r>
      <w:r>
        <w:rPr>
          <w:rFonts w:ascii="宋体" w:hAnsi="宋体" w:cs="宋体"/>
          <w:color w:val="000000" w:themeColor="text1"/>
          <w:spacing w:val="-2"/>
          <w:sz w:val="24"/>
          <w:highlight w:val="none"/>
          <w14:textFill>
            <w14:solidFill>
              <w14:schemeClr w14:val="tx1"/>
            </w14:solidFill>
          </w14:textFill>
        </w:rPr>
        <w:t>控制的技术交底；严格按照设计的坡形、坡率开挖边坡，杜绝坡面超挖或欠挖现象；严</w:t>
      </w:r>
      <w:r>
        <w:rPr>
          <w:rFonts w:ascii="宋体" w:hAnsi="宋体" w:cs="宋体"/>
          <w:color w:val="000000" w:themeColor="text1"/>
          <w:spacing w:val="-1"/>
          <w:sz w:val="24"/>
          <w:highlight w:val="none"/>
          <w14:textFill>
            <w14:solidFill>
              <w14:schemeClr w14:val="tx1"/>
            </w14:solidFill>
          </w14:textFill>
        </w:rPr>
        <w:t>控锚杆、锚索等工程的压浆工艺，确保压浆质量和锚固力。</w:t>
      </w:r>
    </w:p>
    <w:p w14:paraId="05554E73">
      <w:pPr>
        <w:spacing w:before="183" w:line="313" w:lineRule="auto"/>
        <w:ind w:left="7" w:firstLine="492"/>
        <w:rPr>
          <w:color w:val="000000" w:themeColor="text1"/>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（3）实行边坡首件验收制。路堑边坡首件验收由项目监理单位组织，业主参与，</w:t>
      </w:r>
      <w:r>
        <w:rPr>
          <w:rFonts w:ascii="宋体" w:hAnsi="宋体" w:cs="宋体"/>
          <w:color w:val="000000" w:themeColor="text1"/>
          <w:spacing w:val="-6"/>
          <w:sz w:val="24"/>
          <w:highlight w:val="none"/>
          <w14:textFill>
            <w14:solidFill>
              <w14:schemeClr w14:val="tx1"/>
            </w14:solidFill>
          </w14:textFill>
        </w:rPr>
        <w:t>选取先行施工、有代表性的土质和石质两类边坡分别进行首件验收，明确有关管理程序、</w:t>
      </w:r>
      <w:r>
        <w:rPr>
          <w:rFonts w:ascii="宋体" w:hAnsi="宋体" w:cs="宋体"/>
          <w:color w:val="000000" w:themeColor="text1"/>
          <w:spacing w:val="-1"/>
          <w:sz w:val="24"/>
          <w:highlight w:val="none"/>
          <w14:textFill>
            <w14:solidFill>
              <w14:schemeClr w14:val="tx1"/>
            </w14:solidFill>
          </w14:textFill>
        </w:rPr>
        <w:t>质量标准、监管措施等，经验收合格后方可开展大面积施工。</w:t>
      </w:r>
    </w:p>
    <w:p w14:paraId="3DFB522A">
      <w:pPr>
        <w:spacing w:before="78" w:line="360" w:lineRule="auto"/>
        <w:ind w:left="10" w:right="225"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（4）加强边坡施工过程管理及其他具体要求按《广东省交通运输厅关于切实加强</w:t>
      </w:r>
      <w:r>
        <w:rPr>
          <w:rFonts w:ascii="宋体" w:hAnsi="宋体" w:cs="宋体"/>
          <w:color w:val="000000" w:themeColor="text1"/>
          <w:spacing w:val="-1"/>
          <w:sz w:val="24"/>
          <w:highlight w:val="none"/>
          <w14:textFill>
            <w14:solidFill>
              <w14:schemeClr w14:val="tx1"/>
            </w14:solidFill>
          </w14:textFill>
        </w:rPr>
        <w:t>我省高速公路路堑边坡管理的通知》执行。</w:t>
      </w:r>
    </w:p>
    <w:p w14:paraId="1A86CCAF">
      <w:pPr>
        <w:spacing w:line="360" w:lineRule="auto"/>
        <w:ind w:left="12" w:right="225"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9.2.17</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承包人应建立项目部“管、监</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”分离体系，在职能分工上实现“管、监</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”分</w:t>
      </w:r>
      <w:r>
        <w:rPr>
          <w:rFonts w:ascii="宋体" w:hAnsi="宋体" w:cs="宋体"/>
          <w:color w:val="000000" w:themeColor="text1"/>
          <w:spacing w:val="-3"/>
          <w:sz w:val="24"/>
          <w:highlight w:val="none"/>
          <w14:textFill>
            <w14:solidFill>
              <w14:schemeClr w14:val="tx1"/>
            </w14:solidFill>
          </w14:textFill>
        </w:rPr>
        <w:t>离，在管理目标上实现“管、监</w:t>
      </w:r>
      <w:r>
        <w:rPr>
          <w:rFonts w:ascii="宋体" w:hAnsi="宋体" w:cs="宋体"/>
          <w:color w:val="000000" w:themeColor="text1"/>
          <w:spacing w:val="-8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”融合。</w:t>
      </w:r>
    </w:p>
    <w:p w14:paraId="0092A196">
      <w:pPr>
        <w:spacing w:before="2" w:line="359" w:lineRule="auto"/>
        <w:ind w:left="8" w:right="164"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一是明确“管</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”的职能：将项目的生产组织、技术保</w:t>
      </w:r>
      <w:r>
        <w:rPr>
          <w:rFonts w:ascii="宋体" w:hAnsi="宋体" w:cs="宋体"/>
          <w:color w:val="000000" w:themeColor="text1"/>
          <w:spacing w:val="-8"/>
          <w:sz w:val="24"/>
          <w:highlight w:val="none"/>
          <w14:textFill>
            <w14:solidFill>
              <w14:schemeClr w14:val="tx1"/>
            </w14:solidFill>
          </w14:textFill>
        </w:rPr>
        <w:t>障及资源配置明确为管理职责，</w:t>
      </w:r>
      <w:r>
        <w:rPr>
          <w:rFonts w:ascii="宋体" w:hAnsi="宋体" w:cs="宋体"/>
          <w:color w:val="000000" w:themeColor="text1"/>
          <w:spacing w:val="-1"/>
          <w:sz w:val="24"/>
          <w:highlight w:val="none"/>
          <w14:textFill>
            <w14:solidFill>
              <w14:schemeClr w14:val="tx1"/>
            </w14:solidFill>
          </w14:textFill>
        </w:rPr>
        <w:t>通过组织、协调、控制、整改，按标准施工，确保施工质量安全；</w:t>
      </w:r>
    </w:p>
    <w:p w14:paraId="344F5CEE">
      <w:pPr>
        <w:spacing w:before="2" w:line="359" w:lineRule="auto"/>
        <w:ind w:left="8" w:right="21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二是明确“监</w:t>
      </w:r>
      <w:r>
        <w:rPr>
          <w:rFonts w:ascii="宋体" w:hAnsi="宋体" w:cs="宋体"/>
          <w:color w:val="000000" w:themeColor="text1"/>
          <w:spacing w:val="-8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”的职能：将质量监督和安全监督明</w:t>
      </w:r>
      <w:r>
        <w:rPr>
          <w:rFonts w:ascii="宋体" w:hAnsi="宋体" w:cs="宋体"/>
          <w:color w:val="000000" w:themeColor="text1"/>
          <w:spacing w:val="-3"/>
          <w:sz w:val="24"/>
          <w:highlight w:val="none"/>
          <w14:textFill>
            <w14:solidFill>
              <w14:schemeClr w14:val="tx1"/>
            </w14:solidFill>
          </w14:textFill>
        </w:rPr>
        <w:t>确为监督职责，依据法律法规、</w:t>
      </w:r>
      <w:r>
        <w:rPr>
          <w:rFonts w:ascii="宋体" w:hAnsi="宋体" w:cs="宋体"/>
          <w:color w:val="000000" w:themeColor="text1"/>
          <w:sz w:val="24"/>
          <w:highlight w:val="none"/>
          <w14:textFill>
            <w14:solidFill>
              <w14:schemeClr w14:val="tx1"/>
            </w14:solidFill>
          </w14:textFill>
        </w:rPr>
        <w:t>相关标准等对管理行为和施工质量安全进行检查、督</w:t>
      </w:r>
      <w:r>
        <w:rPr>
          <w:rFonts w:ascii="宋体" w:hAnsi="宋体" w:cs="宋体"/>
          <w:color w:val="000000" w:themeColor="text1"/>
          <w:spacing w:val="-1"/>
          <w:sz w:val="24"/>
          <w:highlight w:val="none"/>
          <w14:textFill>
            <w14:solidFill>
              <w14:schemeClr w14:val="tx1"/>
            </w14:solidFill>
          </w14:textFill>
        </w:rPr>
        <w:t>导，发现问题及时纠偏。</w:t>
      </w:r>
    </w:p>
    <w:p w14:paraId="5BD756EB">
      <w:pPr>
        <w:spacing w:line="360" w:lineRule="auto"/>
        <w:ind w:left="488"/>
        <w:outlineLvl w:val="2"/>
        <w:rPr>
          <w:rFonts w:hint="eastAsia" w:ascii="宋体" w:hAnsi="宋体" w:cs="宋体"/>
          <w:color w:val="000000" w:themeColor="text1"/>
          <w:sz w:val="24"/>
          <w:highlight w:val="none"/>
          <w14:textFill>
            <w14:solidFill>
              <w14:schemeClr w14:val="tx1"/>
            </w14:solidFill>
          </w14:textFill>
        </w:rPr>
      </w:pPr>
      <w:bookmarkStart w:id="215" w:name="_Toc2662"/>
      <w:bookmarkStart w:id="216" w:name="_Toc24795"/>
      <w:r>
        <w:rPr>
          <w:rFonts w:ascii="宋体" w:hAnsi="宋体" w:cs="宋体"/>
          <w:color w:val="000000" w:themeColor="text1"/>
          <w:spacing w:val="-2"/>
          <w:sz w:val="24"/>
          <w:highlight w:val="none"/>
          <w14:textFill>
            <w14:solidFill>
              <w14:schemeClr w14:val="tx1"/>
            </w14:solidFill>
          </w14:textFill>
        </w:rPr>
        <w:t>9.4 环境保护</w:t>
      </w:r>
      <w:bookmarkEnd w:id="215"/>
      <w:bookmarkEnd w:id="216"/>
    </w:p>
    <w:p w14:paraId="772547BE">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9.4.7（1）</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目补充：</w:t>
      </w:r>
    </w:p>
    <w:p w14:paraId="031DA2E9">
      <w:pPr>
        <w:spacing w:line="360" w:lineRule="auto"/>
        <w:ind w:left="8" w:right="225"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施工噪声和施工时间应满足国家及地方环境保护法律法规的规定和要求，不得影响周边单位和居民正常的生产生活。施工单位应使用经环保主管部门信息编码登记且符合</w:t>
      </w:r>
      <w:r>
        <w:rPr>
          <w:rFonts w:ascii="宋体" w:hAnsi="宋体" w:cs="宋体"/>
          <w:color w:val="000000" w:themeColor="text1"/>
          <w:spacing w:val="-1"/>
          <w:sz w:val="24"/>
          <w:highlight w:val="none"/>
          <w14:textFill>
            <w14:solidFill>
              <w14:schemeClr w14:val="tx1"/>
            </w14:solidFill>
          </w14:textFill>
        </w:rPr>
        <w:t>排放标准的非道路移动机械。</w:t>
      </w:r>
    </w:p>
    <w:p w14:paraId="47EB734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9.4.7（2）</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目补充：</w:t>
      </w:r>
    </w:p>
    <w:p w14:paraId="723FF2CD">
      <w:pPr>
        <w:spacing w:line="360" w:lineRule="auto"/>
        <w:ind w:left="8" w:right="225"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e.隧道出渣、钻孔灌注桩施工时排出的泥浆等施工废弃物要妥善处理，弃置形式及</w:t>
      </w:r>
      <w:r>
        <w:rPr>
          <w:rFonts w:ascii="宋体" w:hAnsi="宋体" w:cs="宋体"/>
          <w:color w:val="000000" w:themeColor="text1"/>
          <w:sz w:val="24"/>
          <w:highlight w:val="none"/>
          <w14:textFill>
            <w14:solidFill>
              <w14:schemeClr w14:val="tx1"/>
            </w14:solidFill>
          </w14:textFill>
        </w:rPr>
        <w:t>地点须经相关主管部门的批准，严禁向海洋、河流、</w:t>
      </w:r>
      <w:r>
        <w:rPr>
          <w:rFonts w:ascii="宋体" w:hAnsi="宋体" w:cs="宋体"/>
          <w:color w:val="000000" w:themeColor="text1"/>
          <w:spacing w:val="-1"/>
          <w:sz w:val="24"/>
          <w:highlight w:val="none"/>
          <w14:textFill>
            <w14:solidFill>
              <w14:schemeClr w14:val="tx1"/>
            </w14:solidFill>
          </w14:textFill>
        </w:rPr>
        <w:t>荒地或市政管道等排放。</w:t>
      </w:r>
    </w:p>
    <w:p w14:paraId="14E626B6">
      <w:pPr>
        <w:spacing w:line="360" w:lineRule="auto"/>
        <w:ind w:left="8" w:right="225"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f.承包人必须依照《广东省交通运输厅关于加强公路水运建设项目施工现场扬尘管理的通知》，加强施工现场管理，防止工程周边扬尘污染，运输车辆经冲洗干净后方可驶出建设工地。</w:t>
      </w:r>
    </w:p>
    <w:p w14:paraId="56CF9E33">
      <w:pPr>
        <w:spacing w:line="360" w:lineRule="auto"/>
        <w:ind w:left="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g.承包人应严格执行《广东省重污染天气交通建设工程施工扬尘控制应急工作方案》</w:t>
      </w:r>
      <w:r>
        <w:rPr>
          <w:rFonts w:ascii="宋体" w:hAnsi="宋体" w:cs="宋体"/>
          <w:color w:val="000000" w:themeColor="text1"/>
          <w:spacing w:val="-1"/>
          <w:sz w:val="24"/>
          <w:highlight w:val="none"/>
          <w14:textFill>
            <w14:solidFill>
              <w14:schemeClr w14:val="tx1"/>
            </w14:solidFill>
          </w14:textFill>
        </w:rPr>
        <w:t>有关规定，城市区域内交通建设工程要切实做到“六个</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100%</w:t>
      </w:r>
      <w:r>
        <w:rPr>
          <w:rFonts w:ascii="宋体" w:hAnsi="宋体" w:cs="宋体"/>
          <w:color w:val="000000" w:themeColor="text1"/>
          <w:spacing w:val="-8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”：施工现场</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100%围蔽，</w:t>
      </w:r>
    </w:p>
    <w:p w14:paraId="7594FE5E">
      <w:pPr>
        <w:spacing w:line="360" w:lineRule="auto"/>
        <w:ind w:left="9" w:right="225" w:firstLine="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工地砂土</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100%覆盖，工地路面</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100%硬地化，拆除工程</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100%洒水压尘，出工地车辆</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100%</w:t>
      </w:r>
      <w:r>
        <w:rPr>
          <w:rFonts w:ascii="宋体" w:hAnsi="宋体" w:cs="宋体"/>
          <w:color w:val="000000" w:themeColor="text1"/>
          <w:spacing w:val="-2"/>
          <w:sz w:val="24"/>
          <w:highlight w:val="none"/>
          <w14:textFill>
            <w14:solidFill>
              <w14:schemeClr w14:val="tx1"/>
            </w14:solidFill>
          </w14:textFill>
        </w:rPr>
        <w:t>冲净车轮车身，暂不开发的场地</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100%绿化。</w:t>
      </w:r>
    </w:p>
    <w:p w14:paraId="6FA1F7B1">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 9.4.10</w:t>
      </w:r>
      <w:r>
        <w:rPr>
          <w:rFonts w:ascii="宋体" w:hAnsi="宋体" w:cs="宋体"/>
          <w:color w:val="000000" w:themeColor="text1"/>
          <w:spacing w:val="1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项末补充：</w:t>
      </w:r>
    </w:p>
    <w:p w14:paraId="49DDDE0E">
      <w:pPr>
        <w:spacing w:line="360" w:lineRule="auto"/>
        <w:ind w:left="6" w:right="191"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根据广东省国土资源厅关于印发《非农建设占用水田耕作层剥离再利用工作指引》的通知的要求，本项目按照《耕作层土壤剥</w:t>
      </w:r>
      <w:r>
        <w:rPr>
          <w:rFonts w:ascii="宋体" w:hAnsi="宋体" w:cs="宋体"/>
          <w:color w:val="000000" w:themeColor="text1"/>
          <w:spacing w:val="-2"/>
          <w:sz w:val="24"/>
          <w:highlight w:val="none"/>
          <w14:textFill>
            <w14:solidFill>
              <w14:schemeClr w14:val="tx1"/>
            </w14:solidFill>
          </w14:textFill>
        </w:rPr>
        <w:t>离利用技术规范》对占用水田耕作层进行剥</w:t>
      </w:r>
      <w:r>
        <w:rPr>
          <w:rFonts w:ascii="宋体" w:hAnsi="宋体" w:cs="宋体"/>
          <w:color w:val="000000" w:themeColor="text1"/>
          <w:spacing w:val="-1"/>
          <w:sz w:val="24"/>
          <w:highlight w:val="none"/>
          <w14:textFill>
            <w14:solidFill>
              <w14:schemeClr w14:val="tx1"/>
            </w14:solidFill>
          </w14:textFill>
        </w:rPr>
        <w:t>离再利用，承包人应积极配合。发包人将根</w:t>
      </w:r>
      <w:r>
        <w:rPr>
          <w:rFonts w:ascii="宋体" w:hAnsi="宋体" w:cs="宋体"/>
          <w:color w:val="000000" w:themeColor="text1"/>
          <w:spacing w:val="-2"/>
          <w:sz w:val="24"/>
          <w:highlight w:val="none"/>
          <w14:textFill>
            <w14:solidFill>
              <w14:schemeClr w14:val="tx1"/>
            </w14:solidFill>
          </w14:textFill>
        </w:rPr>
        <w:t>据相关政策及地方政府制定的实施方案，推</w:t>
      </w:r>
      <w:r>
        <w:rPr>
          <w:rFonts w:ascii="宋体" w:hAnsi="宋体" w:cs="宋体"/>
          <w:color w:val="000000" w:themeColor="text1"/>
          <w:sz w:val="24"/>
          <w:highlight w:val="none"/>
          <w14:textFill>
            <w14:solidFill>
              <w14:schemeClr w14:val="tx1"/>
            </w14:solidFill>
          </w14:textFill>
        </w:rPr>
        <w:t>进本项目占用水田耕作层剥离工作，相关费用已包含</w:t>
      </w:r>
      <w:r>
        <w:rPr>
          <w:rFonts w:ascii="宋体" w:hAnsi="宋体" w:cs="宋体"/>
          <w:color w:val="000000" w:themeColor="text1"/>
          <w:spacing w:val="-1"/>
          <w:sz w:val="24"/>
          <w:highlight w:val="none"/>
          <w14:textFill>
            <w14:solidFill>
              <w14:schemeClr w14:val="tx1"/>
            </w14:solidFill>
          </w14:textFill>
        </w:rPr>
        <w:t>在清理现场费用中。</w:t>
      </w:r>
    </w:p>
    <w:p w14:paraId="5F0E88AF">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9.4</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款下增加</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9.4.12～9.4.17</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4C94F3DD">
      <w:pPr>
        <w:spacing w:line="360" w:lineRule="auto"/>
        <w:ind w:left="489"/>
        <w:rPr>
          <w:color w:val="000000" w:themeColor="text1"/>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9.4.12 承包人应落实环境保护及水土保持的责任人，严格按</w:t>
      </w:r>
      <w:r>
        <w:rPr>
          <w:rFonts w:ascii="宋体" w:hAnsi="宋体" w:cs="宋体"/>
          <w:color w:val="000000" w:themeColor="text1"/>
          <w:spacing w:val="-2"/>
          <w:sz w:val="24"/>
          <w:highlight w:val="none"/>
          <w14:textFill>
            <w14:solidFill>
              <w14:schemeClr w14:val="tx1"/>
            </w14:solidFill>
          </w14:textFill>
        </w:rPr>
        <w:t>照《广东省水利厅广</w:t>
      </w:r>
    </w:p>
    <w:p w14:paraId="7FCC7162">
      <w:pPr>
        <w:spacing w:line="360" w:lineRule="auto"/>
        <w:ind w:left="7" w:right="80" w:firstLine="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东省交通运输厅关于进一步加强交通建设项目水土保持工作的通知》的要求开展水土保持工作。自觉接受监理人的环保及水土保持教育，落实实施施工场地符合相关环保要求布设；施工组织设计应按“水土保持方案报告书</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”有关</w:t>
      </w:r>
      <w:r>
        <w:rPr>
          <w:rFonts w:ascii="宋体" w:hAnsi="宋体" w:cs="宋体"/>
          <w:color w:val="000000" w:themeColor="text1"/>
          <w:spacing w:val="-3"/>
          <w:sz w:val="24"/>
          <w:highlight w:val="none"/>
          <w14:textFill>
            <w14:solidFill>
              <w14:schemeClr w14:val="tx1"/>
            </w14:solidFill>
          </w14:textFill>
        </w:rPr>
        <w:t>要求制定施工中的水保措施，认</w:t>
      </w:r>
      <w:r>
        <w:rPr>
          <w:rFonts w:ascii="宋体" w:hAnsi="宋体" w:cs="宋体"/>
          <w:color w:val="000000" w:themeColor="text1"/>
          <w:spacing w:val="-2"/>
          <w:sz w:val="24"/>
          <w:highlight w:val="none"/>
          <w14:textFill>
            <w14:solidFill>
              <w14:schemeClr w14:val="tx1"/>
            </w14:solidFill>
          </w14:textFill>
        </w:rPr>
        <w:t>真做好项目实施过程及工程结束后的水土保持的防御措施，做好有关水土保持的资料的</w:t>
      </w:r>
      <w:r>
        <w:rPr>
          <w:rFonts w:ascii="宋体" w:hAnsi="宋体" w:cs="宋体"/>
          <w:color w:val="000000" w:themeColor="text1"/>
          <w:sz w:val="24"/>
          <w:highlight w:val="none"/>
          <w14:textFill>
            <w14:solidFill>
              <w14:schemeClr w14:val="tx1"/>
            </w14:solidFill>
          </w14:textFill>
        </w:rPr>
        <w:t>记录。各类废弃物统一收集处理，施工临时弃渣堆放</w:t>
      </w:r>
      <w:r>
        <w:rPr>
          <w:rFonts w:ascii="宋体" w:hAnsi="宋体" w:cs="宋体"/>
          <w:color w:val="000000" w:themeColor="text1"/>
          <w:spacing w:val="-1"/>
          <w:sz w:val="24"/>
          <w:highlight w:val="none"/>
          <w14:textFill>
            <w14:solidFill>
              <w14:schemeClr w14:val="tx1"/>
            </w14:solidFill>
          </w14:textFill>
        </w:rPr>
        <w:t>应做好水土保持措施。</w:t>
      </w:r>
    </w:p>
    <w:p w14:paraId="4718C909">
      <w:pPr>
        <w:spacing w:line="360" w:lineRule="auto"/>
        <w:ind w:left="5" w:right="72"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9.4.13 承包人依法取得砍伐许可后方可</w:t>
      </w:r>
      <w:r>
        <w:rPr>
          <w:rFonts w:ascii="宋体" w:hAnsi="宋体" w:cs="宋体"/>
          <w:color w:val="000000" w:themeColor="text1"/>
          <w:spacing w:val="1"/>
          <w:sz w:val="24"/>
          <w:highlight w:val="none"/>
          <w14:textFill>
            <w14:solidFill>
              <w14:schemeClr w14:val="tx1"/>
            </w14:solidFill>
          </w14:textFill>
        </w:rPr>
        <w:t>按照砍伐许可的面积、株数、树种进行砍</w:t>
      </w:r>
      <w:r>
        <w:rPr>
          <w:rFonts w:ascii="宋体" w:hAnsi="宋体" w:cs="宋体"/>
          <w:color w:val="000000" w:themeColor="text1"/>
          <w:spacing w:val="-1"/>
          <w:sz w:val="24"/>
          <w:highlight w:val="none"/>
          <w14:textFill>
            <w14:solidFill>
              <w14:schemeClr w14:val="tx1"/>
            </w14:solidFill>
          </w14:textFill>
        </w:rPr>
        <w:t>伐，并注意保护野生动植物；施工结束后，对</w:t>
      </w:r>
      <w:r>
        <w:rPr>
          <w:rFonts w:ascii="宋体" w:hAnsi="宋体" w:cs="宋体"/>
          <w:color w:val="000000" w:themeColor="text1"/>
          <w:spacing w:val="-2"/>
          <w:sz w:val="24"/>
          <w:highlight w:val="none"/>
          <w14:textFill>
            <w14:solidFill>
              <w14:schemeClr w14:val="tx1"/>
            </w14:solidFill>
          </w14:textFill>
        </w:rPr>
        <w:t>施工期占用的施工便道、料场、拌和场及施工场地等临时用地，按“破坏一处，恢复一处</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”的原则，进行全面恢复。施</w:t>
      </w:r>
      <w:r>
        <w:rPr>
          <w:rFonts w:ascii="宋体" w:hAnsi="宋体" w:cs="宋体"/>
          <w:color w:val="000000" w:themeColor="text1"/>
          <w:spacing w:val="-3"/>
          <w:sz w:val="24"/>
          <w:highlight w:val="none"/>
          <w14:textFill>
            <w14:solidFill>
              <w14:schemeClr w14:val="tx1"/>
            </w14:solidFill>
          </w14:textFill>
        </w:rPr>
        <w:t>工便道、</w:t>
      </w:r>
      <w:r>
        <w:rPr>
          <w:rFonts w:ascii="宋体" w:hAnsi="宋体" w:cs="宋体"/>
          <w:color w:val="000000" w:themeColor="text1"/>
          <w:spacing w:val="-1"/>
          <w:sz w:val="24"/>
          <w:highlight w:val="none"/>
          <w14:textFill>
            <w14:solidFill>
              <w14:schemeClr w14:val="tx1"/>
            </w14:solidFill>
          </w14:textFill>
        </w:rPr>
        <w:t>各种料场、预制场等的临时占地应充分利用荒</w:t>
      </w:r>
      <w:r>
        <w:rPr>
          <w:rFonts w:ascii="宋体" w:hAnsi="宋体" w:cs="宋体"/>
          <w:color w:val="000000" w:themeColor="text1"/>
          <w:spacing w:val="-2"/>
          <w:sz w:val="24"/>
          <w:highlight w:val="none"/>
          <w14:textFill>
            <w14:solidFill>
              <w14:schemeClr w14:val="tx1"/>
            </w14:solidFill>
          </w14:textFill>
        </w:rPr>
        <w:t>地、废弃地、低覆盖草地和裸地，不应占</w:t>
      </w:r>
      <w:r>
        <w:rPr>
          <w:rFonts w:ascii="宋体" w:hAnsi="宋体" w:cs="宋体"/>
          <w:color w:val="000000" w:themeColor="text1"/>
          <w:sz w:val="24"/>
          <w:highlight w:val="none"/>
          <w14:textFill>
            <w14:solidFill>
              <w14:schemeClr w14:val="tx1"/>
            </w14:solidFill>
          </w14:textFill>
        </w:rPr>
        <w:t>压高覆盖草地、林地、基本农田，并采取有</w:t>
      </w:r>
      <w:r>
        <w:rPr>
          <w:rFonts w:ascii="宋体" w:hAnsi="宋体" w:cs="宋体"/>
          <w:color w:val="000000" w:themeColor="text1"/>
          <w:spacing w:val="-1"/>
          <w:sz w:val="24"/>
          <w:highlight w:val="none"/>
          <w14:textFill>
            <w14:solidFill>
              <w14:schemeClr w14:val="tx1"/>
            </w14:solidFill>
          </w14:textFill>
        </w:rPr>
        <w:t>效措施防止污染。</w:t>
      </w:r>
    </w:p>
    <w:p w14:paraId="4DDF0542">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9.4.14 承包人必须采取有效预防措施，</w:t>
      </w:r>
      <w:r>
        <w:rPr>
          <w:rFonts w:ascii="宋体" w:hAnsi="宋体" w:cs="宋体"/>
          <w:color w:val="000000" w:themeColor="text1"/>
          <w:spacing w:val="1"/>
          <w:sz w:val="24"/>
          <w:highlight w:val="none"/>
          <w14:textFill>
            <w14:solidFill>
              <w14:schemeClr w14:val="tx1"/>
            </w14:solidFill>
          </w14:textFill>
        </w:rPr>
        <w:t>防止雨水对施工场所占有的土地、临时用</w:t>
      </w:r>
      <w:r>
        <w:rPr>
          <w:rFonts w:ascii="宋体" w:hAnsi="宋体" w:cs="宋体"/>
          <w:color w:val="000000" w:themeColor="text1"/>
          <w:sz w:val="24"/>
          <w:highlight w:val="none"/>
          <w14:textFill>
            <w14:solidFill>
              <w14:schemeClr w14:val="tx1"/>
            </w14:solidFill>
          </w14:textFill>
        </w:rPr>
        <w:t>地、路基土石方、取弃土场等冲刷而造成对河流、水道、灌溉渠、排水系统产生淤积、</w:t>
      </w:r>
      <w:r>
        <w:rPr>
          <w:rFonts w:ascii="宋体" w:hAnsi="宋体" w:cs="宋体"/>
          <w:color w:val="000000" w:themeColor="text1"/>
          <w:spacing w:val="-2"/>
          <w:sz w:val="24"/>
          <w:highlight w:val="none"/>
          <w14:textFill>
            <w14:solidFill>
              <w14:schemeClr w14:val="tx1"/>
            </w14:solidFill>
          </w14:textFill>
        </w:rPr>
        <w:t>堵塞，对农田造成污染、淹没。同时也应采取措施防止在施工过程中因材料运输、混合</w:t>
      </w:r>
      <w:r>
        <w:rPr>
          <w:rFonts w:ascii="宋体" w:hAnsi="宋体" w:cs="宋体"/>
          <w:color w:val="000000" w:themeColor="text1"/>
          <w:spacing w:val="-6"/>
          <w:sz w:val="24"/>
          <w:highlight w:val="none"/>
          <w14:textFill>
            <w14:solidFill>
              <w14:schemeClr w14:val="tx1"/>
            </w14:solidFill>
          </w14:textFill>
        </w:rPr>
        <w:t>料拌和、现场施工而对项目沿线的建筑、既有道路、农田、林地、河流、水道、灌溉渠、</w:t>
      </w:r>
      <w:r>
        <w:rPr>
          <w:rFonts w:ascii="宋体" w:hAnsi="宋体" w:cs="宋体"/>
          <w:color w:val="000000" w:themeColor="text1"/>
          <w:spacing w:val="-2"/>
          <w:sz w:val="24"/>
          <w:highlight w:val="none"/>
          <w14:textFill>
            <w14:solidFill>
              <w14:schemeClr w14:val="tx1"/>
            </w14:solidFill>
          </w14:textFill>
        </w:rPr>
        <w:t>排水系统等产生破坏，从而造成索赔、施工停工或工程质量隐患。如承包人未采取有效</w:t>
      </w:r>
      <w:r>
        <w:rPr>
          <w:rFonts w:ascii="宋体" w:hAnsi="宋体" w:cs="宋体"/>
          <w:color w:val="000000" w:themeColor="text1"/>
          <w:spacing w:val="-1"/>
          <w:sz w:val="24"/>
          <w:highlight w:val="none"/>
          <w14:textFill>
            <w14:solidFill>
              <w14:schemeClr w14:val="tx1"/>
            </w14:solidFill>
          </w14:textFill>
        </w:rPr>
        <w:t>措施，由此产生的一切损失由承包人自行负责。</w:t>
      </w:r>
    </w:p>
    <w:p w14:paraId="306411A5">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9.4.15 除合同有另外规定外，以上工作</w:t>
      </w:r>
      <w:r>
        <w:rPr>
          <w:rFonts w:ascii="宋体" w:hAnsi="宋体" w:cs="宋体"/>
          <w:color w:val="000000" w:themeColor="text1"/>
          <w:spacing w:val="1"/>
          <w:sz w:val="24"/>
          <w:highlight w:val="none"/>
          <w14:textFill>
            <w14:solidFill>
              <w14:schemeClr w14:val="tx1"/>
            </w14:solidFill>
          </w14:textFill>
        </w:rPr>
        <w:t>均视为承包人已经在合同报价中计入其影</w:t>
      </w:r>
      <w:r>
        <w:rPr>
          <w:rFonts w:ascii="宋体" w:hAnsi="宋体" w:cs="宋体"/>
          <w:color w:val="000000" w:themeColor="text1"/>
          <w:spacing w:val="-2"/>
          <w:sz w:val="24"/>
          <w:highlight w:val="none"/>
          <w14:textFill>
            <w14:solidFill>
              <w14:schemeClr w14:val="tx1"/>
            </w14:solidFill>
          </w14:textFill>
        </w:rPr>
        <w:t>响而可能发生的一切费用，对承包人采取的一切措施，发包人和监理人有权监督，如果承包人未能对上述事项采取各种必要的措施而导致或发生与此有关的违约金、索赔、损</w:t>
      </w:r>
      <w:r>
        <w:rPr>
          <w:rFonts w:ascii="宋体" w:hAnsi="宋体" w:cs="宋体"/>
          <w:color w:val="000000" w:themeColor="text1"/>
          <w:spacing w:val="-1"/>
          <w:sz w:val="24"/>
          <w:highlight w:val="none"/>
          <w14:textFill>
            <w14:solidFill>
              <w14:schemeClr w14:val="tx1"/>
            </w14:solidFill>
          </w14:textFill>
        </w:rPr>
        <w:t>失赔偿、诉讼费用以及其他一切责任均由承包人负责。</w:t>
      </w:r>
    </w:p>
    <w:p w14:paraId="3DBC8E6F">
      <w:pPr>
        <w:spacing w:line="360" w:lineRule="auto"/>
        <w:ind w:left="9"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9.4.16</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承包人应严格执行《广东省公路工程施工标准化</w:t>
      </w:r>
      <w:r>
        <w:rPr>
          <w:rFonts w:ascii="宋体" w:hAnsi="宋体" w:cs="宋体"/>
          <w:color w:val="000000" w:themeColor="text1"/>
          <w:spacing w:val="-4"/>
          <w:sz w:val="24"/>
          <w:highlight w:val="none"/>
          <w14:textFill>
            <w14:solidFill>
              <w14:schemeClr w14:val="tx1"/>
            </w14:solidFill>
          </w14:textFill>
        </w:rPr>
        <w:t>指南》关于环境保护的相关要求。</w:t>
      </w:r>
    </w:p>
    <w:p w14:paraId="1FE516FE">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9.4.17 文明环保施工价款</w:t>
      </w:r>
    </w:p>
    <w:p w14:paraId="75325C96">
      <w:pPr>
        <w:spacing w:line="360" w:lineRule="auto"/>
        <w:ind w:left="9"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为督促承包人在施工过程中，做到文明施工，加强环境保护、水土保持等工作，本</w:t>
      </w:r>
      <w:r>
        <w:rPr>
          <w:rFonts w:ascii="宋体" w:hAnsi="宋体" w:cs="宋体"/>
          <w:color w:val="000000" w:themeColor="text1"/>
          <w:spacing w:val="-3"/>
          <w:sz w:val="24"/>
          <w:highlight w:val="none"/>
          <w14:textFill>
            <w14:solidFill>
              <w14:schemeClr w14:val="tx1"/>
            </w14:solidFill>
          </w14:textFill>
        </w:rPr>
        <w:t>合同设立文明、环保施工价款。该金额按技术规范</w:t>
      </w:r>
      <w:r>
        <w:rPr>
          <w:rFonts w:ascii="宋体" w:hAnsi="宋体" w:cs="宋体"/>
          <w:color w:val="000000" w:themeColor="text1"/>
          <w:spacing w:val="-2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章规定的方式在工程量清单中单</w:t>
      </w:r>
      <w:r>
        <w:rPr>
          <w:rFonts w:ascii="宋体" w:hAnsi="宋体" w:cs="宋体"/>
          <w:color w:val="000000" w:themeColor="text1"/>
          <w:spacing w:val="-2"/>
          <w:sz w:val="24"/>
          <w:highlight w:val="none"/>
          <w14:textFill>
            <w14:solidFill>
              <w14:schemeClr w14:val="tx1"/>
            </w14:solidFill>
          </w14:textFill>
        </w:rPr>
        <w:t>列。承包人获得支付的额度取决于其施工环保情况及相关检查评比中的名次。有关评比</w:t>
      </w:r>
      <w:r>
        <w:rPr>
          <w:rFonts w:ascii="宋体" w:hAnsi="宋体" w:cs="宋体"/>
          <w:color w:val="000000" w:themeColor="text1"/>
          <w:spacing w:val="-1"/>
          <w:sz w:val="24"/>
          <w:highlight w:val="none"/>
          <w14:textFill>
            <w14:solidFill>
              <w14:schemeClr w14:val="tx1"/>
            </w14:solidFill>
          </w14:textFill>
        </w:rPr>
        <w:t>方案发包人将在承包人进场后予以制定。</w:t>
      </w:r>
    </w:p>
    <w:p w14:paraId="7EB567FA">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217" w:name="_Toc27631"/>
      <w:bookmarkStart w:id="218" w:name="_Toc27266"/>
      <w:r>
        <w:rPr>
          <w:rFonts w:ascii="宋体" w:hAnsi="宋体" w:cs="宋体"/>
          <w:b/>
          <w:bCs/>
          <w:color w:val="000000" w:themeColor="text1"/>
          <w:spacing w:val="-5"/>
          <w:sz w:val="24"/>
          <w:highlight w:val="none"/>
          <w14:textFill>
            <w14:solidFill>
              <w14:schemeClr w14:val="tx1"/>
            </w14:solidFill>
          </w14:textFill>
        </w:rPr>
        <w:t>10.</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b/>
          <w:bCs/>
          <w:color w:val="000000" w:themeColor="text1"/>
          <w:spacing w:val="-5"/>
          <w:sz w:val="24"/>
          <w:highlight w:val="none"/>
          <w14:textFill>
            <w14:solidFill>
              <w14:schemeClr w14:val="tx1"/>
            </w14:solidFill>
          </w14:textFill>
        </w:rPr>
        <w:t>进度计划</w:t>
      </w:r>
      <w:bookmarkEnd w:id="217"/>
      <w:bookmarkEnd w:id="218"/>
    </w:p>
    <w:p w14:paraId="0FA344F4">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19" w:name="_Toc32159"/>
      <w:bookmarkStart w:id="220" w:name="_Toc27335"/>
      <w:r>
        <w:rPr>
          <w:rFonts w:ascii="宋体" w:hAnsi="宋体" w:cs="宋体"/>
          <w:color w:val="000000" w:themeColor="text1"/>
          <w:spacing w:val="-3"/>
          <w:sz w:val="24"/>
          <w:highlight w:val="none"/>
          <w14:textFill>
            <w14:solidFill>
              <w14:schemeClr w14:val="tx1"/>
            </w14:solidFill>
          </w14:textFill>
        </w:rPr>
        <w:t>10.1 合同进度计划</w:t>
      </w:r>
      <w:bookmarkEnd w:id="219"/>
      <w:bookmarkEnd w:id="220"/>
    </w:p>
    <w:p w14:paraId="24AA014F">
      <w:pPr>
        <w:spacing w:line="360" w:lineRule="auto"/>
        <w:ind w:left="488"/>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承包人编制施工方案说明的内容包括：按照关键线路网络图和主要工作横道图两种</w:t>
      </w:r>
    </w:p>
    <w:p w14:paraId="28556FBC">
      <w:pPr>
        <w:spacing w:before="78" w:line="360" w:lineRule="auto"/>
        <w:ind w:left="7" w:firstLine="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形式分别编绘合同进度计划，列出各主要工程项目的计划开工、完工时间，并应包括每个阶段预计完成的工作量和形象进度。计划中应包括工程的施工时间、方法和顺序，资</w:t>
      </w:r>
      <w:r>
        <w:rPr>
          <w:rFonts w:ascii="宋体" w:hAnsi="宋体" w:cs="宋体"/>
          <w:color w:val="000000" w:themeColor="text1"/>
          <w:spacing w:val="-1"/>
          <w:sz w:val="24"/>
          <w:highlight w:val="none"/>
          <w14:textFill>
            <w14:solidFill>
              <w14:schemeClr w14:val="tx1"/>
            </w14:solidFill>
          </w14:textFill>
        </w:rPr>
        <w:t>源的安排，材料、设备及人员的获得和运输等。</w:t>
      </w:r>
    </w:p>
    <w:p w14:paraId="2EFCE7B5">
      <w:pPr>
        <w:spacing w:line="218" w:lineRule="auto"/>
        <w:ind w:left="505"/>
        <w:outlineLvl w:val="2"/>
        <w:rPr>
          <w:rFonts w:hint="eastAsia" w:ascii="宋体" w:hAnsi="宋体" w:cs="宋体"/>
          <w:color w:val="000000" w:themeColor="text1"/>
          <w:sz w:val="24"/>
          <w:highlight w:val="none"/>
          <w14:textFill>
            <w14:solidFill>
              <w14:schemeClr w14:val="tx1"/>
            </w14:solidFill>
          </w14:textFill>
        </w:rPr>
      </w:pPr>
      <w:bookmarkStart w:id="221" w:name="_Toc20698"/>
      <w:bookmarkStart w:id="222" w:name="_Toc25207"/>
      <w:r>
        <w:rPr>
          <w:rFonts w:ascii="宋体" w:hAnsi="宋体" w:cs="宋体"/>
          <w:color w:val="000000" w:themeColor="text1"/>
          <w:spacing w:val="-3"/>
          <w:sz w:val="24"/>
          <w:highlight w:val="none"/>
          <w14:textFill>
            <w14:solidFill>
              <w14:schemeClr w14:val="tx1"/>
            </w14:solidFill>
          </w14:textFill>
        </w:rPr>
        <w:t>10.3 年度施工计划</w:t>
      </w:r>
      <w:bookmarkEnd w:id="221"/>
      <w:bookmarkEnd w:id="222"/>
    </w:p>
    <w:p w14:paraId="7518B05B">
      <w:pPr>
        <w:spacing w:before="182" w:line="219"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在本款末增加以下内容：</w:t>
      </w:r>
    </w:p>
    <w:p w14:paraId="144E551B">
      <w:pPr>
        <w:spacing w:before="183" w:line="360" w:lineRule="auto"/>
        <w:ind w:left="8"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在年度施工计划的基础上，承包人应根据发包人及监理人的具体安排编制和落实其他阶段性施工计划。</w:t>
      </w:r>
    </w:p>
    <w:p w14:paraId="24A3F805">
      <w:pPr>
        <w:spacing w:before="1" w:line="218"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本条补充第</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10.6</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10.7</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w:t>
      </w:r>
    </w:p>
    <w:p w14:paraId="3D91B9A7">
      <w:pPr>
        <w:spacing w:before="183" w:line="221" w:lineRule="auto"/>
        <w:ind w:left="505"/>
        <w:outlineLvl w:val="2"/>
        <w:rPr>
          <w:rFonts w:hint="eastAsia" w:ascii="宋体" w:hAnsi="宋体" w:cs="宋体"/>
          <w:color w:val="000000" w:themeColor="text1"/>
          <w:sz w:val="24"/>
          <w:highlight w:val="none"/>
          <w14:textFill>
            <w14:solidFill>
              <w14:schemeClr w14:val="tx1"/>
            </w14:solidFill>
          </w14:textFill>
        </w:rPr>
      </w:pPr>
      <w:bookmarkStart w:id="223" w:name="_Toc3621"/>
      <w:bookmarkStart w:id="224" w:name="_Toc20462"/>
      <w:r>
        <w:rPr>
          <w:rFonts w:ascii="宋体" w:hAnsi="宋体" w:cs="宋体"/>
          <w:color w:val="000000" w:themeColor="text1"/>
          <w:spacing w:val="-4"/>
          <w:sz w:val="24"/>
          <w:highlight w:val="none"/>
          <w14:textFill>
            <w14:solidFill>
              <w14:schemeClr w14:val="tx1"/>
            </w14:solidFill>
          </w14:textFill>
        </w:rPr>
        <w:t>10.5</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工程进度记录</w:t>
      </w:r>
      <w:bookmarkEnd w:id="223"/>
      <w:bookmarkEnd w:id="224"/>
    </w:p>
    <w:p w14:paraId="6FC17AD4">
      <w:pPr>
        <w:spacing w:before="182" w:line="360" w:lineRule="auto"/>
        <w:ind w:left="15" w:right="1" w:firstLine="47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承包人应保持每日、每月和其他定期的工程进度记录和报告，这些记录和报告包括</w:t>
      </w:r>
      <w:r>
        <w:rPr>
          <w:rFonts w:ascii="宋体" w:hAnsi="宋体" w:cs="宋体"/>
          <w:color w:val="000000" w:themeColor="text1"/>
          <w:spacing w:val="-3"/>
          <w:sz w:val="24"/>
          <w:highlight w:val="none"/>
          <w14:textFill>
            <w14:solidFill>
              <w14:schemeClr w14:val="tx1"/>
            </w14:solidFill>
          </w14:textFill>
        </w:rPr>
        <w:t>下列有关资料：</w:t>
      </w:r>
    </w:p>
    <w:p w14:paraId="1FEAFE5A">
      <w:pPr>
        <w:spacing w:before="1"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(a)气象条件；</w:t>
      </w:r>
    </w:p>
    <w:p w14:paraId="3EDBBBB2">
      <w:pPr>
        <w:spacing w:before="183" w:line="221"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(b)施工记录；</w:t>
      </w:r>
    </w:p>
    <w:p w14:paraId="7B6BE63F">
      <w:pPr>
        <w:spacing w:before="181"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(c)施工设施和设备状况；</w:t>
      </w:r>
    </w:p>
    <w:p w14:paraId="41C51DE2">
      <w:pPr>
        <w:spacing w:before="183"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(d)承包人人员统计；</w:t>
      </w:r>
    </w:p>
    <w:p w14:paraId="30019BB4">
      <w:pPr>
        <w:spacing w:before="182"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(e)现场材料，材料搬移记录、交货期、发票及有关资料；</w:t>
      </w:r>
    </w:p>
    <w:p w14:paraId="1C04D4DF">
      <w:pPr>
        <w:spacing w:before="185" w:line="219"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(f)环境保护、水土保持实施记录；</w:t>
      </w:r>
    </w:p>
    <w:p w14:paraId="3891E085">
      <w:pPr>
        <w:spacing w:before="182" w:line="214"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(g)安全生产实施记录；</w:t>
      </w:r>
    </w:p>
    <w:p w14:paraId="54B3ED3F">
      <w:pPr>
        <w:spacing w:before="190" w:line="22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(h)所有在施工过程中发生的其他事项。</w:t>
      </w:r>
    </w:p>
    <w:p w14:paraId="0F84F538">
      <w:pPr>
        <w:spacing w:before="182" w:line="221" w:lineRule="auto"/>
        <w:ind w:left="505"/>
        <w:outlineLvl w:val="2"/>
        <w:rPr>
          <w:rFonts w:hint="eastAsia" w:ascii="宋体" w:hAnsi="宋体" w:cs="宋体"/>
          <w:color w:val="000000" w:themeColor="text1"/>
          <w:sz w:val="24"/>
          <w:highlight w:val="none"/>
          <w14:textFill>
            <w14:solidFill>
              <w14:schemeClr w14:val="tx1"/>
            </w14:solidFill>
          </w14:textFill>
        </w:rPr>
      </w:pPr>
      <w:bookmarkStart w:id="225" w:name="_Toc19706"/>
      <w:bookmarkStart w:id="226" w:name="_Toc17583"/>
      <w:r>
        <w:rPr>
          <w:rFonts w:ascii="宋体" w:hAnsi="宋体" w:cs="宋体"/>
          <w:color w:val="000000" w:themeColor="text1"/>
          <w:spacing w:val="-3"/>
          <w:sz w:val="24"/>
          <w:highlight w:val="none"/>
          <w14:textFill>
            <w14:solidFill>
              <w14:schemeClr w14:val="tx1"/>
            </w14:solidFill>
          </w14:textFill>
        </w:rPr>
        <w:t>10.6 工程的进度奖罚</w:t>
      </w:r>
      <w:bookmarkEnd w:id="225"/>
      <w:bookmarkEnd w:id="226"/>
    </w:p>
    <w:p w14:paraId="21865FCD">
      <w:pPr>
        <w:spacing w:before="182" w:line="360" w:lineRule="auto"/>
        <w:ind w:left="10"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激励承包人加快工程进度，确保合同工期，本合同设立工程进度奖金，用于承包人提前或确保进度的奖励。该金额由发包人统一掌握使用。承包人获得支付的额度取决于其完成进度的情况及在评比中的名次。有关评比方案发包人将在承包人进场后予以制</w:t>
      </w:r>
      <w:r>
        <w:rPr>
          <w:rFonts w:ascii="宋体" w:hAnsi="宋体" w:cs="宋体"/>
          <w:color w:val="000000" w:themeColor="text1"/>
          <w:spacing w:val="-6"/>
          <w:sz w:val="24"/>
          <w:highlight w:val="none"/>
          <w14:textFill>
            <w14:solidFill>
              <w14:schemeClr w14:val="tx1"/>
            </w14:solidFill>
          </w14:textFill>
        </w:rPr>
        <w:t>定。</w:t>
      </w:r>
    </w:p>
    <w:p w14:paraId="48B082D7">
      <w:pPr>
        <w:spacing w:before="1" w:line="218" w:lineRule="auto"/>
        <w:ind w:left="505"/>
        <w:outlineLvl w:val="1"/>
        <w:rPr>
          <w:rFonts w:hint="eastAsia" w:ascii="宋体" w:hAnsi="宋体" w:cs="宋体"/>
          <w:color w:val="000000" w:themeColor="text1"/>
          <w:sz w:val="24"/>
          <w:highlight w:val="none"/>
          <w14:textFill>
            <w14:solidFill>
              <w14:schemeClr w14:val="tx1"/>
            </w14:solidFill>
          </w14:textFill>
        </w:rPr>
      </w:pPr>
      <w:bookmarkStart w:id="227" w:name="_Toc23495"/>
      <w:bookmarkStart w:id="228" w:name="_Toc31856"/>
      <w:r>
        <w:rPr>
          <w:rFonts w:ascii="宋体" w:hAnsi="宋体" w:cs="宋体"/>
          <w:b/>
          <w:bCs/>
          <w:color w:val="000000" w:themeColor="text1"/>
          <w:spacing w:val="-6"/>
          <w:sz w:val="24"/>
          <w:highlight w:val="none"/>
          <w14:textFill>
            <w14:solidFill>
              <w14:schemeClr w14:val="tx1"/>
            </w14:solidFill>
          </w14:textFill>
        </w:rPr>
        <w:t>11.开工和竣工</w:t>
      </w:r>
      <w:bookmarkEnd w:id="227"/>
      <w:bookmarkEnd w:id="228"/>
    </w:p>
    <w:p w14:paraId="5DC530D0">
      <w:pPr>
        <w:spacing w:before="183" w:line="221" w:lineRule="auto"/>
        <w:ind w:left="505"/>
        <w:outlineLvl w:val="2"/>
        <w:rPr>
          <w:rFonts w:hint="eastAsia" w:ascii="宋体" w:hAnsi="宋体" w:cs="宋体"/>
          <w:color w:val="000000" w:themeColor="text1"/>
          <w:sz w:val="24"/>
          <w:highlight w:val="none"/>
          <w14:textFill>
            <w14:solidFill>
              <w14:schemeClr w14:val="tx1"/>
            </w14:solidFill>
          </w14:textFill>
        </w:rPr>
      </w:pPr>
      <w:bookmarkStart w:id="229" w:name="_Toc31210"/>
      <w:bookmarkStart w:id="230" w:name="_Toc28681"/>
      <w:r>
        <w:rPr>
          <w:rFonts w:ascii="宋体" w:hAnsi="宋体" w:cs="宋体"/>
          <w:color w:val="000000" w:themeColor="text1"/>
          <w:spacing w:val="-4"/>
          <w:sz w:val="24"/>
          <w:highlight w:val="none"/>
          <w14:textFill>
            <w14:solidFill>
              <w14:schemeClr w14:val="tx1"/>
            </w14:solidFill>
          </w14:textFill>
        </w:rPr>
        <w:t>11.3</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发包人的工期延误</w:t>
      </w:r>
      <w:bookmarkEnd w:id="229"/>
      <w:bookmarkEnd w:id="230"/>
    </w:p>
    <w:p w14:paraId="7E7D6E21">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01FB3C0C">
      <w:pPr>
        <w:spacing w:line="360" w:lineRule="auto"/>
        <w:ind w:left="15" w:firstLine="471"/>
        <w:rPr>
          <w:rFonts w:hint="eastAsia" w:ascii="宋体" w:hAnsi="宋体" w:cs="宋体"/>
          <w:color w:val="000000" w:themeColor="text1"/>
          <w:spacing w:val="-5"/>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在履行合同过程中，由于发包人的下列原因造成工期延误的，承包人在满足发包人的项目总体工期目标前提下，有权要求发包人顺延工期，需要修订合同进度计划的，按</w:t>
      </w:r>
      <w:r>
        <w:rPr>
          <w:rFonts w:ascii="宋体" w:hAnsi="宋体" w:cs="宋体"/>
          <w:color w:val="000000" w:themeColor="text1"/>
          <w:spacing w:val="-5"/>
          <w:sz w:val="24"/>
          <w:highlight w:val="none"/>
          <w14:textFill>
            <w14:solidFill>
              <w14:schemeClr w14:val="tx1"/>
            </w14:solidFill>
          </w14:textFill>
        </w:rPr>
        <w:t>照第</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10.2</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款的约定办理。</w:t>
      </w:r>
    </w:p>
    <w:p w14:paraId="0B700F49">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（1）由于征地拆迁的原因造成关键线路上的工程暂停施工；</w:t>
      </w:r>
    </w:p>
    <w:p w14:paraId="0AFACB20">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（2）未按合同约定及时支付预付款、进度款，造成暂停施工的；</w:t>
      </w:r>
    </w:p>
    <w:p w14:paraId="64EBD20F">
      <w:pPr>
        <w:spacing w:line="360" w:lineRule="auto"/>
        <w:ind w:left="9" w:right="99" w:firstLine="480"/>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（3）由于重大设计方案调整造成关键线路上的工程暂停施工；</w:t>
      </w:r>
    </w:p>
    <w:p w14:paraId="67BAFE9B">
      <w:pPr>
        <w:spacing w:line="360" w:lineRule="auto"/>
        <w:ind w:left="9" w:right="99" w:firstLine="480"/>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（4）甲供材料断供或供应不及时，造成暂停施工的。</w:t>
      </w:r>
    </w:p>
    <w:p w14:paraId="2A98553D">
      <w:pPr>
        <w:spacing w:line="360" w:lineRule="auto"/>
        <w:ind w:left="9" w:right="9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上述原因如顺延合同工期在项目专用合同条款数据表的时间以内的，发包人将不予增加费用；如顺延合同工期在项目专用合同条款数据表的时间以上的，发包人将按如下原则给予补偿：</w:t>
      </w:r>
    </w:p>
    <w:p w14:paraId="0B621DB2">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1）驻地建设场地租金；</w:t>
      </w:r>
    </w:p>
    <w:p w14:paraId="4EEC554F">
      <w:pPr>
        <w:spacing w:line="360" w:lineRule="auto"/>
        <w:ind w:left="13" w:right="99"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2）合同承诺投入且已进场的机械设备停置费，停置数量不得超过第二章 投标人须</w:t>
      </w:r>
      <w:r>
        <w:rPr>
          <w:rFonts w:ascii="宋体" w:hAnsi="宋体" w:cs="宋体"/>
          <w:color w:val="000000" w:themeColor="text1"/>
          <w:spacing w:val="-1"/>
          <w:sz w:val="24"/>
          <w:highlight w:val="none"/>
          <w14:textFill>
            <w14:solidFill>
              <w14:schemeClr w14:val="tx1"/>
            </w14:solidFill>
          </w14:textFill>
        </w:rPr>
        <w:t>知附录</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7 资格审查条件(主要设备最低要求)，按以下两种情况计算：</w:t>
      </w:r>
    </w:p>
    <w:p w14:paraId="53C314D2">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a.《公路工程机械台班费用定额》包含的机械设</w:t>
      </w:r>
      <w:r>
        <w:rPr>
          <w:rFonts w:ascii="宋体" w:hAnsi="宋体" w:cs="宋体"/>
          <w:color w:val="000000" w:themeColor="text1"/>
          <w:spacing w:val="-1"/>
          <w:sz w:val="24"/>
          <w:highlight w:val="none"/>
          <w14:textFill>
            <w14:solidFill>
              <w14:schemeClr w14:val="tx1"/>
            </w14:solidFill>
          </w14:textFill>
        </w:rPr>
        <w:t>备停置费按如下公式计算：</w:t>
      </w:r>
    </w:p>
    <w:p w14:paraId="2010BE19">
      <w:pPr>
        <w:spacing w:line="360" w:lineRule="auto"/>
        <w:ind w:left="10" w:right="99"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停置费=（折旧费+检修费+维护费）*50%+</w:t>
      </w:r>
      <w:r>
        <w:rPr>
          <w:rFonts w:ascii="宋体" w:hAnsi="宋体" w:cs="宋体"/>
          <w:color w:val="000000" w:themeColor="text1"/>
          <w:spacing w:val="-2"/>
          <w:sz w:val="24"/>
          <w:highlight w:val="none"/>
          <w14:textFill>
            <w14:solidFill>
              <w14:schemeClr w14:val="tx1"/>
            </w14:solidFill>
          </w14:textFill>
        </w:rPr>
        <w:t>人工费+机上人员管理费+养路费及车船使</w:t>
      </w:r>
      <w:r>
        <w:rPr>
          <w:rFonts w:ascii="宋体" w:hAnsi="宋体" w:cs="宋体"/>
          <w:color w:val="000000" w:themeColor="text1"/>
          <w:spacing w:val="-6"/>
          <w:sz w:val="24"/>
          <w:highlight w:val="none"/>
          <w14:textFill>
            <w14:solidFill>
              <w14:schemeClr w14:val="tx1"/>
            </w14:solidFill>
          </w14:textFill>
        </w:rPr>
        <w:t>用税</w:t>
      </w:r>
    </w:p>
    <w:p w14:paraId="589EF3BB">
      <w:pPr>
        <w:spacing w:line="360" w:lineRule="auto"/>
        <w:ind w:left="7" w:right="99"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其中：机上人员管理费按人工费的</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10%计算；车船使用税按规定的广东省车船使用</w:t>
      </w:r>
      <w:r>
        <w:rPr>
          <w:rFonts w:ascii="宋体" w:hAnsi="宋体" w:cs="宋体"/>
          <w:color w:val="000000" w:themeColor="text1"/>
          <w:spacing w:val="-2"/>
          <w:sz w:val="24"/>
          <w:highlight w:val="none"/>
          <w14:textFill>
            <w14:solidFill>
              <w14:schemeClr w14:val="tx1"/>
            </w14:solidFill>
          </w14:textFill>
        </w:rPr>
        <w:t>税标准计算。</w:t>
      </w:r>
    </w:p>
    <w:p w14:paraId="20DC9584">
      <w:pPr>
        <w:spacing w:line="360" w:lineRule="auto"/>
        <w:ind w:left="7"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b. 《公路工程机械台班费用定额》未包含的机械设备停置费</w:t>
      </w:r>
      <w:r>
        <w:rPr>
          <w:rFonts w:ascii="宋体" w:hAnsi="宋体" w:cs="宋体"/>
          <w:color w:val="000000" w:themeColor="text1"/>
          <w:spacing w:val="1"/>
          <w:sz w:val="24"/>
          <w:highlight w:val="none"/>
          <w14:textFill>
            <w14:solidFill>
              <w14:schemeClr w14:val="tx1"/>
            </w14:solidFill>
          </w14:textFill>
        </w:rPr>
        <w:t>按如下公式计算：按</w:t>
      </w:r>
      <w:r>
        <w:rPr>
          <w:rFonts w:ascii="宋体" w:hAnsi="宋体" w:cs="宋体"/>
          <w:color w:val="000000" w:themeColor="text1"/>
          <w:spacing w:val="-6"/>
          <w:sz w:val="24"/>
          <w:highlight w:val="none"/>
          <w14:textFill>
            <w14:solidFill>
              <w14:schemeClr w14:val="tx1"/>
            </w14:solidFill>
          </w14:textFill>
        </w:rPr>
        <w:t>照年限平均法直线计提折旧，折旧年限为</w:t>
      </w:r>
      <w:r>
        <w:rPr>
          <w:rFonts w:ascii="宋体" w:hAnsi="宋体" w:cs="宋体"/>
          <w:color w:val="000000" w:themeColor="text1"/>
          <w:spacing w:val="-23"/>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10</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年，年折旧额=固定资产原值×（1-残值率）</w:t>
      </w:r>
      <w:r>
        <w:rPr>
          <w:rFonts w:ascii="宋体" w:hAnsi="宋体" w:cs="宋体"/>
          <w:color w:val="000000" w:themeColor="text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/折旧年限，残值率为4%；月折旧额=年</w:t>
      </w:r>
      <w:r>
        <w:rPr>
          <w:rFonts w:ascii="宋体" w:hAnsi="宋体" w:cs="宋体"/>
          <w:color w:val="000000" w:themeColor="text1"/>
          <w:spacing w:val="-5"/>
          <w:sz w:val="24"/>
          <w:highlight w:val="none"/>
          <w14:textFill>
            <w14:solidFill>
              <w14:schemeClr w14:val="tx1"/>
            </w14:solidFill>
          </w14:textFill>
        </w:rPr>
        <w:t>折旧额/12，末月的天数≥16</w:t>
      </w:r>
      <w:r>
        <w:rPr>
          <w:rFonts w:ascii="宋体" w:hAnsi="宋体" w:cs="宋体"/>
          <w:color w:val="000000" w:themeColor="text1"/>
          <w:spacing w:val="-3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时，按</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个月计算，</w:t>
      </w:r>
      <w:r>
        <w:rPr>
          <w:rFonts w:ascii="宋体" w:hAnsi="宋体" w:cs="宋体"/>
          <w:color w:val="000000" w:themeColor="text1"/>
          <w:spacing w:val="-2"/>
          <w:sz w:val="24"/>
          <w:highlight w:val="none"/>
          <w14:textFill>
            <w14:solidFill>
              <w14:schemeClr w14:val="tx1"/>
            </w14:solidFill>
          </w14:textFill>
        </w:rPr>
        <w:t>否则末月不计。</w:t>
      </w:r>
    </w:p>
    <w:p w14:paraId="6816C376">
      <w:pPr>
        <w:spacing w:line="360" w:lineRule="auto"/>
        <w:ind w:left="7" w:right="99"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3）已进场的主要管理人员的工资费用。补偿</w:t>
      </w:r>
      <w:r>
        <w:rPr>
          <w:rFonts w:ascii="宋体" w:hAnsi="宋体" w:cs="宋体"/>
          <w:color w:val="000000" w:themeColor="text1"/>
          <w:spacing w:val="1"/>
          <w:sz w:val="24"/>
          <w:highlight w:val="none"/>
          <w14:textFill>
            <w14:solidFill>
              <w14:schemeClr w14:val="tx1"/>
            </w14:solidFill>
          </w14:textFill>
        </w:rPr>
        <w:t>的人员数量不得超过合同承诺投入的</w:t>
      </w:r>
      <w:r>
        <w:rPr>
          <w:rFonts w:ascii="宋体" w:hAnsi="宋体" w:cs="宋体"/>
          <w:color w:val="000000" w:themeColor="text1"/>
          <w:spacing w:val="3"/>
          <w:sz w:val="24"/>
          <w:highlight w:val="none"/>
          <w14:textFill>
            <w14:solidFill>
              <w14:schemeClr w14:val="tx1"/>
            </w14:solidFill>
          </w14:textFill>
        </w:rPr>
        <w:t>相应数量（第二章 投标人须知附录</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6 资格审查条件(其他管理人</w:t>
      </w:r>
      <w:r>
        <w:rPr>
          <w:rFonts w:ascii="宋体" w:hAnsi="宋体" w:cs="宋体"/>
          <w:color w:val="000000" w:themeColor="text1"/>
          <w:spacing w:val="2"/>
          <w:sz w:val="24"/>
          <w:highlight w:val="none"/>
          <w14:textFill>
            <w14:solidFill>
              <w14:schemeClr w14:val="tx1"/>
            </w14:solidFill>
          </w14:textFill>
        </w:rPr>
        <w:t>员和技术人员最低要</w:t>
      </w:r>
      <w:r>
        <w:rPr>
          <w:rFonts w:ascii="宋体" w:hAnsi="宋体" w:cs="宋体"/>
          <w:color w:val="000000" w:themeColor="text1"/>
          <w:spacing w:val="1"/>
          <w:sz w:val="24"/>
          <w:highlight w:val="none"/>
          <w14:textFill>
            <w14:solidFill>
              <w14:schemeClr w14:val="tx1"/>
            </w14:solidFill>
          </w14:textFill>
        </w:rPr>
        <w:t>求)</w:t>
      </w:r>
      <w:r>
        <w:rPr>
          <w:rFonts w:ascii="宋体" w:hAnsi="宋体" w:cs="宋体"/>
          <w:color w:val="000000" w:themeColor="text1"/>
          <w:spacing w:val="13"/>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补偿单价以统计局公布的项目所在地上一年度平均月收入为基数，具有高级职</w:t>
      </w:r>
      <w:r>
        <w:rPr>
          <w:rFonts w:ascii="宋体" w:hAnsi="宋体" w:cs="宋体"/>
          <w:color w:val="000000" w:themeColor="text1"/>
          <w:spacing w:val="-3"/>
          <w:sz w:val="24"/>
          <w:highlight w:val="none"/>
          <w14:textFill>
            <w14:solidFill>
              <w14:schemeClr w14:val="tx1"/>
            </w14:solidFill>
          </w14:textFill>
        </w:rPr>
        <w:t>称的人员工资按</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倍计算，具有中级职称的人员工资按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倍计算，其他管理人员工资按</w:t>
      </w:r>
      <w:r>
        <w:rPr>
          <w:rFonts w:ascii="宋体" w:hAnsi="宋体" w:cs="宋体"/>
          <w:color w:val="000000" w:themeColor="text1"/>
          <w:spacing w:val="-4"/>
          <w:sz w:val="24"/>
          <w:highlight w:val="none"/>
          <w14:textFill>
            <w14:solidFill>
              <w14:schemeClr w14:val="tx1"/>
            </w14:solidFill>
          </w14:textFill>
        </w:rPr>
        <w:t>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倍计算；</w:t>
      </w:r>
    </w:p>
    <w:p w14:paraId="41E23914">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 仅对超出项目专用合同条款数据表明确的时间进行补偿；</w:t>
      </w:r>
    </w:p>
    <w:p w14:paraId="5992D5DD">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5）除上述规定的补偿项目之外，其余由于</w:t>
      </w:r>
      <w:r>
        <w:rPr>
          <w:rFonts w:ascii="宋体" w:hAnsi="宋体" w:cs="宋体"/>
          <w:color w:val="000000" w:themeColor="text1"/>
          <w:spacing w:val="-1"/>
          <w:sz w:val="24"/>
          <w:highlight w:val="none"/>
          <w14:textFill>
            <w14:solidFill>
              <w14:schemeClr w14:val="tx1"/>
            </w14:solidFill>
          </w14:textFill>
        </w:rPr>
        <w:t>工期顺延增加的费用由承包人承担。</w:t>
      </w:r>
    </w:p>
    <w:p w14:paraId="15C63BDB">
      <w:pPr>
        <w:spacing w:line="360" w:lineRule="auto"/>
        <w:ind w:left="8" w:right="99"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如因非承包人责任造成工期拖延或其他非承包人自身原因需要加快工程进度的情</w:t>
      </w:r>
      <w:r>
        <w:rPr>
          <w:rFonts w:ascii="宋体" w:hAnsi="宋体" w:cs="宋体"/>
          <w:color w:val="000000" w:themeColor="text1"/>
          <w:spacing w:val="-2"/>
          <w:sz w:val="24"/>
          <w:highlight w:val="none"/>
          <w14:textFill>
            <w14:solidFill>
              <w14:schemeClr w14:val="tx1"/>
            </w14:solidFill>
          </w14:textFill>
        </w:rPr>
        <w:t>况，承包人应发包人的要求而采取加快工程进度措施的，按预算法或实际费用法测算法</w:t>
      </w:r>
      <w:r>
        <w:rPr>
          <w:rFonts w:ascii="宋体" w:hAnsi="宋体" w:cs="宋体"/>
          <w:color w:val="000000" w:themeColor="text1"/>
          <w:spacing w:val="-1"/>
          <w:sz w:val="24"/>
          <w:highlight w:val="none"/>
          <w14:textFill>
            <w14:solidFill>
              <w14:schemeClr w14:val="tx1"/>
            </w14:solidFill>
          </w14:textFill>
        </w:rPr>
        <w:t>计算加速施工费用给予补偿：</w:t>
      </w:r>
    </w:p>
    <w:p w14:paraId="51DDB6A4">
      <w:pPr>
        <w:spacing w:line="360" w:lineRule="auto"/>
        <w:ind w:left="506"/>
        <w:rPr>
          <w:rFonts w:hint="eastAsia"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1）承包人应编制加速施工措施方案，并经监理和发包人审批同意后实施，经审批</w:t>
      </w:r>
    </w:p>
    <w:p w14:paraId="60713408">
      <w:pPr>
        <w:spacing w:line="360" w:lineRule="auto"/>
        <w:ind w:left="2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的加速施工方案将作为加速施工费用计算的依据。</w:t>
      </w:r>
    </w:p>
    <w:p w14:paraId="4094212B">
      <w:pPr>
        <w:spacing w:line="360" w:lineRule="auto"/>
        <w:ind w:left="9"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2）加速施工费用按预算法或实际费用法测算进行计算，包括人工机械施工降效费、</w:t>
      </w:r>
      <w:r>
        <w:rPr>
          <w:rFonts w:ascii="宋体" w:hAnsi="宋体" w:cs="宋体"/>
          <w:color w:val="000000" w:themeColor="text1"/>
          <w:spacing w:val="-2"/>
          <w:sz w:val="24"/>
          <w:highlight w:val="none"/>
          <w14:textFill>
            <w14:solidFill>
              <w14:schemeClr w14:val="tx1"/>
            </w14:solidFill>
          </w14:textFill>
        </w:rPr>
        <w:t>夜间施工增加费、新增人员机械进出场费、新增措施费等以及相应的企业管理费、利润和税金。若按预算法计算，则应在预算价的基础上按本合同段投标人中标总价对比最高</w:t>
      </w:r>
      <w:r>
        <w:rPr>
          <w:rFonts w:ascii="宋体" w:hAnsi="宋体" w:cs="宋体"/>
          <w:color w:val="000000" w:themeColor="text1"/>
          <w:spacing w:val="-1"/>
          <w:sz w:val="24"/>
          <w:highlight w:val="none"/>
          <w14:textFill>
            <w14:solidFill>
              <w14:schemeClr w14:val="tx1"/>
            </w14:solidFill>
          </w14:textFill>
        </w:rPr>
        <w:t>投标限价的下浮比例下浮确定加速施工费用。</w:t>
      </w:r>
    </w:p>
    <w:p w14:paraId="39A36E80">
      <w:pPr>
        <w:spacing w:line="360" w:lineRule="auto"/>
        <w:ind w:left="9" w:right="80"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3）人工机械施工降效费为完成加速施工工程</w:t>
      </w:r>
      <w:r>
        <w:rPr>
          <w:rFonts w:ascii="宋体" w:hAnsi="宋体" w:cs="宋体"/>
          <w:color w:val="000000" w:themeColor="text1"/>
          <w:spacing w:val="1"/>
          <w:sz w:val="24"/>
          <w:highlight w:val="none"/>
          <w14:textFill>
            <w14:solidFill>
              <w14:schemeClr w14:val="tx1"/>
            </w14:solidFill>
          </w14:textFill>
        </w:rPr>
        <w:t>所需人工机械费用与完成同样工程量</w:t>
      </w:r>
      <w:r>
        <w:rPr>
          <w:rFonts w:ascii="宋体" w:hAnsi="宋体" w:cs="宋体"/>
          <w:color w:val="000000" w:themeColor="text1"/>
          <w:sz w:val="24"/>
          <w:highlight w:val="none"/>
          <w14:textFill>
            <w14:solidFill>
              <w14:schemeClr w14:val="tx1"/>
            </w14:solidFill>
          </w14:textFill>
        </w:rPr>
        <w:t>的正常施工所需人工机械费用之差。即人工机械降效费=</w:t>
      </w:r>
      <w:r>
        <w:rPr>
          <w:rFonts w:ascii="宋体" w:hAnsi="宋体" w:cs="宋体"/>
          <w:color w:val="000000" w:themeColor="text1"/>
          <w:spacing w:val="-6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Σ（单位清单子目加速施工的</w:t>
      </w:r>
      <w:r>
        <w:rPr>
          <w:rFonts w:ascii="宋体" w:hAnsi="宋体" w:cs="宋体"/>
          <w:color w:val="000000" w:themeColor="text1"/>
          <w:spacing w:val="-2"/>
          <w:sz w:val="24"/>
          <w:highlight w:val="none"/>
          <w14:textFill>
            <w14:solidFill>
              <w14:schemeClr w14:val="tx1"/>
            </w14:solidFill>
          </w14:textFill>
        </w:rPr>
        <w:t>人工机械费用-单位清单子目正常施工所需人工机械费用）*加速施工工程量。单位清单子目加速施工的人工机械费用按照现行《公路工程施工定额测定与编制规程》的有关规定测定，单位清单子目正常施工所需要的人工机械费用参照招标人公布的最高投标限价</w:t>
      </w:r>
      <w:r>
        <w:rPr>
          <w:rFonts w:ascii="宋体" w:hAnsi="宋体" w:cs="宋体"/>
          <w:color w:val="000000" w:themeColor="text1"/>
          <w:spacing w:val="-1"/>
          <w:sz w:val="24"/>
          <w:highlight w:val="none"/>
          <w14:textFill>
            <w14:solidFill>
              <w14:schemeClr w14:val="tx1"/>
            </w14:solidFill>
          </w14:textFill>
        </w:rPr>
        <w:t>编制时选用的有关定额及补充的定额计算。</w:t>
      </w:r>
    </w:p>
    <w:p w14:paraId="6BE84342">
      <w:pPr>
        <w:spacing w:line="360" w:lineRule="auto"/>
        <w:ind w:left="6"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4）夜间施工增加费包括人工机械降效费、照明设施费和加</w:t>
      </w:r>
      <w:r>
        <w:rPr>
          <w:rFonts w:ascii="宋体" w:hAnsi="宋体" w:cs="宋体"/>
          <w:color w:val="000000" w:themeColor="text1"/>
          <w:spacing w:val="1"/>
          <w:sz w:val="24"/>
          <w:highlight w:val="none"/>
          <w14:textFill>
            <w14:solidFill>
              <w14:schemeClr w14:val="tx1"/>
            </w14:solidFill>
          </w14:textFill>
        </w:rPr>
        <w:t>班费，夜间施工人工机</w:t>
      </w:r>
      <w:r>
        <w:rPr>
          <w:rFonts w:ascii="宋体" w:hAnsi="宋体" w:cs="宋体"/>
          <w:color w:val="000000" w:themeColor="text1"/>
          <w:spacing w:val="5"/>
          <w:sz w:val="24"/>
          <w:highlight w:val="none"/>
          <w14:textFill>
            <w14:solidFill>
              <w14:schemeClr w14:val="tx1"/>
            </w14:solidFill>
          </w14:textFill>
        </w:rPr>
        <w:t>械降效费应为夜间施工所需人工机械费用与完成同样工程量的日间正常施工所需</w:t>
      </w:r>
      <w:r>
        <w:rPr>
          <w:rFonts w:ascii="宋体" w:hAnsi="宋体" w:cs="宋体"/>
          <w:color w:val="000000" w:themeColor="text1"/>
          <w:spacing w:val="4"/>
          <w:sz w:val="24"/>
          <w:highlight w:val="none"/>
          <w14:textFill>
            <w14:solidFill>
              <w14:schemeClr w14:val="tx1"/>
            </w14:solidFill>
          </w14:textFill>
        </w:rPr>
        <w:t>人工</w:t>
      </w:r>
      <w:r>
        <w:rPr>
          <w:rFonts w:ascii="宋体" w:hAnsi="宋体" w:cs="宋体"/>
          <w:color w:val="000000" w:themeColor="text1"/>
          <w:sz w:val="24"/>
          <w:highlight w:val="none"/>
          <w14:textFill>
            <w14:solidFill>
              <w14:schemeClr w14:val="tx1"/>
            </w14:solidFill>
          </w14:textFill>
        </w:rPr>
        <w:t>机械费用之差，计算方法同第</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3）项，照明设施费包括灯具、</w:t>
      </w:r>
      <w:r>
        <w:rPr>
          <w:rFonts w:ascii="宋体" w:hAnsi="宋体" w:cs="宋体"/>
          <w:color w:val="000000" w:themeColor="text1"/>
          <w:spacing w:val="-1"/>
          <w:sz w:val="24"/>
          <w:highlight w:val="none"/>
          <w14:textFill>
            <w14:solidFill>
              <w14:schemeClr w14:val="tx1"/>
            </w14:solidFill>
          </w14:textFill>
        </w:rPr>
        <w:t>照明用电或发电机等照明相关费用，加班费应按国家有关规定计算。</w:t>
      </w:r>
      <w:r>
        <w:rPr>
          <w:rFonts w:ascii="宋体" w:hAnsi="宋体" w:cs="宋体"/>
          <w:color w:val="000000" w:themeColor="text1"/>
          <w:spacing w:val="-2"/>
          <w:sz w:val="24"/>
          <w:highlight w:val="none"/>
          <w14:textFill>
            <w14:solidFill>
              <w14:schemeClr w14:val="tx1"/>
            </w14:solidFill>
          </w14:textFill>
        </w:rPr>
        <w:t>实施性施工组织设计或开工报告已安排夜间</w:t>
      </w:r>
      <w:r>
        <w:rPr>
          <w:rFonts w:ascii="宋体" w:hAnsi="宋体" w:cs="宋体"/>
          <w:color w:val="000000" w:themeColor="text1"/>
          <w:spacing w:val="-1"/>
          <w:sz w:val="24"/>
          <w:highlight w:val="none"/>
          <w14:textFill>
            <w14:solidFill>
              <w14:schemeClr w14:val="tx1"/>
            </w14:solidFill>
          </w14:textFill>
        </w:rPr>
        <w:t>施工的工程，加速施工费不得计算该工程夜</w:t>
      </w:r>
      <w:r>
        <w:rPr>
          <w:rFonts w:ascii="宋体" w:hAnsi="宋体" w:cs="宋体"/>
          <w:color w:val="000000" w:themeColor="text1"/>
          <w:spacing w:val="-2"/>
          <w:sz w:val="24"/>
          <w:highlight w:val="none"/>
          <w14:textFill>
            <w14:solidFill>
              <w14:schemeClr w14:val="tx1"/>
            </w14:solidFill>
          </w14:textFill>
        </w:rPr>
        <w:t>间施工增加费，实施性施工组织设计或开工</w:t>
      </w:r>
      <w:r>
        <w:rPr>
          <w:rFonts w:ascii="宋体" w:hAnsi="宋体" w:cs="宋体"/>
          <w:color w:val="000000" w:themeColor="text1"/>
          <w:spacing w:val="-1"/>
          <w:sz w:val="24"/>
          <w:highlight w:val="none"/>
          <w14:textFill>
            <w14:solidFill>
              <w14:schemeClr w14:val="tx1"/>
            </w14:solidFill>
          </w14:textFill>
        </w:rPr>
        <w:t>报告未明确夜间施工的工程，如果工程量清</w:t>
      </w:r>
      <w:r>
        <w:rPr>
          <w:rFonts w:ascii="宋体" w:hAnsi="宋体" w:cs="宋体"/>
          <w:color w:val="000000" w:themeColor="text1"/>
          <w:spacing w:val="-2"/>
          <w:sz w:val="24"/>
          <w:highlight w:val="none"/>
          <w14:textFill>
            <w14:solidFill>
              <w14:schemeClr w14:val="tx1"/>
            </w14:solidFill>
          </w14:textFill>
        </w:rPr>
        <w:t>单预算已计取夜间施工增加费的，加速施工</w:t>
      </w:r>
      <w:r>
        <w:rPr>
          <w:rFonts w:ascii="宋体" w:hAnsi="宋体" w:cs="宋体"/>
          <w:color w:val="000000" w:themeColor="text1"/>
          <w:spacing w:val="-1"/>
          <w:sz w:val="24"/>
          <w:highlight w:val="none"/>
          <w14:textFill>
            <w14:solidFill>
              <w14:schemeClr w14:val="tx1"/>
            </w14:solidFill>
          </w14:textFill>
        </w:rPr>
        <w:t>费不得计算该工程夜间施工增加费。</w:t>
      </w:r>
    </w:p>
    <w:p w14:paraId="567709A0">
      <w:pPr>
        <w:spacing w:line="360" w:lineRule="auto"/>
        <w:ind w:left="11"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5）新增人员进退场费用按</w:t>
      </w:r>
      <w:r>
        <w:rPr>
          <w:rFonts w:ascii="宋体" w:hAnsi="宋体" w:cs="宋体"/>
          <w:color w:val="000000" w:themeColor="text1"/>
          <w:spacing w:val="-115"/>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元/人计算，此费用包含人员从出发地至施工现场及</w:t>
      </w:r>
      <w:r>
        <w:rPr>
          <w:rFonts w:ascii="宋体" w:hAnsi="宋体" w:cs="宋体"/>
          <w:color w:val="000000" w:themeColor="text1"/>
          <w:spacing w:val="-1"/>
          <w:sz w:val="24"/>
          <w:highlight w:val="none"/>
          <w14:textFill>
            <w14:solidFill>
              <w14:schemeClr w14:val="tx1"/>
            </w14:solidFill>
          </w14:textFill>
        </w:rPr>
        <w:t>从施工现场返回出发地的交通、食宿等相关费用；</w:t>
      </w:r>
    </w:p>
    <w:p w14:paraId="4E075E58">
      <w:pPr>
        <w:spacing w:line="360" w:lineRule="auto"/>
        <w:ind w:left="6" w:right="80"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6）新增自走式机械的进退场费用按</w:t>
      </w:r>
      <w:r>
        <w:rPr>
          <w:rFonts w:ascii="宋体" w:hAnsi="宋体" w:cs="宋体"/>
          <w:color w:val="000000" w:themeColor="text1"/>
          <w:spacing w:val="-118"/>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个台班</w:t>
      </w:r>
      <w:r>
        <w:rPr>
          <w:rFonts w:ascii="宋体" w:hAnsi="宋体" w:cs="宋体"/>
          <w:color w:val="000000" w:themeColor="text1"/>
          <w:sz w:val="24"/>
          <w:highlight w:val="none"/>
          <w14:textFill>
            <w14:solidFill>
              <w14:schemeClr w14:val="tx1"/>
            </w14:solidFill>
          </w14:textFill>
        </w:rPr>
        <w:t>计算，非自走式机械按</w:t>
      </w:r>
      <w:r>
        <w:rPr>
          <w:rFonts w:ascii="宋体" w:hAnsi="宋体" w:cs="宋体"/>
          <w:color w:val="000000" w:themeColor="text1"/>
          <w:spacing w:val="-117"/>
          <w:sz w:val="24"/>
          <w:highlight w:val="non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0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天计算停</w:t>
      </w:r>
      <w:r>
        <w:rPr>
          <w:rFonts w:ascii="宋体" w:hAnsi="宋体" w:cs="宋体"/>
          <w:color w:val="000000" w:themeColor="text1"/>
          <w:spacing w:val="-1"/>
          <w:sz w:val="24"/>
          <w:highlight w:val="none"/>
          <w14:textFill>
            <w14:solidFill>
              <w14:schemeClr w14:val="tx1"/>
            </w14:solidFill>
          </w14:textFill>
        </w:rPr>
        <w:t>置费再加上</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个台班的运输机械台班费；</w:t>
      </w:r>
    </w:p>
    <w:p w14:paraId="35F503C5">
      <w:pPr>
        <w:spacing w:line="360" w:lineRule="auto"/>
        <w:ind w:left="8" w:right="8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7）新增措施费按措施方案及现场实际投入</w:t>
      </w:r>
      <w:r>
        <w:rPr>
          <w:rFonts w:ascii="宋体" w:hAnsi="宋体" w:cs="宋体"/>
          <w:color w:val="000000" w:themeColor="text1"/>
          <w:spacing w:val="1"/>
          <w:sz w:val="24"/>
          <w:highlight w:val="none"/>
          <w14:textFill>
            <w14:solidFill>
              <w14:schemeClr w14:val="tx1"/>
            </w14:solidFill>
          </w14:textFill>
        </w:rPr>
        <w:t>计算，其中自有周转性材料和设备应只</w:t>
      </w:r>
      <w:r>
        <w:rPr>
          <w:rFonts w:ascii="宋体" w:hAnsi="宋体" w:cs="宋体"/>
          <w:color w:val="000000" w:themeColor="text1"/>
          <w:spacing w:val="-2"/>
          <w:sz w:val="24"/>
          <w:highlight w:val="none"/>
          <w14:textFill>
            <w14:solidFill>
              <w14:schemeClr w14:val="tx1"/>
            </w14:solidFill>
          </w14:textFill>
        </w:rPr>
        <w:t>计新增数量的进出场费，租赁的机械设备及周转性材料可按租赁价格与经定额计算价格</w:t>
      </w:r>
      <w:r>
        <w:rPr>
          <w:rFonts w:ascii="宋体" w:hAnsi="宋体" w:cs="宋体"/>
          <w:color w:val="000000" w:themeColor="text1"/>
          <w:spacing w:val="-1"/>
          <w:sz w:val="24"/>
          <w:highlight w:val="none"/>
          <w14:textFill>
            <w14:solidFill>
              <w14:schemeClr w14:val="tx1"/>
            </w14:solidFill>
          </w14:textFill>
        </w:rPr>
        <w:t>的差额测算增加费用。</w:t>
      </w:r>
    </w:p>
    <w:p w14:paraId="3FCE6483">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8）如因承包人自身原因导致的加速施工，不予调整费用。</w:t>
      </w:r>
    </w:p>
    <w:p w14:paraId="2704125D">
      <w:pPr>
        <w:spacing w:line="360" w:lineRule="auto"/>
        <w:ind w:left="28" w:right="80" w:firstLine="46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加速施工的工程内容和工程量，增加投入的人员、机械和措施等均以监理和发包人</w:t>
      </w:r>
      <w:r>
        <w:rPr>
          <w:rFonts w:ascii="宋体" w:hAnsi="宋体" w:cs="宋体"/>
          <w:color w:val="000000" w:themeColor="text1"/>
          <w:spacing w:val="-4"/>
          <w:sz w:val="24"/>
          <w:highlight w:val="none"/>
          <w14:textFill>
            <w14:solidFill>
              <w14:schemeClr w14:val="tx1"/>
            </w14:solidFill>
          </w14:textFill>
        </w:rPr>
        <w:t>的确认记录为准。</w:t>
      </w:r>
    </w:p>
    <w:p w14:paraId="45D044AB">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31" w:name="_Toc18831"/>
      <w:bookmarkStart w:id="232" w:name="_Toc7898"/>
      <w:r>
        <w:rPr>
          <w:rFonts w:ascii="宋体" w:hAnsi="宋体" w:cs="宋体"/>
          <w:color w:val="000000" w:themeColor="text1"/>
          <w:spacing w:val="-4"/>
          <w:sz w:val="24"/>
          <w:highlight w:val="none"/>
          <w14:textFill>
            <w14:solidFill>
              <w14:schemeClr w14:val="tx1"/>
            </w14:solidFill>
          </w14:textFill>
        </w:rPr>
        <w:t>11.4</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异常恶劣的气候条件</w:t>
      </w:r>
      <w:bookmarkEnd w:id="231"/>
      <w:bookmarkEnd w:id="232"/>
    </w:p>
    <w:p w14:paraId="60CC6A9A">
      <w:pPr>
        <w:spacing w:line="360" w:lineRule="auto"/>
        <w:ind w:left="491"/>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异常恶劣的气候条件是指十级以上强风暴、龙卷风或五十年一遇以上洪水造成重大</w:t>
      </w:r>
    </w:p>
    <w:p w14:paraId="1D2552C6">
      <w:pPr>
        <w:spacing w:before="78" w:line="219" w:lineRule="auto"/>
        <w:ind w:left="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坏等情况无法施工持续</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30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天以上者。</w:t>
      </w:r>
    </w:p>
    <w:p w14:paraId="370658CB">
      <w:pPr>
        <w:spacing w:before="183" w:line="218" w:lineRule="auto"/>
        <w:ind w:left="505"/>
        <w:outlineLvl w:val="2"/>
        <w:rPr>
          <w:rFonts w:hint="eastAsia" w:ascii="宋体" w:hAnsi="宋体" w:cs="宋体"/>
          <w:color w:val="000000" w:themeColor="text1"/>
          <w:sz w:val="24"/>
          <w:highlight w:val="none"/>
          <w14:textFill>
            <w14:solidFill>
              <w14:schemeClr w14:val="tx1"/>
            </w14:solidFill>
          </w14:textFill>
        </w:rPr>
      </w:pPr>
      <w:bookmarkStart w:id="233" w:name="_Toc21793"/>
      <w:bookmarkStart w:id="234" w:name="_Toc20810"/>
      <w:r>
        <w:rPr>
          <w:rFonts w:ascii="宋体" w:hAnsi="宋体" w:cs="宋体"/>
          <w:color w:val="000000" w:themeColor="text1"/>
          <w:spacing w:val="-3"/>
          <w:sz w:val="24"/>
          <w:highlight w:val="none"/>
          <w14:textFill>
            <w14:solidFill>
              <w14:schemeClr w14:val="tx1"/>
            </w14:solidFill>
          </w14:textFill>
        </w:rPr>
        <w:t>11.5 承包人的工期延误</w:t>
      </w:r>
      <w:bookmarkEnd w:id="233"/>
      <w:bookmarkEnd w:id="234"/>
    </w:p>
    <w:p w14:paraId="5ED834CD">
      <w:pPr>
        <w:spacing w:before="182" w:line="219"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在本款后增加第(6)项：</w:t>
      </w:r>
    </w:p>
    <w:p w14:paraId="35EE4CE4">
      <w:pPr>
        <w:spacing w:before="183" w:line="360" w:lineRule="auto"/>
        <w:ind w:left="9" w:right="6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（6）承包人连续三个月未能完成发包人下发（批复）的月计划任务的80%或累计未</w:t>
      </w:r>
      <w:r>
        <w:rPr>
          <w:rFonts w:ascii="宋体" w:hAnsi="宋体" w:cs="宋体"/>
          <w:color w:val="000000" w:themeColor="text1"/>
          <w:spacing w:val="2"/>
          <w:sz w:val="24"/>
          <w:highlight w:val="none"/>
          <w14:textFill>
            <w14:solidFill>
              <w14:schemeClr w14:val="tx1"/>
            </w14:solidFill>
          </w14:textFill>
        </w:rPr>
        <w:t>能完成发包人下发（批复）的季度计划任务的8</w:t>
      </w:r>
      <w:r>
        <w:rPr>
          <w:rFonts w:ascii="宋体" w:hAnsi="宋体" w:cs="宋体"/>
          <w:color w:val="000000" w:themeColor="text1"/>
          <w:spacing w:val="1"/>
          <w:sz w:val="24"/>
          <w:highlight w:val="none"/>
          <w14:textFill>
            <w14:solidFill>
              <w14:schemeClr w14:val="tx1"/>
            </w14:solidFill>
          </w14:textFill>
        </w:rPr>
        <w:t>0%，发包人和监理人认为承包人无法在合同工期内完成任务的，发包人有权按第4</w:t>
      </w:r>
      <w:r>
        <w:rPr>
          <w:rFonts w:ascii="宋体" w:hAnsi="宋体" w:cs="宋体"/>
          <w:color w:val="000000" w:themeColor="text1"/>
          <w:sz w:val="24"/>
          <w:highlight w:val="none"/>
          <w14:textFill>
            <w14:solidFill>
              <w14:schemeClr w14:val="tx1"/>
            </w14:solidFill>
          </w14:textFill>
        </w:rPr>
        <w:t>.3.15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款、第</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4.3.16</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款进行处理。</w:t>
      </w:r>
    </w:p>
    <w:p w14:paraId="6CBB9002">
      <w:pPr>
        <w:spacing w:line="221" w:lineRule="auto"/>
        <w:ind w:left="505"/>
        <w:outlineLvl w:val="1"/>
        <w:rPr>
          <w:rFonts w:hint="eastAsia" w:ascii="宋体" w:hAnsi="宋体" w:cs="宋体"/>
          <w:color w:val="000000" w:themeColor="text1"/>
          <w:sz w:val="24"/>
          <w:highlight w:val="none"/>
          <w14:textFill>
            <w14:solidFill>
              <w14:schemeClr w14:val="tx1"/>
            </w14:solidFill>
          </w14:textFill>
        </w:rPr>
      </w:pPr>
      <w:bookmarkStart w:id="235" w:name="_Toc14245"/>
      <w:bookmarkStart w:id="236" w:name="_Toc2935"/>
      <w:r>
        <w:rPr>
          <w:rFonts w:ascii="宋体" w:hAnsi="宋体" w:cs="宋体"/>
          <w:b/>
          <w:bCs/>
          <w:color w:val="000000" w:themeColor="text1"/>
          <w:spacing w:val="-9"/>
          <w:sz w:val="24"/>
          <w:highlight w:val="none"/>
          <w14:textFill>
            <w14:solidFill>
              <w14:schemeClr w14:val="tx1"/>
            </w14:solidFill>
          </w14:textFill>
        </w:rPr>
        <w:t>12.</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b/>
          <w:bCs/>
          <w:color w:val="000000" w:themeColor="text1"/>
          <w:spacing w:val="-9"/>
          <w:sz w:val="24"/>
          <w:highlight w:val="none"/>
          <w14:textFill>
            <w14:solidFill>
              <w14:schemeClr w14:val="tx1"/>
            </w14:solidFill>
          </w14:textFill>
        </w:rPr>
        <w:t>暂停施工</w:t>
      </w:r>
      <w:bookmarkEnd w:id="235"/>
      <w:bookmarkEnd w:id="236"/>
    </w:p>
    <w:p w14:paraId="6E4070CF">
      <w:pPr>
        <w:spacing w:before="182" w:line="219"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12.1 承包人暂停施工的责任</w:t>
      </w:r>
    </w:p>
    <w:p w14:paraId="620A7DFD">
      <w:pPr>
        <w:spacing w:before="183" w:line="219" w:lineRule="auto"/>
        <w:ind w:left="506"/>
        <w:rPr>
          <w:rFonts w:hint="eastAsia" w:ascii="宋体" w:hAnsi="宋体" w:cs="宋体"/>
          <w:color w:val="000000" w:themeColor="text1"/>
          <w:sz w:val="24"/>
          <w:highlight w:val="none"/>
          <w:u w:val="singl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12.1</w:t>
      </w:r>
      <w:r>
        <w:rPr>
          <w:rFonts w:ascii="宋体" w:hAnsi="宋体" w:cs="宋体"/>
          <w:color w:val="000000" w:themeColor="text1"/>
          <w:spacing w:val="5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(6)由承包人承担的其他暂停施工</w:t>
      </w:r>
      <w:r>
        <w:rPr>
          <w:rFonts w:hint="eastAsia"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1"/>
          <w:sz w:val="24"/>
          <w:highlight w:val="none"/>
          <w:u w:val="single"/>
          <w14:textFill>
            <w14:solidFill>
              <w14:schemeClr w14:val="tx1"/>
            </w14:solidFill>
          </w14:textFill>
        </w:rPr>
        <w:t xml:space="preserve"> </w:t>
      </w:r>
      <w:r>
        <w:rPr>
          <w:rFonts w:hint="eastAsia" w:ascii="宋体" w:hAnsi="宋体" w:cs="宋体"/>
          <w:color w:val="000000" w:themeColor="text1"/>
          <w:spacing w:val="-1"/>
          <w:sz w:val="24"/>
          <w:highlight w:val="none"/>
          <w:u w:val="single"/>
          <w14:textFill>
            <w14:solidFill>
              <w14:schemeClr w14:val="tx1"/>
            </w14:solidFill>
          </w14:textFill>
        </w:rPr>
        <w:t>无</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9"/>
          <w:sz w:val="24"/>
          <w:highlight w:val="none"/>
          <w14:textFill>
            <w14:solidFill>
              <w14:schemeClr w14:val="tx1"/>
            </w14:solidFill>
          </w14:textFill>
        </w:rPr>
        <w:t xml:space="preserve"> </w:t>
      </w:r>
    </w:p>
    <w:p w14:paraId="46D6308D">
      <w:pPr>
        <w:spacing w:before="183" w:line="219"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12.2 发包人暂停施工的责任</w:t>
      </w:r>
    </w:p>
    <w:p w14:paraId="0B8A7D7F">
      <w:pPr>
        <w:spacing w:before="182"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3C7EB7C1">
      <w:pPr>
        <w:spacing w:before="185" w:line="219" w:lineRule="auto"/>
        <w:ind w:left="5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由于发包人原因引起的暂停施工造成工期延误的，按第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款的约定执行。</w:t>
      </w:r>
    </w:p>
    <w:p w14:paraId="45898605">
      <w:pPr>
        <w:spacing w:before="183" w:line="221" w:lineRule="auto"/>
        <w:ind w:left="505"/>
        <w:outlineLvl w:val="1"/>
        <w:rPr>
          <w:rFonts w:hint="eastAsia" w:ascii="宋体" w:hAnsi="宋体" w:cs="宋体"/>
          <w:color w:val="000000" w:themeColor="text1"/>
          <w:sz w:val="24"/>
          <w:highlight w:val="none"/>
          <w14:textFill>
            <w14:solidFill>
              <w14:schemeClr w14:val="tx1"/>
            </w14:solidFill>
          </w14:textFill>
        </w:rPr>
      </w:pPr>
      <w:bookmarkStart w:id="237" w:name="_Toc7328"/>
      <w:bookmarkStart w:id="238" w:name="_Toc17318"/>
      <w:r>
        <w:rPr>
          <w:rFonts w:ascii="宋体" w:hAnsi="宋体" w:cs="宋体"/>
          <w:b/>
          <w:bCs/>
          <w:color w:val="000000" w:themeColor="text1"/>
          <w:spacing w:val="-8"/>
          <w:sz w:val="24"/>
          <w:highlight w:val="none"/>
          <w14:textFill>
            <w14:solidFill>
              <w14:schemeClr w14:val="tx1"/>
            </w14:solidFill>
          </w14:textFill>
        </w:rPr>
        <w:t>13.</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b/>
          <w:bCs/>
          <w:color w:val="000000" w:themeColor="text1"/>
          <w:spacing w:val="-8"/>
          <w:sz w:val="24"/>
          <w:highlight w:val="none"/>
          <w14:textFill>
            <w14:solidFill>
              <w14:schemeClr w14:val="tx1"/>
            </w14:solidFill>
          </w14:textFill>
        </w:rPr>
        <w:t>工程质量</w:t>
      </w:r>
      <w:bookmarkEnd w:id="237"/>
      <w:bookmarkEnd w:id="238"/>
    </w:p>
    <w:p w14:paraId="771DE6B5">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39" w:name="_Toc13183"/>
      <w:bookmarkStart w:id="240" w:name="_Toc5490"/>
      <w:r>
        <w:rPr>
          <w:rFonts w:ascii="宋体" w:hAnsi="宋体" w:cs="宋体"/>
          <w:color w:val="000000" w:themeColor="text1"/>
          <w:spacing w:val="-3"/>
          <w:sz w:val="24"/>
          <w:highlight w:val="none"/>
          <w14:textFill>
            <w14:solidFill>
              <w14:schemeClr w14:val="tx1"/>
            </w14:solidFill>
          </w14:textFill>
        </w:rPr>
        <w:t>13.1 工程质量要求</w:t>
      </w:r>
      <w:bookmarkEnd w:id="239"/>
      <w:bookmarkEnd w:id="240"/>
    </w:p>
    <w:p w14:paraId="12AC80C2">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在本款第</w:t>
      </w:r>
      <w:r>
        <w:rPr>
          <w:rFonts w:ascii="宋体" w:hAnsi="宋体" w:cs="宋体"/>
          <w:color w:val="000000" w:themeColor="text1"/>
          <w:spacing w:val="-2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13.1.2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项后增加以下内容：</w:t>
      </w:r>
    </w:p>
    <w:p w14:paraId="65CD613F">
      <w:pPr>
        <w:spacing w:line="360" w:lineRule="auto"/>
        <w:ind w:left="8"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在工程经过验收并计量之后的任何时候，因任何方式（包括政府质量监督部门、发</w:t>
      </w:r>
      <w:r>
        <w:rPr>
          <w:rFonts w:ascii="宋体" w:hAnsi="宋体" w:cs="宋体"/>
          <w:color w:val="000000" w:themeColor="text1"/>
          <w:spacing w:val="-6"/>
          <w:sz w:val="24"/>
          <w:highlight w:val="none"/>
          <w14:textFill>
            <w14:solidFill>
              <w14:schemeClr w14:val="tx1"/>
            </w14:solidFill>
          </w14:textFill>
        </w:rPr>
        <w:t>包人或监理人组织的各类检查）发现的关键工程质量不合格、工序不规范造成质量</w:t>
      </w:r>
      <w:r>
        <w:rPr>
          <w:rFonts w:ascii="宋体" w:hAnsi="宋体" w:cs="宋体"/>
          <w:color w:val="000000" w:themeColor="text1"/>
          <w:spacing w:val="-7"/>
          <w:sz w:val="24"/>
          <w:highlight w:val="none"/>
          <w14:textFill>
            <w14:solidFill>
              <w14:schemeClr w14:val="tx1"/>
            </w14:solidFill>
          </w14:textFill>
        </w:rPr>
        <w:t>隐患，</w:t>
      </w:r>
      <w:r>
        <w:rPr>
          <w:rFonts w:ascii="宋体" w:hAnsi="宋体" w:cs="宋体"/>
          <w:color w:val="000000" w:themeColor="text1"/>
          <w:spacing w:val="-2"/>
          <w:sz w:val="24"/>
          <w:highlight w:val="none"/>
          <w14:textFill>
            <w14:solidFill>
              <w14:schemeClr w14:val="tx1"/>
            </w14:solidFill>
          </w14:textFill>
        </w:rPr>
        <w:t>承包人应负责自费返工。发包人将根据本合同《工程质量、安全及文明施工违约项目一</w:t>
      </w:r>
      <w:r>
        <w:rPr>
          <w:rFonts w:ascii="宋体" w:hAnsi="宋体" w:cs="宋体"/>
          <w:color w:val="000000" w:themeColor="text1"/>
          <w:sz w:val="24"/>
          <w:highlight w:val="none"/>
          <w14:textFill>
            <w14:solidFill>
              <w14:schemeClr w14:val="tx1"/>
            </w14:solidFill>
          </w14:textFill>
        </w:rPr>
        <w:t>览表》对承包人进行处理。该处理不免除承包人自费</w:t>
      </w:r>
      <w:r>
        <w:rPr>
          <w:rFonts w:ascii="宋体" w:hAnsi="宋体" w:cs="宋体"/>
          <w:color w:val="000000" w:themeColor="text1"/>
          <w:spacing w:val="-1"/>
          <w:sz w:val="24"/>
          <w:highlight w:val="none"/>
          <w14:textFill>
            <w14:solidFill>
              <w14:schemeClr w14:val="tx1"/>
            </w14:solidFill>
          </w14:textFill>
        </w:rPr>
        <w:t>进行返工或修复的责任。</w:t>
      </w:r>
    </w:p>
    <w:p w14:paraId="635C6928">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41" w:name="_Toc13217"/>
      <w:bookmarkStart w:id="242" w:name="_Toc19764"/>
      <w:r>
        <w:rPr>
          <w:rFonts w:ascii="宋体" w:hAnsi="宋体" w:cs="宋体"/>
          <w:color w:val="000000" w:themeColor="text1"/>
          <w:spacing w:val="-4"/>
          <w:sz w:val="24"/>
          <w:highlight w:val="none"/>
          <w14:textFill>
            <w14:solidFill>
              <w14:schemeClr w14:val="tx1"/>
            </w14:solidFill>
          </w14:textFill>
        </w:rPr>
        <w:t>13.2</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承包人的质量管理</w:t>
      </w:r>
      <w:bookmarkEnd w:id="241"/>
      <w:bookmarkEnd w:id="242"/>
    </w:p>
    <w:p w14:paraId="577F0E0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补充第</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13.2.11～13.2.15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22F9677E">
      <w:pPr>
        <w:spacing w:line="360" w:lineRule="auto"/>
        <w:ind w:left="9" w:right="61" w:firstLine="4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13.2.11 对未分包由承包人直接负责的工程，承包人应强化施工自管的主体地位，实现技术、人员、材料、机械设备、资金等全要素</w:t>
      </w:r>
      <w:r>
        <w:rPr>
          <w:rFonts w:ascii="宋体" w:hAnsi="宋体" w:cs="宋体"/>
          <w:color w:val="000000" w:themeColor="text1"/>
          <w:spacing w:val="-3"/>
          <w:sz w:val="24"/>
          <w:highlight w:val="none"/>
          <w14:textFill>
            <w14:solidFill>
              <w14:schemeClr w14:val="tx1"/>
            </w14:solidFill>
          </w14:textFill>
        </w:rPr>
        <w:t>“一竿子到底</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”的穿透式管控，确保</w:t>
      </w:r>
      <w:r>
        <w:rPr>
          <w:rFonts w:ascii="宋体" w:hAnsi="宋体" w:cs="宋体"/>
          <w:color w:val="000000" w:themeColor="text1"/>
          <w:spacing w:val="-4"/>
          <w:sz w:val="24"/>
          <w:highlight w:val="none"/>
          <w14:textFill>
            <w14:solidFill>
              <w14:schemeClr w14:val="tx1"/>
            </w14:solidFill>
          </w14:textFill>
        </w:rPr>
        <w:t>质量安全保证体系有效运转，真正实现“</w:t>
      </w:r>
      <w:r>
        <w:rPr>
          <w:rFonts w:ascii="宋体" w:hAnsi="宋体" w:cs="宋体"/>
          <w:color w:val="000000" w:themeColor="text1"/>
          <w:spacing w:val="-7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自己干、</w:t>
      </w:r>
      <w:r>
        <w:rPr>
          <w:rFonts w:ascii="宋体" w:hAnsi="宋体" w:cs="宋体"/>
          <w:color w:val="000000" w:themeColor="text1"/>
          <w:spacing w:val="-7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自己管</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p>
    <w:p w14:paraId="4CA9ECB5">
      <w:pPr>
        <w:spacing w:line="360" w:lineRule="auto"/>
        <w:ind w:left="9" w:right="61" w:firstLine="4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13.2.12</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承包人应按照《广东省公路工程施工项目部管理指南（试行）》</w:t>
      </w:r>
      <w:r>
        <w:rPr>
          <w:rFonts w:ascii="宋体" w:hAnsi="宋体" w:cs="宋体"/>
          <w:color w:val="000000" w:themeColor="text1"/>
          <w:spacing w:val="2"/>
          <w:sz w:val="24"/>
          <w:highlight w:val="none"/>
          <w14:textFill>
            <w14:solidFill>
              <w14:schemeClr w14:val="tx1"/>
            </w14:solidFill>
          </w14:textFill>
        </w:rPr>
        <w:t>第</w:t>
      </w:r>
      <w:r>
        <w:rPr>
          <w:rFonts w:ascii="宋体" w:hAnsi="宋体" w:cs="宋体"/>
          <w:color w:val="000000" w:themeColor="text1"/>
          <w:spacing w:val="-2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11.3</w:t>
      </w:r>
      <w:r>
        <w:rPr>
          <w:rFonts w:ascii="宋体" w:hAnsi="宋体" w:cs="宋体"/>
          <w:color w:val="000000" w:themeColor="text1"/>
          <w:spacing w:val="-2"/>
          <w:sz w:val="24"/>
          <w:highlight w:val="none"/>
          <w14:textFill>
            <w14:solidFill>
              <w14:schemeClr w14:val="tx1"/>
            </w14:solidFill>
          </w14:textFill>
        </w:rPr>
        <w:t>点做好施组、方案管理工作，按《广东省高速公路工程施工组织设计和施工方案标准化管理指南》的相关要求，确保施工组织设计、施工方案和资金安排科学合理，实施管理严肃规范，严格按照经审批的施工组织设计和方案</w:t>
      </w:r>
      <w:r>
        <w:rPr>
          <w:rFonts w:ascii="宋体" w:hAnsi="宋体" w:cs="宋体"/>
          <w:color w:val="000000" w:themeColor="text1"/>
          <w:spacing w:val="-3"/>
          <w:sz w:val="24"/>
          <w:highlight w:val="none"/>
          <w14:textFill>
            <w14:solidFill>
              <w14:schemeClr w14:val="tx1"/>
            </w14:solidFill>
          </w14:textFill>
        </w:rPr>
        <w:t>施工，不得“编一套，做一套</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”，坚决杜绝方案编制审批与实施“两张皮</w:t>
      </w:r>
      <w:r>
        <w:rPr>
          <w:rFonts w:ascii="宋体" w:hAnsi="宋体" w:cs="宋体"/>
          <w:color w:val="000000" w:themeColor="text1"/>
          <w:spacing w:val="-7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”现象。</w:t>
      </w:r>
    </w:p>
    <w:p w14:paraId="377A5AC2">
      <w:pPr>
        <w:spacing w:line="360" w:lineRule="auto"/>
        <w:ind w:left="506"/>
        <w:rPr>
          <w:rFonts w:hint="eastAsia" w:ascii="宋体" w:hAnsi="宋体" w:cs="宋体"/>
          <w:color w:val="000000" w:themeColor="text1"/>
          <w:spacing w:val="-5"/>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13.2.13</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项目部应按照《广东省公路工程施工项目部管理指南（试行）》第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10</w:t>
      </w:r>
      <w:r>
        <w:rPr>
          <w:rFonts w:ascii="宋体" w:hAnsi="宋体" w:cs="宋体"/>
          <w:color w:val="000000" w:themeColor="text1"/>
          <w:spacing w:val="-3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点做</w:t>
      </w:r>
    </w:p>
    <w:p w14:paraId="05A2CF97">
      <w:pPr>
        <w:spacing w:line="360" w:lineRule="auto"/>
        <w:ind w:left="12" w:right="61" w:hanging="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好设备管理，加强对租赁及自有机械设备（含特种设备）有效管理，建立动态统一管理台账，将机械设备的准入、使用、安全管理纳入项目管理体系，特别要加强租赁设备的安全监管。不得仅以完成工程量计量支付租赁设备费用，应综合租赁时间、实际作业时</w:t>
      </w:r>
      <w:r>
        <w:rPr>
          <w:rFonts w:ascii="宋体" w:hAnsi="宋体" w:cs="宋体"/>
          <w:color w:val="000000" w:themeColor="text1"/>
          <w:spacing w:val="-1"/>
          <w:sz w:val="24"/>
          <w:highlight w:val="none"/>
          <w14:textFill>
            <w14:solidFill>
              <w14:schemeClr w14:val="tx1"/>
            </w14:solidFill>
          </w14:textFill>
        </w:rPr>
        <w:t>间、实际完成工作量等计量租赁设备费用，防止“</w:t>
      </w:r>
      <w:r>
        <w:rPr>
          <w:rFonts w:ascii="宋体" w:hAnsi="宋体" w:cs="宋体"/>
          <w:color w:val="000000" w:themeColor="text1"/>
          <w:spacing w:val="-8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以</w:t>
      </w:r>
      <w:r>
        <w:rPr>
          <w:rFonts w:ascii="宋体" w:hAnsi="宋体" w:cs="宋体"/>
          <w:color w:val="000000" w:themeColor="text1"/>
          <w:spacing w:val="-2"/>
          <w:sz w:val="24"/>
          <w:highlight w:val="none"/>
          <w14:textFill>
            <w14:solidFill>
              <w14:schemeClr w14:val="tx1"/>
            </w14:solidFill>
          </w14:textFill>
        </w:rPr>
        <w:t>租赁设备之名，行分包之实</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p>
    <w:p w14:paraId="676E273E">
      <w:pPr>
        <w:spacing w:line="360" w:lineRule="auto"/>
        <w:ind w:left="7" w:right="61"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13.2.14</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承包人应对分包单位和劳务合作企业的失信行为负主要责任，要做好相关</w:t>
      </w:r>
      <w:r>
        <w:rPr>
          <w:rFonts w:ascii="宋体" w:hAnsi="宋体" w:cs="宋体"/>
          <w:color w:val="000000" w:themeColor="text1"/>
          <w:spacing w:val="-2"/>
          <w:sz w:val="24"/>
          <w:highlight w:val="none"/>
          <w14:textFill>
            <w14:solidFill>
              <w14:schemeClr w14:val="tx1"/>
            </w14:solidFill>
          </w14:textFill>
        </w:rPr>
        <w:t>信用管理，按要求开展信用评价工作并建立台账，定期上报评价结果，相关信用行为纳</w:t>
      </w:r>
      <w:r>
        <w:rPr>
          <w:rFonts w:ascii="宋体" w:hAnsi="宋体" w:cs="宋体"/>
          <w:color w:val="000000" w:themeColor="text1"/>
          <w:spacing w:val="-3"/>
          <w:sz w:val="24"/>
          <w:highlight w:val="none"/>
          <w14:textFill>
            <w14:solidFill>
              <w14:schemeClr w14:val="tx1"/>
            </w14:solidFill>
          </w14:textFill>
        </w:rPr>
        <w:t>入行业信用“红黑名单</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”管理。</w:t>
      </w:r>
    </w:p>
    <w:p w14:paraId="5F79B750">
      <w:pPr>
        <w:spacing w:line="360" w:lineRule="auto"/>
        <w:ind w:left="6" w:right="61" w:firstLine="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13.2.15</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强化承包人“产品生产者</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”的主人翁意识，压实其施工主体责任。对于理</w:t>
      </w:r>
      <w:r>
        <w:rPr>
          <w:rFonts w:ascii="宋体" w:hAnsi="宋体" w:cs="宋体"/>
          <w:color w:val="000000" w:themeColor="text1"/>
          <w:spacing w:val="-1"/>
          <w:sz w:val="24"/>
          <w:highlight w:val="none"/>
          <w14:textFill>
            <w14:solidFill>
              <w14:schemeClr w14:val="tx1"/>
            </w14:solidFill>
          </w14:textFill>
        </w:rPr>
        <w:t>应由承包人自行承担、承包人自行承担更加</w:t>
      </w:r>
      <w:r>
        <w:rPr>
          <w:rFonts w:ascii="宋体" w:hAnsi="宋体" w:cs="宋体"/>
          <w:color w:val="000000" w:themeColor="text1"/>
          <w:spacing w:val="-2"/>
          <w:sz w:val="24"/>
          <w:highlight w:val="none"/>
          <w14:textFill>
            <w14:solidFill>
              <w14:schemeClr w14:val="tx1"/>
            </w14:solidFill>
          </w14:textFill>
        </w:rPr>
        <w:t>合理以及承包人自行承担更有利于压实其主</w:t>
      </w:r>
      <w:r>
        <w:rPr>
          <w:rFonts w:ascii="宋体" w:hAnsi="宋体" w:cs="宋体"/>
          <w:color w:val="000000" w:themeColor="text1"/>
          <w:spacing w:val="-1"/>
          <w:sz w:val="24"/>
          <w:highlight w:val="none"/>
          <w14:textFill>
            <w14:solidFill>
              <w14:schemeClr w14:val="tx1"/>
            </w14:solidFill>
          </w14:textFill>
        </w:rPr>
        <w:t>体责任，但现状由监理单位负责的工作，应</w:t>
      </w:r>
      <w:r>
        <w:rPr>
          <w:rFonts w:ascii="宋体" w:hAnsi="宋体" w:cs="宋体"/>
          <w:color w:val="000000" w:themeColor="text1"/>
          <w:spacing w:val="-2"/>
          <w:sz w:val="24"/>
          <w:highlight w:val="none"/>
          <w14:textFill>
            <w14:solidFill>
              <w14:schemeClr w14:val="tx1"/>
            </w14:solidFill>
          </w14:textFill>
        </w:rPr>
        <w:t>回归承包人自行承担和管理，以扭转承包人对监理单位“保姆式</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”管理的过多依赖。承包人应相应调</w:t>
      </w:r>
      <w:r>
        <w:rPr>
          <w:rFonts w:ascii="宋体" w:hAnsi="宋体" w:cs="宋体"/>
          <w:color w:val="000000" w:themeColor="text1"/>
          <w:spacing w:val="-3"/>
          <w:sz w:val="24"/>
          <w:highlight w:val="none"/>
          <w14:textFill>
            <w14:solidFill>
              <w14:schemeClr w14:val="tx1"/>
            </w14:solidFill>
          </w14:textFill>
        </w:rPr>
        <w:t>整管理力量，由发包人在招标</w:t>
      </w:r>
      <w:r>
        <w:rPr>
          <w:rFonts w:ascii="宋体" w:hAnsi="宋体" w:cs="宋体"/>
          <w:color w:val="000000" w:themeColor="text1"/>
          <w:spacing w:val="-1"/>
          <w:sz w:val="24"/>
          <w:highlight w:val="none"/>
          <w14:textFill>
            <w14:solidFill>
              <w14:schemeClr w14:val="tx1"/>
            </w14:solidFill>
          </w14:textFill>
        </w:rPr>
        <w:t>文件中明确施工单位调整管理人员的数量及</w:t>
      </w:r>
      <w:r>
        <w:rPr>
          <w:rFonts w:ascii="宋体" w:hAnsi="宋体" w:cs="宋体"/>
          <w:color w:val="000000" w:themeColor="text1"/>
          <w:spacing w:val="-2"/>
          <w:sz w:val="24"/>
          <w:highlight w:val="none"/>
          <w14:textFill>
            <w14:solidFill>
              <w14:schemeClr w14:val="tx1"/>
            </w14:solidFill>
          </w14:textFill>
        </w:rPr>
        <w:t>要求、在工程量清单中单列专项费用，为该</w:t>
      </w:r>
      <w:r>
        <w:rPr>
          <w:rFonts w:ascii="宋体" w:hAnsi="宋体" w:cs="宋体"/>
          <w:color w:val="000000" w:themeColor="text1"/>
          <w:spacing w:val="-1"/>
          <w:sz w:val="24"/>
          <w:highlight w:val="none"/>
          <w14:textFill>
            <w14:solidFill>
              <w14:schemeClr w14:val="tx1"/>
            </w14:solidFill>
          </w14:textFill>
        </w:rPr>
        <w:t>项改革工作的顺利实施提供人员和费用保障</w:t>
      </w:r>
      <w:r>
        <w:rPr>
          <w:rFonts w:ascii="宋体" w:hAnsi="宋体" w:cs="宋体"/>
          <w:color w:val="000000" w:themeColor="text1"/>
          <w:spacing w:val="-2"/>
          <w:sz w:val="24"/>
          <w:highlight w:val="none"/>
          <w14:textFill>
            <w14:solidFill>
              <w14:schemeClr w14:val="tx1"/>
            </w14:solidFill>
          </w14:textFill>
        </w:rPr>
        <w:t>。当施工单位的自身管理力量不足时，可聘</w:t>
      </w:r>
      <w:r>
        <w:rPr>
          <w:rFonts w:ascii="宋体" w:hAnsi="宋体" w:cs="宋体"/>
          <w:color w:val="000000" w:themeColor="text1"/>
          <w:sz w:val="24"/>
          <w:highlight w:val="none"/>
          <w14:textFill>
            <w14:solidFill>
              <w14:schemeClr w14:val="tx1"/>
            </w14:solidFill>
          </w14:textFill>
        </w:rPr>
        <w:t>请外部技术咨询单位协助管理，并纳入自身</w:t>
      </w:r>
      <w:r>
        <w:rPr>
          <w:rFonts w:ascii="宋体" w:hAnsi="宋体" w:cs="宋体"/>
          <w:color w:val="000000" w:themeColor="text1"/>
          <w:spacing w:val="-1"/>
          <w:sz w:val="24"/>
          <w:highlight w:val="none"/>
          <w14:textFill>
            <w14:solidFill>
              <w14:schemeClr w14:val="tx1"/>
            </w14:solidFill>
          </w14:textFill>
        </w:rPr>
        <w:t>质量安全保证体系。</w:t>
      </w:r>
    </w:p>
    <w:p w14:paraId="552013D2">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增加第</w:t>
      </w:r>
      <w:r>
        <w:rPr>
          <w:rFonts w:ascii="宋体" w:hAnsi="宋体" w:cs="宋体"/>
          <w:color w:val="000000" w:themeColor="text1"/>
          <w:spacing w:val="-2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13.7～13.12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款：</w:t>
      </w:r>
    </w:p>
    <w:p w14:paraId="2FCCE746">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43" w:name="_Toc25194"/>
      <w:bookmarkStart w:id="244" w:name="_Toc2545"/>
      <w:r>
        <w:rPr>
          <w:rFonts w:ascii="宋体" w:hAnsi="宋体" w:cs="宋体"/>
          <w:color w:val="000000" w:themeColor="text1"/>
          <w:spacing w:val="-4"/>
          <w:sz w:val="24"/>
          <w:highlight w:val="none"/>
          <w14:textFill>
            <w14:solidFill>
              <w14:schemeClr w14:val="tx1"/>
            </w14:solidFill>
          </w14:textFill>
        </w:rPr>
        <w:t>13.7</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承包人偷工减料</w:t>
      </w:r>
      <w:bookmarkEnd w:id="243"/>
      <w:bookmarkEnd w:id="244"/>
    </w:p>
    <w:p w14:paraId="6892DA94">
      <w:pPr>
        <w:spacing w:line="360" w:lineRule="auto"/>
        <w:ind w:left="7"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承包人施工过程中存在偷工减料，有意降低工程质</w:t>
      </w:r>
      <w:r>
        <w:rPr>
          <w:rFonts w:ascii="宋体" w:hAnsi="宋体" w:cs="宋体"/>
          <w:color w:val="000000" w:themeColor="text1"/>
          <w:spacing w:val="-7"/>
          <w:sz w:val="24"/>
          <w:highlight w:val="none"/>
          <w14:textFill>
            <w14:solidFill>
              <w14:schemeClr w14:val="tx1"/>
            </w14:solidFill>
          </w14:textFill>
        </w:rPr>
        <w:t>量，企图蒙骗发包人、监理人的，</w:t>
      </w:r>
      <w:r>
        <w:rPr>
          <w:rFonts w:ascii="宋体" w:hAnsi="宋体" w:cs="宋体"/>
          <w:color w:val="000000" w:themeColor="text1"/>
          <w:spacing w:val="-2"/>
          <w:sz w:val="24"/>
          <w:highlight w:val="none"/>
          <w14:textFill>
            <w14:solidFill>
              <w14:schemeClr w14:val="tx1"/>
            </w14:solidFill>
          </w14:textFill>
        </w:rPr>
        <w:t>属于承包人违约，经发包人发现确认，情节严重的，发包人有权单方终止合同，另选承包人进行剩余工程的施工。发包人按照承包人自开工以来，至发包人发出终止合同的函</w:t>
      </w:r>
      <w:r>
        <w:rPr>
          <w:rFonts w:ascii="宋体" w:hAnsi="宋体" w:cs="宋体"/>
          <w:color w:val="000000" w:themeColor="text1"/>
          <w:sz w:val="24"/>
          <w:highlight w:val="none"/>
          <w14:textFill>
            <w14:solidFill>
              <w14:schemeClr w14:val="tx1"/>
            </w14:solidFill>
          </w14:textFill>
        </w:rPr>
        <w:t>件止所完成的工程量与承包人清算，因承包人退场产生的所有费用由承包人自行负责，</w:t>
      </w:r>
      <w:r>
        <w:rPr>
          <w:rFonts w:ascii="宋体" w:hAnsi="宋体" w:cs="宋体"/>
          <w:color w:val="000000" w:themeColor="text1"/>
          <w:spacing w:val="-2"/>
          <w:sz w:val="24"/>
          <w:highlight w:val="none"/>
          <w14:textFill>
            <w14:solidFill>
              <w14:schemeClr w14:val="tx1"/>
            </w14:solidFill>
          </w14:textFill>
        </w:rPr>
        <w:t>发包人不因此额外补偿任何费用。同时，发包人单方终止合同并不免除承包人修复已施</w:t>
      </w:r>
      <w:r>
        <w:rPr>
          <w:rFonts w:ascii="宋体" w:hAnsi="宋体" w:cs="宋体"/>
          <w:color w:val="000000" w:themeColor="text1"/>
          <w:spacing w:val="-1"/>
          <w:sz w:val="24"/>
          <w:highlight w:val="none"/>
          <w14:textFill>
            <w14:solidFill>
              <w14:schemeClr w14:val="tx1"/>
            </w14:solidFill>
          </w14:textFill>
        </w:rPr>
        <w:t>工的不合格工程的责任。</w:t>
      </w:r>
    </w:p>
    <w:p w14:paraId="3FA92903">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245" w:name="_Toc4148"/>
      <w:bookmarkStart w:id="246" w:name="_Toc9565"/>
      <w:r>
        <w:rPr>
          <w:rFonts w:ascii="宋体" w:hAnsi="宋体" w:cs="宋体"/>
          <w:color w:val="000000" w:themeColor="text1"/>
          <w:spacing w:val="-4"/>
          <w:sz w:val="24"/>
          <w:highlight w:val="none"/>
          <w14:textFill>
            <w14:solidFill>
              <w14:schemeClr w14:val="tx1"/>
            </w14:solidFill>
          </w14:textFill>
        </w:rPr>
        <w:t>13.8 承包人质量自检</w:t>
      </w:r>
      <w:bookmarkEnd w:id="245"/>
      <w:bookmarkEnd w:id="246"/>
    </w:p>
    <w:p w14:paraId="750CAC3D">
      <w:pPr>
        <w:spacing w:line="360" w:lineRule="auto"/>
        <w:ind w:left="7"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承包人必须建立完善的质量自检体系，对已完工程进行严格的质量自检，只有自检合格的工程才能向监理人、发包人提出验收和计量的申请。监理人在收到验收申请后的</w:t>
      </w:r>
      <w:r>
        <w:rPr>
          <w:rFonts w:ascii="宋体" w:hAnsi="宋体" w:cs="宋体"/>
          <w:color w:val="000000" w:themeColor="text1"/>
          <w:spacing w:val="-1"/>
          <w:sz w:val="24"/>
          <w:highlight w:val="none"/>
          <w14:textFill>
            <w14:solidFill>
              <w14:schemeClr w14:val="tx1"/>
            </w14:solidFill>
          </w14:textFill>
        </w:rPr>
        <w:t>48</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小时内对工程进行抽检和验收，对抽检不合格的工程由承包人自费修复或返工。</w:t>
      </w:r>
    </w:p>
    <w:p w14:paraId="04E3565A">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247" w:name="_Toc9499"/>
      <w:bookmarkStart w:id="248" w:name="_Toc16724"/>
      <w:r>
        <w:rPr>
          <w:rFonts w:ascii="宋体" w:hAnsi="宋体" w:cs="宋体"/>
          <w:color w:val="000000" w:themeColor="text1"/>
          <w:spacing w:val="-4"/>
          <w:sz w:val="24"/>
          <w:highlight w:val="none"/>
          <w14:textFill>
            <w14:solidFill>
              <w14:schemeClr w14:val="tx1"/>
            </w14:solidFill>
          </w14:textFill>
        </w:rPr>
        <w:t>13.9 不定期现场检查</w:t>
      </w:r>
      <w:bookmarkEnd w:id="247"/>
      <w:bookmarkEnd w:id="248"/>
    </w:p>
    <w:p w14:paraId="1A1E12AD">
      <w:pPr>
        <w:spacing w:line="360" w:lineRule="auto"/>
        <w:ind w:left="10" w:right="61"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发包人和监理人将不定期进行现场检查，对检查结果按本合同《工程质量、安全及</w:t>
      </w:r>
      <w:r>
        <w:rPr>
          <w:rFonts w:ascii="宋体" w:hAnsi="宋体" w:cs="宋体"/>
          <w:color w:val="000000" w:themeColor="text1"/>
          <w:spacing w:val="-1"/>
          <w:sz w:val="24"/>
          <w:highlight w:val="none"/>
          <w14:textFill>
            <w14:solidFill>
              <w14:schemeClr w14:val="tx1"/>
            </w14:solidFill>
          </w14:textFill>
        </w:rPr>
        <w:t>文明施工违约项目一览表》进行处理，承包人必须接受。</w:t>
      </w:r>
    </w:p>
    <w:p w14:paraId="656FFF69">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249" w:name="_Toc6925"/>
      <w:bookmarkStart w:id="250" w:name="_Toc935"/>
      <w:r>
        <w:rPr>
          <w:rFonts w:ascii="宋体" w:hAnsi="宋体" w:cs="宋体"/>
          <w:color w:val="000000" w:themeColor="text1"/>
          <w:spacing w:val="-4"/>
          <w:sz w:val="24"/>
          <w:highlight w:val="none"/>
          <w14:textFill>
            <w14:solidFill>
              <w14:schemeClr w14:val="tx1"/>
            </w14:solidFill>
          </w14:textFill>
        </w:rPr>
        <w:t>13.10 施工误差</w:t>
      </w:r>
      <w:bookmarkEnd w:id="249"/>
      <w:bookmarkEnd w:id="250"/>
    </w:p>
    <w:p w14:paraId="55E0D116">
      <w:pPr>
        <w:spacing w:line="360" w:lineRule="auto"/>
        <w:ind w:left="9" w:right="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施工质量不满足要求的，承包人须承担一切返工费用。其中：</w:t>
      </w:r>
    </w:p>
    <w:p w14:paraId="4C9E96EE">
      <w:pPr>
        <w:spacing w:line="360" w:lineRule="auto"/>
        <w:ind w:left="9" w:right="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（1）路基交工时，如有</w:t>
      </w:r>
      <w:r>
        <w:rPr>
          <w:rFonts w:ascii="宋体" w:hAnsi="宋体" w:cs="宋体"/>
          <w:color w:val="000000" w:themeColor="text1"/>
          <w:spacing w:val="-4"/>
          <w:sz w:val="24"/>
          <w:highlight w:val="none"/>
          <w14:textFill>
            <w14:solidFill>
              <w14:schemeClr w14:val="tx1"/>
            </w14:solidFill>
          </w14:textFill>
        </w:rPr>
        <w:t>部分路基高出设计</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1cm，则由路基桥涵承包人修</w:t>
      </w:r>
      <w:r>
        <w:rPr>
          <w:rFonts w:ascii="宋体" w:hAnsi="宋体" w:cs="宋体"/>
          <w:color w:val="000000" w:themeColor="text1"/>
          <w:spacing w:val="-5"/>
          <w:sz w:val="24"/>
          <w:highlight w:val="none"/>
          <w14:textFill>
            <w14:solidFill>
              <w14:schemeClr w14:val="tx1"/>
            </w14:solidFill>
          </w14:textFill>
        </w:rPr>
        <w:t>整。若部分</w:t>
      </w:r>
      <w:r>
        <w:rPr>
          <w:rFonts w:ascii="宋体" w:hAnsi="宋体" w:cs="宋体"/>
          <w:color w:val="000000" w:themeColor="text1"/>
          <w:sz w:val="24"/>
          <w:highlight w:val="none"/>
          <w14:textFill>
            <w14:solidFill>
              <w14:schemeClr w14:val="tx1"/>
            </w14:solidFill>
          </w14:textFill>
        </w:rPr>
        <w:t>路基低于设计</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1.5cm（土质）或</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2.0cm（石质</w:t>
      </w:r>
      <w:r>
        <w:rPr>
          <w:rFonts w:ascii="宋体" w:hAnsi="宋体" w:cs="宋体"/>
          <w:color w:val="000000" w:themeColor="text1"/>
          <w:spacing w:val="9"/>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低于的部分则由路面承包人使用规定</w:t>
      </w:r>
      <w:r>
        <w:rPr>
          <w:rFonts w:ascii="宋体" w:hAnsi="宋体" w:cs="宋体"/>
          <w:color w:val="000000" w:themeColor="text1"/>
          <w:spacing w:val="-2"/>
          <w:sz w:val="24"/>
          <w:highlight w:val="none"/>
          <w14:textFill>
            <w14:solidFill>
              <w14:schemeClr w14:val="tx1"/>
            </w14:solidFill>
          </w14:textFill>
        </w:rPr>
        <w:t>填料进行回填，相关费用由路基桥涵承包人承担，在该标准以内的部分，由路面承包人使用规定的填料进行回填，费用包含在路面标的投标报价中，不另行计算。若路槽开挖由路面承包人负责施工的，超出允许偏差的处理则由路面承包人负责并承担费用。所有</w:t>
      </w:r>
      <w:r>
        <w:rPr>
          <w:rFonts w:ascii="宋体" w:hAnsi="宋体" w:cs="宋体"/>
          <w:color w:val="000000" w:themeColor="text1"/>
          <w:spacing w:val="-1"/>
          <w:sz w:val="24"/>
          <w:highlight w:val="none"/>
          <w14:textFill>
            <w14:solidFill>
              <w14:schemeClr w14:val="tx1"/>
            </w14:solidFill>
          </w14:textFill>
        </w:rPr>
        <w:t>整修方法须按照监理人的指令执行。</w:t>
      </w:r>
    </w:p>
    <w:p w14:paraId="0E249390">
      <w:pPr>
        <w:spacing w:line="360" w:lineRule="auto"/>
        <w:ind w:left="8" w:right="1"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（2）由现浇或预制梁板的上拱度造成的桥面铺装（调平层、沥青面层）工程量变</w:t>
      </w:r>
      <w:r>
        <w:rPr>
          <w:rFonts w:ascii="宋体" w:hAnsi="宋体" w:cs="宋体"/>
          <w:color w:val="000000" w:themeColor="text1"/>
          <w:spacing w:val="-2"/>
          <w:sz w:val="24"/>
          <w:highlight w:val="none"/>
          <w14:textFill>
            <w14:solidFill>
              <w14:schemeClr w14:val="tx1"/>
            </w14:solidFill>
          </w14:textFill>
        </w:rPr>
        <w:t>化，超过标准规定范围外引起的调坡所增加的费用，由梁板预制承包人和该合同段路基</w:t>
      </w:r>
      <w:r>
        <w:rPr>
          <w:rFonts w:ascii="宋体" w:hAnsi="宋体" w:cs="宋体"/>
          <w:color w:val="000000" w:themeColor="text1"/>
          <w:sz w:val="24"/>
          <w:highlight w:val="none"/>
          <w14:textFill>
            <w14:solidFill>
              <w14:schemeClr w14:val="tx1"/>
            </w14:solidFill>
          </w14:textFill>
        </w:rPr>
        <w:t>桥涵承包人各承担</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50%；不需调坡时，桥面铺装（调平层</w:t>
      </w:r>
      <w:r>
        <w:rPr>
          <w:rFonts w:ascii="宋体" w:hAnsi="宋体" w:cs="宋体"/>
          <w:color w:val="000000" w:themeColor="text1"/>
          <w:spacing w:val="-1"/>
          <w:sz w:val="24"/>
          <w:highlight w:val="none"/>
          <w14:textFill>
            <w14:solidFill>
              <w14:schemeClr w14:val="tx1"/>
            </w14:solidFill>
          </w14:textFill>
        </w:rPr>
        <w:t>、沥青面层）工程量的偏差的</w:t>
      </w:r>
      <w:r>
        <w:rPr>
          <w:rFonts w:ascii="宋体" w:hAnsi="宋体" w:cs="宋体"/>
          <w:color w:val="000000" w:themeColor="text1"/>
          <w:spacing w:val="-2"/>
          <w:sz w:val="24"/>
          <w:highlight w:val="none"/>
          <w14:textFill>
            <w14:solidFill>
              <w14:schemeClr w14:val="tx1"/>
            </w14:solidFill>
          </w14:textFill>
        </w:rPr>
        <w:t>风险由该合同段路基桥涵承包人承担。在标准规定范围内的部分，由路面承包人使用规</w:t>
      </w:r>
      <w:r>
        <w:rPr>
          <w:rFonts w:ascii="宋体" w:hAnsi="宋体" w:cs="宋体"/>
          <w:color w:val="000000" w:themeColor="text1"/>
          <w:sz w:val="24"/>
          <w:highlight w:val="none"/>
          <w14:textFill>
            <w14:solidFill>
              <w14:schemeClr w14:val="tx1"/>
            </w14:solidFill>
          </w14:textFill>
        </w:rPr>
        <w:t>定的填料进行回填，费用包含在路面标的投</w:t>
      </w:r>
      <w:r>
        <w:rPr>
          <w:rFonts w:ascii="宋体" w:hAnsi="宋体" w:cs="宋体"/>
          <w:color w:val="000000" w:themeColor="text1"/>
          <w:spacing w:val="-1"/>
          <w:sz w:val="24"/>
          <w:highlight w:val="none"/>
          <w14:textFill>
            <w14:solidFill>
              <w14:schemeClr w14:val="tx1"/>
            </w14:solidFill>
          </w14:textFill>
        </w:rPr>
        <w:t>标报价中，不另行计算。</w:t>
      </w:r>
    </w:p>
    <w:p w14:paraId="2EAEC5E3">
      <w:pPr>
        <w:spacing w:line="360" w:lineRule="auto"/>
        <w:ind w:left="8" w:right="1"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（3）路基桥涵工程完工后，由监理人组织桥涵分段中间交工验收，承包人应保证</w:t>
      </w:r>
      <w:r>
        <w:rPr>
          <w:rFonts w:ascii="宋体" w:hAnsi="宋体" w:cs="宋体"/>
          <w:color w:val="000000" w:themeColor="text1"/>
          <w:spacing w:val="-2"/>
          <w:sz w:val="24"/>
          <w:highlight w:val="none"/>
          <w14:textFill>
            <w14:solidFill>
              <w14:schemeClr w14:val="tx1"/>
            </w14:solidFill>
          </w14:textFill>
        </w:rPr>
        <w:t>桥面整体化层整洁，无浮浆。桥涵承包人桥面整体化的浮浆清理须满足监理人和发包人的要求，如桥面整体化层浮浆未清理干净或未清理彻底，未取得监理人认可，则由监理人督促桥涵承包人限期清理，逾期未清理干净的或清理效果未取得监理人认可，则发包人视情况，将桥面整体化层浮浆清理工作，转由路面承包人进行精铣刨处理，相关费用由桥涵承包人承担。</w:t>
      </w:r>
    </w:p>
    <w:p w14:paraId="08950B62">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251" w:name="_Toc27659"/>
      <w:bookmarkStart w:id="252" w:name="_Toc22561"/>
      <w:r>
        <w:rPr>
          <w:rFonts w:ascii="宋体" w:hAnsi="宋体" w:cs="宋体"/>
          <w:color w:val="000000" w:themeColor="text1"/>
          <w:spacing w:val="-4"/>
          <w:sz w:val="24"/>
          <w:highlight w:val="none"/>
          <w14:textFill>
            <w14:solidFill>
              <w14:schemeClr w14:val="tx1"/>
            </w14:solidFill>
          </w14:textFill>
        </w:rPr>
        <w:t>13.11 优质优价价款</w:t>
      </w:r>
      <w:bookmarkEnd w:id="251"/>
      <w:bookmarkEnd w:id="252"/>
    </w:p>
    <w:p w14:paraId="15294642">
      <w:pPr>
        <w:spacing w:line="360" w:lineRule="auto"/>
        <w:ind w:left="8"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在本项目建设全过程中，全面推行“双标管理</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”（标准化管理、标杆管理</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3"/>
          <w:sz w:val="24"/>
          <w:highlight w:val="none"/>
          <w14:textFill>
            <w14:solidFill>
              <w14:schemeClr w14:val="tx1"/>
            </w14:solidFill>
          </w14:textFill>
        </w:rPr>
        <w:t>建立</w:t>
      </w:r>
      <w:r>
        <w:rPr>
          <w:rFonts w:ascii="宋体" w:hAnsi="宋体" w:cs="宋体"/>
          <w:color w:val="000000" w:themeColor="text1"/>
          <w:spacing w:val="-2"/>
          <w:sz w:val="24"/>
          <w:highlight w:val="none"/>
          <w14:textFill>
            <w14:solidFill>
              <w14:schemeClr w14:val="tx1"/>
            </w14:solidFill>
          </w14:textFill>
        </w:rPr>
        <w:t>工程质量优质优价奖罚制度，激励承包人提高工程质量和管理水平，具体按发包人根据广东省交通运输厅《关于印发广东省高速公路工程优质优价和施工监理优监优酬实施意</w:t>
      </w:r>
      <w:r>
        <w:rPr>
          <w:rFonts w:ascii="宋体" w:hAnsi="宋体" w:cs="宋体"/>
          <w:color w:val="000000" w:themeColor="text1"/>
          <w:spacing w:val="-1"/>
          <w:sz w:val="24"/>
          <w:highlight w:val="none"/>
          <w14:textFill>
            <w14:solidFill>
              <w14:schemeClr w14:val="tx1"/>
            </w14:solidFill>
          </w14:textFill>
        </w:rPr>
        <w:t>见的通知》等文件制订的实施细则执行。</w:t>
      </w:r>
    </w:p>
    <w:p w14:paraId="1AA635E3">
      <w:pPr>
        <w:spacing w:line="360" w:lineRule="auto"/>
        <w:ind w:left="11"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发包人将根据工程实际开展各项工程的质量评比和奖罚，项目（如项目采用分段管理，则按项目段计列）用于奖励的金额比例详见项目专用合同条款数据表的约定，由项</w:t>
      </w:r>
      <w:r>
        <w:rPr>
          <w:rFonts w:ascii="宋体" w:hAnsi="宋体" w:cs="宋体"/>
          <w:color w:val="000000" w:themeColor="text1"/>
          <w:spacing w:val="-3"/>
          <w:sz w:val="24"/>
          <w:highlight w:val="none"/>
          <w14:textFill>
            <w14:solidFill>
              <w14:schemeClr w14:val="tx1"/>
            </w14:solidFill>
          </w14:textFill>
        </w:rPr>
        <w:t>目统筹使用。</w:t>
      </w:r>
    </w:p>
    <w:p w14:paraId="498AB51E">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253" w:name="_Toc21370"/>
      <w:bookmarkStart w:id="254" w:name="_Toc2266"/>
      <w:r>
        <w:rPr>
          <w:rFonts w:ascii="宋体" w:hAnsi="宋体" w:cs="宋体"/>
          <w:color w:val="000000" w:themeColor="text1"/>
          <w:spacing w:val="-4"/>
          <w:sz w:val="24"/>
          <w:highlight w:val="none"/>
          <w14:textFill>
            <w14:solidFill>
              <w14:schemeClr w14:val="tx1"/>
            </w14:solidFill>
          </w14:textFill>
        </w:rPr>
        <w:t>13.12 未解除承包人的义务和责任</w:t>
      </w:r>
      <w:bookmarkEnd w:id="253"/>
      <w:bookmarkEnd w:id="254"/>
    </w:p>
    <w:p w14:paraId="3C0F4F41">
      <w:pPr>
        <w:spacing w:line="360" w:lineRule="auto"/>
        <w:ind w:left="11" w:right="1" w:firstLine="477"/>
        <w:rPr>
          <w:rFonts w:hint="eastAsia" w:ascii="宋体" w:hAnsi="宋体" w:cs="宋体"/>
          <w:color w:val="000000" w:themeColor="text1"/>
          <w:spacing w:val="-2"/>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是工程质量的直接责任人，监理人对工程材料和施工工艺的认可或对工程进行验收和计量支付，并不免除承包人对这些工程的合同责任。承包人不但应对质量缺陷或质量事故进行自费修复或返工，还应承担由此带来的一切损失。如承包人出现严重的</w:t>
      </w:r>
    </w:p>
    <w:p w14:paraId="71C5373A">
      <w:pPr>
        <w:spacing w:before="78" w:line="360" w:lineRule="auto"/>
        <w:ind w:left="11" w:right="181" w:hanging="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质量缺陷或质量事故，除应承担上述责任和处罚外，视为承包人违约，发包人有权单方</w:t>
      </w:r>
      <w:r>
        <w:rPr>
          <w:rFonts w:ascii="宋体" w:hAnsi="宋体" w:cs="宋体"/>
          <w:color w:val="000000" w:themeColor="text1"/>
          <w:spacing w:val="-3"/>
          <w:sz w:val="24"/>
          <w:highlight w:val="none"/>
          <w14:textFill>
            <w14:solidFill>
              <w14:schemeClr w14:val="tx1"/>
            </w14:solidFill>
          </w14:textFill>
        </w:rPr>
        <w:t>终止合同。</w:t>
      </w:r>
    </w:p>
    <w:p w14:paraId="2ED866A3">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255" w:name="_Toc28490"/>
      <w:bookmarkStart w:id="256" w:name="_Toc12484"/>
      <w:r>
        <w:rPr>
          <w:rFonts w:ascii="宋体" w:hAnsi="宋体" w:cs="宋体"/>
          <w:b/>
          <w:bCs/>
          <w:color w:val="000000" w:themeColor="text1"/>
          <w:spacing w:val="-10"/>
          <w:sz w:val="24"/>
          <w:highlight w:val="none"/>
          <w14:textFill>
            <w14:solidFill>
              <w14:schemeClr w14:val="tx1"/>
            </w14:solidFill>
          </w14:textFill>
        </w:rPr>
        <w:t>15.</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b/>
          <w:bCs/>
          <w:color w:val="000000" w:themeColor="text1"/>
          <w:spacing w:val="-10"/>
          <w:sz w:val="24"/>
          <w:highlight w:val="none"/>
          <w14:textFill>
            <w14:solidFill>
              <w14:schemeClr w14:val="tx1"/>
            </w14:solidFill>
          </w14:textFill>
        </w:rPr>
        <w:t>变更</w:t>
      </w:r>
      <w:bookmarkEnd w:id="255"/>
      <w:bookmarkEnd w:id="256"/>
    </w:p>
    <w:p w14:paraId="750FE8B6">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57" w:name="_Toc18871"/>
      <w:bookmarkStart w:id="258" w:name="_Toc29944"/>
      <w:r>
        <w:rPr>
          <w:rFonts w:ascii="宋体" w:hAnsi="宋体" w:cs="宋体"/>
          <w:color w:val="000000" w:themeColor="text1"/>
          <w:spacing w:val="-2"/>
          <w:sz w:val="24"/>
          <w:highlight w:val="none"/>
          <w14:textFill>
            <w14:solidFill>
              <w14:schemeClr w14:val="tx1"/>
            </w14:solidFill>
          </w14:textFill>
        </w:rPr>
        <w:t>15.1 变更变更的范围和内容</w:t>
      </w:r>
      <w:bookmarkEnd w:id="257"/>
      <w:bookmarkEnd w:id="258"/>
    </w:p>
    <w:p w14:paraId="71459C80">
      <w:pPr>
        <w:spacing w:line="360" w:lineRule="auto"/>
        <w:ind w:left="11" w:right="181" w:firstLine="51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(6)工程量清单中某单项工程量的变化幅度超过</w:t>
      </w:r>
      <w:r>
        <w:rPr>
          <w:rFonts w:ascii="宋体" w:hAnsi="宋体" w:cs="宋体"/>
          <w:color w:val="000000" w:themeColor="text1"/>
          <w:spacing w:val="-2"/>
          <w:sz w:val="24"/>
          <w:highlight w:val="none"/>
          <w14:textFill>
            <w14:solidFill>
              <w14:schemeClr w14:val="tx1"/>
            </w14:solidFill>
          </w14:textFill>
        </w:rPr>
        <w:t xml:space="preserve"> 20</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%，且对合同总价影响幅度超过</w:t>
      </w:r>
      <w:r>
        <w:rPr>
          <w:rFonts w:ascii="宋体" w:hAnsi="宋体" w:cs="宋体"/>
          <w:color w:val="000000" w:themeColor="text1"/>
          <w:spacing w:val="2"/>
          <w:sz w:val="24"/>
          <w:highlight w:val="none"/>
          <w14:textFill>
            <w14:solidFill>
              <w14:schemeClr w14:val="tx1"/>
            </w14:solidFill>
          </w14:textFill>
        </w:rPr>
        <w:t>2 %时，经发包人与承包人协商一致同意</w:t>
      </w:r>
      <w:r>
        <w:rPr>
          <w:rFonts w:ascii="宋体" w:hAnsi="宋体" w:cs="宋体"/>
          <w:color w:val="000000" w:themeColor="text1"/>
          <w:spacing w:val="1"/>
          <w:sz w:val="24"/>
          <w:highlight w:val="none"/>
          <w14:textFill>
            <w14:solidFill>
              <w14:schemeClr w14:val="tx1"/>
            </w14:solidFill>
          </w14:textFill>
        </w:rPr>
        <w:t>可调整该工程量清单项目的综合单价，调整原</w:t>
      </w:r>
      <w:r>
        <w:rPr>
          <w:rFonts w:ascii="宋体" w:hAnsi="宋体" w:cs="宋体"/>
          <w:color w:val="000000" w:themeColor="text1"/>
          <w:spacing w:val="-4"/>
          <w:sz w:val="24"/>
          <w:highlight w:val="none"/>
          <w14:textFill>
            <w14:solidFill>
              <w14:schemeClr w14:val="tx1"/>
            </w14:solidFill>
          </w14:textFill>
        </w:rPr>
        <w:t>则按</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15.4.4.1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执行。</w:t>
      </w:r>
    </w:p>
    <w:p w14:paraId="4F307EA2">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59" w:name="_Toc30198"/>
      <w:bookmarkStart w:id="260" w:name="_Toc1093"/>
      <w:r>
        <w:rPr>
          <w:rFonts w:ascii="宋体" w:hAnsi="宋体" w:cs="宋体"/>
          <w:color w:val="000000" w:themeColor="text1"/>
          <w:spacing w:val="-4"/>
          <w:sz w:val="24"/>
          <w:highlight w:val="none"/>
          <w14:textFill>
            <w14:solidFill>
              <w14:schemeClr w14:val="tx1"/>
            </w14:solidFill>
          </w14:textFill>
        </w:rPr>
        <w:t>15.3 变更程序</w:t>
      </w:r>
      <w:bookmarkEnd w:id="259"/>
      <w:bookmarkEnd w:id="260"/>
    </w:p>
    <w:p w14:paraId="07BD948F">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在本款第</w:t>
      </w:r>
      <w:r>
        <w:rPr>
          <w:rFonts w:ascii="宋体" w:hAnsi="宋体" w:cs="宋体"/>
          <w:color w:val="000000" w:themeColor="text1"/>
          <w:spacing w:val="-2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15.3.4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项后增加以下内容：</w:t>
      </w:r>
    </w:p>
    <w:p w14:paraId="11CC779A">
      <w:pPr>
        <w:spacing w:line="360" w:lineRule="auto"/>
        <w:ind w:left="16" w:right="181"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同时工程变更还应执行广东省交通运输厅及发包人颁布的相关变更管理办法和广</w:t>
      </w:r>
      <w:r>
        <w:rPr>
          <w:rFonts w:ascii="宋体" w:hAnsi="宋体" w:cs="宋体"/>
          <w:color w:val="000000" w:themeColor="text1"/>
          <w:spacing w:val="-2"/>
          <w:sz w:val="24"/>
          <w:highlight w:val="none"/>
          <w14:textFill>
            <w14:solidFill>
              <w14:schemeClr w14:val="tx1"/>
            </w14:solidFill>
          </w14:textFill>
        </w:rPr>
        <w:t>东省《公路工程造价管理指南》规定。</w:t>
      </w:r>
    </w:p>
    <w:p w14:paraId="6686342A">
      <w:pPr>
        <w:spacing w:line="360" w:lineRule="auto"/>
        <w:ind w:left="505"/>
        <w:outlineLvl w:val="2"/>
        <w:rPr>
          <w:rFonts w:hint="eastAsia" w:ascii="宋体" w:hAnsi="宋体" w:cs="宋体"/>
          <w:color w:val="000000" w:themeColor="text1"/>
          <w:spacing w:val="-4"/>
          <w:sz w:val="24"/>
          <w:highlight w:val="none"/>
          <w14:textFill>
            <w14:solidFill>
              <w14:schemeClr w14:val="tx1"/>
            </w14:solidFill>
          </w14:textFill>
        </w:rPr>
      </w:pPr>
      <w:bookmarkStart w:id="261" w:name="_Toc15562"/>
      <w:bookmarkStart w:id="262" w:name="_Toc17883"/>
      <w:r>
        <w:rPr>
          <w:rFonts w:ascii="宋体" w:hAnsi="宋体" w:cs="宋体"/>
          <w:color w:val="000000" w:themeColor="text1"/>
          <w:spacing w:val="-4"/>
          <w:sz w:val="24"/>
          <w:highlight w:val="none"/>
          <w14:textFill>
            <w14:solidFill>
              <w14:schemeClr w14:val="tx1"/>
            </w14:solidFill>
          </w14:textFill>
        </w:rPr>
        <w:t>15.4 变更的估价原则</w:t>
      </w:r>
      <w:bookmarkEnd w:id="261"/>
      <w:bookmarkEnd w:id="262"/>
    </w:p>
    <w:p w14:paraId="139D68C4">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将本款第</w:t>
      </w:r>
      <w:r>
        <w:rPr>
          <w:rFonts w:ascii="宋体" w:hAnsi="宋体" w:cs="宋体"/>
          <w:color w:val="000000" w:themeColor="text1"/>
          <w:spacing w:val="-2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15.4.1～15.4.5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项删除，并用以下内容代替：</w:t>
      </w:r>
    </w:p>
    <w:p w14:paraId="2E71AD5B">
      <w:pPr>
        <w:spacing w:line="360" w:lineRule="auto"/>
        <w:ind w:left="50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因变更引起的价格调整，应按以下优先顺序所列原则进行处</w:t>
      </w:r>
      <w:r>
        <w:rPr>
          <w:rFonts w:ascii="宋体" w:hAnsi="宋体" w:cs="宋体"/>
          <w:color w:val="000000" w:themeColor="text1"/>
          <w:spacing w:val="-2"/>
          <w:sz w:val="24"/>
          <w:highlight w:val="none"/>
          <w14:textFill>
            <w14:solidFill>
              <w14:schemeClr w14:val="tx1"/>
            </w14:solidFill>
          </w14:textFill>
        </w:rPr>
        <w:t>理：</w:t>
      </w:r>
    </w:p>
    <w:p w14:paraId="301A22ED">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15.4.1 如果取消某项工作，则该项工作的总额价不予支付；</w:t>
      </w:r>
    </w:p>
    <w:p w14:paraId="64002C4C">
      <w:pPr>
        <w:spacing w:line="360" w:lineRule="auto"/>
        <w:ind w:left="13" w:right="181"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15.4.2</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本合同段工程量清单中有相同或相似工程细目单价的，经发包人与承包人协</w:t>
      </w:r>
      <w:r>
        <w:rPr>
          <w:rFonts w:ascii="宋体" w:hAnsi="宋体" w:cs="宋体"/>
          <w:color w:val="000000" w:themeColor="text1"/>
          <w:spacing w:val="-2"/>
          <w:sz w:val="24"/>
          <w:highlight w:val="none"/>
          <w14:textFill>
            <w14:solidFill>
              <w14:schemeClr w14:val="tx1"/>
            </w14:solidFill>
          </w14:textFill>
        </w:rPr>
        <w:t>商一致同意可直接套用该单价。本合同段内没有相同或适用合同单价的，原则上应套用</w:t>
      </w:r>
      <w:r>
        <w:rPr>
          <w:rFonts w:ascii="宋体" w:hAnsi="宋体" w:cs="宋体"/>
          <w:color w:val="000000" w:themeColor="text1"/>
          <w:spacing w:val="1"/>
          <w:sz w:val="24"/>
          <w:highlight w:val="none"/>
          <w14:textFill>
            <w14:solidFill>
              <w14:schemeClr w14:val="tx1"/>
            </w14:solidFill>
          </w14:textFill>
        </w:rPr>
        <w:t>同类合同段相应单价的</w:t>
      </w:r>
      <w:r>
        <w:rPr>
          <w:rFonts w:ascii="宋体" w:hAnsi="宋体" w:cs="宋体"/>
          <w:color w:val="000000" w:themeColor="text1"/>
          <w:spacing w:val="1"/>
          <w:sz w:val="24"/>
          <w:highlight w:val="none"/>
          <w:u w:val="single"/>
          <w14:textFill>
            <w14:solidFill>
              <w14:schemeClr w14:val="tx1"/>
            </w14:solidFill>
          </w14:textFill>
        </w:rPr>
        <w:t>算术平均值/加权平均值</w:t>
      </w:r>
      <w:r>
        <w:rPr>
          <w:rFonts w:ascii="宋体" w:hAnsi="宋体" w:cs="宋体"/>
          <w:color w:val="000000" w:themeColor="text1"/>
          <w:spacing w:val="1"/>
          <w:sz w:val="24"/>
          <w:highlight w:val="none"/>
          <w14:textFill>
            <w14:solidFill>
              <w14:schemeClr w14:val="tx1"/>
            </w14:solidFill>
          </w14:textFill>
        </w:rPr>
        <w:t>；但监理人认为受施工现场自然环境影</w:t>
      </w:r>
      <w:r>
        <w:rPr>
          <w:rFonts w:ascii="宋体" w:hAnsi="宋体" w:cs="宋体"/>
          <w:color w:val="000000" w:themeColor="text1"/>
          <w:sz w:val="24"/>
          <w:highlight w:val="none"/>
          <w14:textFill>
            <w14:solidFill>
              <w14:schemeClr w14:val="tx1"/>
            </w14:solidFill>
          </w14:textFill>
        </w:rPr>
        <w:t>响大的工程项目单价，报发包人同意后可套用</w:t>
      </w:r>
      <w:r>
        <w:rPr>
          <w:rFonts w:ascii="宋体" w:hAnsi="宋体" w:cs="宋体"/>
          <w:color w:val="000000" w:themeColor="text1"/>
          <w:spacing w:val="-1"/>
          <w:sz w:val="24"/>
          <w:highlight w:val="none"/>
          <w14:textFill>
            <w14:solidFill>
              <w14:schemeClr w14:val="tx1"/>
            </w14:solidFill>
          </w14:textFill>
        </w:rPr>
        <w:t>自然环境相近似的合同段相应细目；</w:t>
      </w:r>
    </w:p>
    <w:p w14:paraId="63059B00">
      <w:pPr>
        <w:spacing w:line="360" w:lineRule="auto"/>
        <w:ind w:left="7" w:right="101"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15.4.3</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以综合单价报价的计量项目，如果只</w:t>
      </w:r>
      <w:r>
        <w:rPr>
          <w:rFonts w:ascii="宋体" w:hAnsi="宋体" w:cs="宋体"/>
          <w:color w:val="000000" w:themeColor="text1"/>
          <w:spacing w:val="-5"/>
          <w:sz w:val="24"/>
          <w:highlight w:val="none"/>
          <w14:textFill>
            <w14:solidFill>
              <w14:schemeClr w14:val="tx1"/>
            </w14:solidFill>
          </w14:textFill>
        </w:rPr>
        <w:t>是由于使用材料或局部尺寸调整，则原</w:t>
      </w:r>
      <w:r>
        <w:rPr>
          <w:rFonts w:ascii="宋体" w:hAnsi="宋体" w:cs="宋体"/>
          <w:color w:val="000000" w:themeColor="text1"/>
          <w:spacing w:val="-6"/>
          <w:sz w:val="24"/>
          <w:highlight w:val="none"/>
          <w14:textFill>
            <w14:solidFill>
              <w14:schemeClr w14:val="tx1"/>
            </w14:solidFill>
          </w14:textFill>
        </w:rPr>
        <w:t>支付单价不变，而只在原合同单价基础上，调整相应的材料价差和合理的工效增减费用。</w:t>
      </w:r>
      <w:r>
        <w:rPr>
          <w:rFonts w:ascii="宋体" w:hAnsi="宋体" w:cs="宋体"/>
          <w:color w:val="000000" w:themeColor="text1"/>
          <w:spacing w:val="-2"/>
          <w:sz w:val="24"/>
          <w:highlight w:val="none"/>
          <w14:textFill>
            <w14:solidFill>
              <w14:schemeClr w14:val="tx1"/>
            </w14:solidFill>
          </w14:textFill>
        </w:rPr>
        <w:t>对于机电设备和装饰材料，如发包人未提高技术标准或参数指标，任何品牌或型号的调整，其性能指标不得低于技术规范及设计文件要求，且发包人不予价格调整；如因非承包人原因需要对《投标人拟投入的关键设备承诺表》的品牌进行调整时，经发包人批准</w:t>
      </w:r>
      <w:r>
        <w:rPr>
          <w:rFonts w:ascii="宋体" w:hAnsi="宋体" w:cs="宋体"/>
          <w:color w:val="000000" w:themeColor="text1"/>
          <w:spacing w:val="-1"/>
          <w:sz w:val="24"/>
          <w:highlight w:val="none"/>
          <w14:textFill>
            <w14:solidFill>
              <w14:schemeClr w14:val="tx1"/>
            </w14:solidFill>
          </w14:textFill>
        </w:rPr>
        <w:t>后，调整相应设备价差和合理的工效增减费用。</w:t>
      </w:r>
    </w:p>
    <w:p w14:paraId="6F553A16">
      <w:pPr>
        <w:spacing w:line="360" w:lineRule="auto"/>
        <w:ind w:left="10"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15.4.4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如上述价格调整原则不适用或按上述原则计算的单价不合理</w:t>
      </w:r>
      <w:r>
        <w:rPr>
          <w:rFonts w:ascii="宋体" w:hAnsi="宋体" w:cs="宋体"/>
          <w:color w:val="000000" w:themeColor="text1"/>
          <w:spacing w:val="-6"/>
          <w:sz w:val="24"/>
          <w:highlight w:val="none"/>
          <w14:textFill>
            <w14:solidFill>
              <w14:schemeClr w14:val="tx1"/>
            </w14:solidFill>
          </w14:textFill>
        </w:rPr>
        <w:t>，经发包人同意，</w:t>
      </w:r>
      <w:r>
        <w:rPr>
          <w:rFonts w:ascii="宋体" w:hAnsi="宋体" w:cs="宋体"/>
          <w:color w:val="000000" w:themeColor="text1"/>
          <w:spacing w:val="-2"/>
          <w:sz w:val="24"/>
          <w:highlight w:val="none"/>
          <w14:textFill>
            <w14:solidFill>
              <w14:schemeClr w14:val="tx1"/>
            </w14:solidFill>
          </w14:textFill>
        </w:rPr>
        <w:t>按以下原则执行。</w:t>
      </w:r>
    </w:p>
    <w:p w14:paraId="78AB828B">
      <w:pPr>
        <w:pStyle w:val="3"/>
        <w:spacing w:line="360"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15.4.4.1</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参照招标人公布的最高投标限价编制时选用的有关定额及补充的定额，人</w:t>
      </w:r>
      <w:r>
        <w:rPr>
          <w:rFonts w:ascii="宋体" w:hAnsi="宋体" w:cs="宋体"/>
          <w:color w:val="000000" w:themeColor="text1"/>
          <w:spacing w:val="-2"/>
          <w:sz w:val="24"/>
          <w:highlight w:val="none"/>
          <w14:textFill>
            <w14:solidFill>
              <w14:schemeClr w14:val="tx1"/>
            </w14:solidFill>
          </w14:textFill>
        </w:rPr>
        <w:t>工、材料、机械单价按公布的最高投标限价采用的月份（**年**月）信息价编制预算，</w:t>
      </w:r>
      <w:r>
        <w:rPr>
          <w:rFonts w:ascii="宋体" w:hAnsi="宋体" w:cs="宋体"/>
          <w:color w:val="000000" w:themeColor="text1"/>
          <w:spacing w:val="5"/>
          <w:sz w:val="24"/>
          <w:highlight w:val="none"/>
          <w14:textFill>
            <w14:solidFill>
              <w14:schemeClr w14:val="tx1"/>
            </w14:solidFill>
          </w14:textFill>
        </w:rPr>
        <w:t>并在上述预算价的基础上按本合同段投标人中标总价较最高投标限价</w:t>
      </w:r>
      <w:r>
        <w:rPr>
          <w:rFonts w:ascii="宋体" w:hAnsi="宋体" w:cs="宋体"/>
          <w:color w:val="000000" w:themeColor="text1"/>
          <w:spacing w:val="4"/>
          <w:sz w:val="24"/>
          <w:highlight w:val="none"/>
          <w14:textFill>
            <w14:solidFill>
              <w14:schemeClr w14:val="tx1"/>
            </w14:solidFill>
          </w14:textFill>
        </w:rPr>
        <w:t>之下浮比例下浮</w:t>
      </w:r>
      <w:r>
        <w:rPr>
          <w:rFonts w:ascii="宋体" w:hAnsi="宋体" w:cs="宋体"/>
          <w:color w:val="000000" w:themeColor="text1"/>
          <w:spacing w:val="-2"/>
          <w:sz w:val="24"/>
          <w:highlight w:val="none"/>
          <w14:textFill>
            <w14:solidFill>
              <w14:schemeClr w14:val="tx1"/>
            </w14:solidFill>
          </w14:textFill>
        </w:rPr>
        <w:t>确定变更工程价格。上述“信息价</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”指由建设项目所</w:t>
      </w:r>
      <w:r>
        <w:rPr>
          <w:rFonts w:ascii="宋体" w:hAnsi="宋体" w:cs="宋体"/>
          <w:color w:val="000000" w:themeColor="text1"/>
          <w:spacing w:val="-3"/>
          <w:sz w:val="24"/>
          <w:highlight w:val="none"/>
          <w14:textFill>
            <w14:solidFill>
              <w14:schemeClr w14:val="tx1"/>
            </w14:solidFill>
          </w14:textFill>
        </w:rPr>
        <w:t>在地级市及以上交通运输工程造价</w:t>
      </w:r>
      <w:r>
        <w:rPr>
          <w:rFonts w:ascii="宋体" w:hAnsi="宋体" w:cs="宋体"/>
          <w:color w:val="000000" w:themeColor="text1"/>
          <w:sz w:val="24"/>
          <w:highlight w:val="none"/>
          <w14:textFill>
            <w14:solidFill>
              <w14:schemeClr w14:val="tx1"/>
            </w14:solidFill>
          </w14:textFill>
        </w:rPr>
        <w:t>机构发布的项目施工所在地区材料信息价（如无相应信息价，</w:t>
      </w:r>
      <w:r>
        <w:rPr>
          <w:rFonts w:ascii="宋体" w:hAnsi="宋体" w:cs="宋体"/>
          <w:color w:val="000000" w:themeColor="text1"/>
          <w:spacing w:val="-1"/>
          <w:sz w:val="24"/>
          <w:highlight w:val="none"/>
          <w14:textFill>
            <w14:solidFill>
              <w14:schemeClr w14:val="tx1"/>
            </w14:solidFill>
          </w14:textFill>
        </w:rPr>
        <w:t>由发包人另行确定）。</w:t>
      </w:r>
    </w:p>
    <w:p w14:paraId="57539C41">
      <w:pPr>
        <w:spacing w:line="360" w:lineRule="auto"/>
        <w:ind w:left="26" w:right="80"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中标下浮率 =（本合同段最高投标限价 -</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中标总价）/ 本合同段最高</w:t>
      </w:r>
      <w:r>
        <w:rPr>
          <w:rFonts w:ascii="宋体" w:hAnsi="宋体" w:cs="宋体"/>
          <w:color w:val="000000" w:themeColor="text1"/>
          <w:spacing w:val="-5"/>
          <w:sz w:val="24"/>
          <w:highlight w:val="none"/>
          <w14:textFill>
            <w14:solidFill>
              <w14:schemeClr w14:val="tx1"/>
            </w14:solidFill>
          </w14:textFill>
        </w:rPr>
        <w:t>投标限价</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100%；计算时，最高投标限价及中标价均不含暂估价、暂列金额和安全生产费。</w:t>
      </w:r>
    </w:p>
    <w:p w14:paraId="3F7E2C67">
      <w:pPr>
        <w:spacing w:line="360" w:lineRule="auto"/>
        <w:ind w:left="10" w:right="30"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15.4.4.2</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按变更程序办理的应急抢险工程</w:t>
      </w:r>
      <w:r>
        <w:rPr>
          <w:rFonts w:ascii="宋体" w:hAnsi="宋体" w:cs="宋体"/>
          <w:color w:val="000000" w:themeColor="text1"/>
          <w:spacing w:val="-3"/>
          <w:sz w:val="24"/>
          <w:highlight w:val="none"/>
          <w14:textFill>
            <w14:solidFill>
              <w14:schemeClr w14:val="tx1"/>
            </w14:solidFill>
          </w14:textFill>
        </w:rPr>
        <w:t>，经变更预算对应审批权限单位同意后，</w:t>
      </w:r>
      <w:r>
        <w:rPr>
          <w:rFonts w:ascii="宋体" w:hAnsi="宋体" w:cs="宋体"/>
          <w:color w:val="000000" w:themeColor="text1"/>
          <w:sz w:val="24"/>
          <w:highlight w:val="none"/>
          <w14:textFill>
            <w14:solidFill>
              <w14:schemeClr w14:val="tx1"/>
            </w14:solidFill>
          </w14:textFill>
        </w:rPr>
        <w:t>可根据实际情况编制预算，变更金额确定原则在项目</w:t>
      </w:r>
      <w:r>
        <w:rPr>
          <w:rFonts w:ascii="宋体" w:hAnsi="宋体" w:cs="宋体"/>
          <w:color w:val="000000" w:themeColor="text1"/>
          <w:spacing w:val="-1"/>
          <w:sz w:val="24"/>
          <w:highlight w:val="none"/>
          <w14:textFill>
            <w14:solidFill>
              <w14:schemeClr w14:val="tx1"/>
            </w14:solidFill>
          </w14:textFill>
        </w:rPr>
        <w:t>专用合同条款数据表中约定。</w:t>
      </w:r>
    </w:p>
    <w:p w14:paraId="7A0E381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15.4.4.3</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新增机电设备的变更作价，按以下所列</w:t>
      </w:r>
      <w:r>
        <w:rPr>
          <w:rFonts w:ascii="宋体" w:hAnsi="宋体" w:cs="宋体"/>
          <w:color w:val="000000" w:themeColor="text1"/>
          <w:spacing w:val="-2"/>
          <w:sz w:val="24"/>
          <w:highlight w:val="none"/>
          <w14:textFill>
            <w14:solidFill>
              <w14:schemeClr w14:val="tx1"/>
            </w14:solidFill>
          </w14:textFill>
        </w:rPr>
        <w:t>原则进行处理：</w:t>
      </w:r>
    </w:p>
    <w:p w14:paraId="404E4658">
      <w:pPr>
        <w:spacing w:line="360" w:lineRule="auto"/>
        <w:ind w:left="9" w:right="80" w:firstLine="479"/>
        <w:rPr>
          <w:rFonts w:hint="eastAsia"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变更预算按发包人核定的市场价格加上采保费、税金及合理利润进行计算，变更单</w:t>
      </w:r>
      <w:r>
        <w:rPr>
          <w:rFonts w:ascii="宋体" w:hAnsi="宋体" w:cs="宋体"/>
          <w:color w:val="000000" w:themeColor="text1"/>
          <w:spacing w:val="-1"/>
          <w:sz w:val="24"/>
          <w:highlight w:val="none"/>
          <w14:textFill>
            <w14:solidFill>
              <w14:schemeClr w14:val="tx1"/>
            </w14:solidFill>
          </w14:textFill>
        </w:rPr>
        <w:t>价或费用=变更预算×（1-中标下浮率）</w:t>
      </w:r>
    </w:p>
    <w:p w14:paraId="69CC1DEB">
      <w:pPr>
        <w:spacing w:line="360" w:lineRule="auto"/>
        <w:ind w:left="9" w:right="80" w:firstLine="479"/>
        <w:rPr>
          <w:rFonts w:hint="eastAsia" w:ascii="宋体" w:hAnsi="宋体" w:eastAsia="宋体" w:cs="宋体"/>
          <w:color w:val="000000" w:themeColor="text1"/>
          <w:spacing w:val="-2"/>
          <w:sz w:val="24"/>
          <w:highlight w:val="none"/>
          <w14:textFill>
            <w14:solidFill>
              <w14:schemeClr w14:val="tx1"/>
            </w14:solidFill>
          </w14:textFill>
        </w:rPr>
      </w:pPr>
      <w:r>
        <w:rPr>
          <w:rFonts w:ascii="宋体" w:hAnsi="宋体" w:eastAsia="宋体" w:cs="宋体"/>
          <w:color w:val="000000" w:themeColor="text1"/>
          <w:spacing w:val="-2"/>
          <w:sz w:val="24"/>
          <w:highlight w:val="none"/>
          <w14:textFill>
            <w14:solidFill>
              <w14:schemeClr w14:val="tx1"/>
            </w14:solidFill>
          </w14:textFill>
        </w:rPr>
        <w:t xml:space="preserve">15.4.5 </w:t>
      </w:r>
      <w:r>
        <w:rPr>
          <w:rFonts w:hint="eastAsia" w:ascii="宋体" w:hAnsi="宋体" w:eastAsia="宋体" w:cs="宋体"/>
          <w:color w:val="000000" w:themeColor="text1"/>
          <w:spacing w:val="-2"/>
          <w:sz w:val="24"/>
          <w:highlight w:val="none"/>
          <w14:textFill>
            <w14:solidFill>
              <w14:schemeClr w14:val="tx1"/>
            </w14:solidFill>
          </w14:textFill>
        </w:rPr>
        <w:t xml:space="preserve">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4D69851F">
      <w:pPr>
        <w:spacing w:line="360" w:lineRule="auto"/>
        <w:ind w:left="9" w:right="80" w:firstLine="479"/>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发包人与承包人如按上述原则协商未果，发包人有权根据实际情况按上述某一原则进行处理，承包人必须无条件接受。</w:t>
      </w:r>
    </w:p>
    <w:p w14:paraId="3FA5BDCA">
      <w:pPr>
        <w:spacing w:line="360" w:lineRule="auto"/>
        <w:ind w:left="9" w:right="80" w:firstLine="479"/>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承包人应在变更取得初步同意后20</w:t>
      </w:r>
      <w:r>
        <w:rPr>
          <w:rFonts w:ascii="宋体" w:hAnsi="宋体" w:eastAsia="宋体" w:cs="宋体"/>
          <w:color w:val="000000" w:themeColor="text1"/>
          <w:spacing w:val="-2"/>
          <w:sz w:val="24"/>
          <w:highlight w:val="none"/>
          <w14:textFill>
            <w14:solidFill>
              <w14:schemeClr w14:val="tx1"/>
            </w14:solidFill>
          </w14:textFill>
        </w:rPr>
        <w:t>天内，向发包人提交完整的工程变更申请资料</w:t>
      </w:r>
      <w:r>
        <w:rPr>
          <w:rFonts w:hint="eastAsia" w:ascii="宋体" w:hAnsi="宋体" w:eastAsia="宋体" w:cs="宋体"/>
          <w:color w:val="000000" w:themeColor="text1"/>
          <w:spacing w:val="-2"/>
          <w:sz w:val="24"/>
          <w:highlight w:val="none"/>
          <w14:textFill>
            <w14:solidFill>
              <w14:schemeClr w14:val="tx1"/>
            </w14:solidFill>
          </w14:textFill>
        </w:rPr>
        <w:t>，包括但不限于：（1）工程变更申请书（含变更原因、方案、费用及工期调整依据）；（2）</w:t>
      </w:r>
      <w:r>
        <w:rPr>
          <w:rFonts w:ascii="宋体" w:hAnsi="宋体" w:eastAsia="宋体" w:cs="宋体"/>
          <w:color w:val="000000" w:themeColor="text1"/>
          <w:spacing w:val="-2"/>
          <w:sz w:val="24"/>
          <w:highlight w:val="none"/>
          <w14:textFill>
            <w14:solidFill>
              <w14:schemeClr w14:val="tx1"/>
            </w14:solidFill>
          </w14:textFill>
        </w:rPr>
        <w:t>变更设计图纸及原设计对比文件；</w:t>
      </w:r>
      <w:r>
        <w:rPr>
          <w:rFonts w:hint="eastAsia" w:ascii="宋体" w:hAnsi="宋体" w:eastAsia="宋体" w:cs="宋体"/>
          <w:color w:val="000000" w:themeColor="text1"/>
          <w:spacing w:val="-2"/>
          <w:sz w:val="24"/>
          <w:highlight w:val="none"/>
          <w14:textFill>
            <w14:solidFill>
              <w14:schemeClr w14:val="tx1"/>
            </w14:solidFill>
          </w14:textFill>
        </w:rPr>
        <w:t>（3）</w:t>
      </w:r>
      <w:r>
        <w:rPr>
          <w:rFonts w:ascii="宋体" w:hAnsi="宋体" w:eastAsia="宋体" w:cs="宋体"/>
          <w:color w:val="000000" w:themeColor="text1"/>
          <w:spacing w:val="-2"/>
          <w:sz w:val="24"/>
          <w:highlight w:val="none"/>
          <w14:textFill>
            <w14:solidFill>
              <w14:schemeClr w14:val="tx1"/>
            </w14:solidFill>
          </w14:textFill>
        </w:rPr>
        <w:t>工程量及投资变化清单、分项预算文件；</w:t>
      </w:r>
      <w:r>
        <w:rPr>
          <w:rFonts w:hint="eastAsia" w:ascii="宋体" w:hAnsi="宋体" w:eastAsia="宋体" w:cs="宋体"/>
          <w:color w:val="000000" w:themeColor="text1"/>
          <w:spacing w:val="-2"/>
          <w:sz w:val="24"/>
          <w:highlight w:val="none"/>
          <w14:textFill>
            <w14:solidFill>
              <w14:schemeClr w14:val="tx1"/>
            </w14:solidFill>
          </w14:textFill>
        </w:rPr>
        <w:t>（4）</w:t>
      </w:r>
      <w:r>
        <w:rPr>
          <w:rFonts w:ascii="宋体" w:hAnsi="宋体" w:eastAsia="宋体" w:cs="宋体"/>
          <w:color w:val="000000" w:themeColor="text1"/>
          <w:spacing w:val="-2"/>
          <w:sz w:val="24"/>
          <w:highlight w:val="none"/>
          <w14:textFill>
            <w14:solidFill>
              <w14:schemeClr w14:val="tx1"/>
            </w14:solidFill>
          </w14:textFill>
        </w:rPr>
        <w:t>其他相关证明材料（如影像资料、会议纪要等）</w:t>
      </w:r>
      <w:r>
        <w:rPr>
          <w:rFonts w:hint="eastAsia" w:ascii="宋体" w:hAnsi="宋体" w:eastAsia="宋体" w:cs="宋体"/>
          <w:color w:val="000000" w:themeColor="text1"/>
          <w:spacing w:val="-2"/>
          <w:sz w:val="24"/>
          <w:highlight w:val="none"/>
          <w14:textFill>
            <w14:solidFill>
              <w14:schemeClr w14:val="tx1"/>
            </w14:solidFill>
          </w14:textFill>
        </w:rPr>
        <w:t>。若承包人未能在规定期限内提交完整资料，或提交资料不符合要求且未在发包人要求的补充期限内完善，则视为该变更未发生，相关费用及工期变化不得纳入工程结算。</w:t>
      </w:r>
    </w:p>
    <w:p w14:paraId="08197696">
      <w:pPr>
        <w:spacing w:line="360" w:lineRule="auto"/>
        <w:ind w:left="9" w:right="80" w:firstLine="479"/>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所有的变更设计都必须按发包人及其上级主管部门颁布的变更设计管理办法进行审批</w:t>
      </w:r>
    </w:p>
    <w:p w14:paraId="0F7F4A05">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263" w:name="_Toc27264"/>
      <w:bookmarkStart w:id="264" w:name="_Toc18845"/>
      <w:r>
        <w:rPr>
          <w:rFonts w:ascii="宋体" w:hAnsi="宋体" w:cs="宋体"/>
          <w:color w:val="000000" w:themeColor="text1"/>
          <w:spacing w:val="-6"/>
          <w:sz w:val="24"/>
          <w:highlight w:val="none"/>
          <w14:textFill>
            <w14:solidFill>
              <w14:schemeClr w14:val="tx1"/>
            </w14:solidFill>
          </w14:textFill>
        </w:rPr>
        <w:t>16.</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价格调整</w:t>
      </w:r>
      <w:bookmarkEnd w:id="263"/>
      <w:bookmarkEnd w:id="264"/>
    </w:p>
    <w:p w14:paraId="5788718E">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65" w:name="_Toc22723"/>
      <w:bookmarkStart w:id="266" w:name="_Toc29483"/>
      <w:r>
        <w:rPr>
          <w:rFonts w:ascii="宋体" w:hAnsi="宋体" w:cs="宋体"/>
          <w:color w:val="000000" w:themeColor="text1"/>
          <w:spacing w:val="-2"/>
          <w:sz w:val="24"/>
          <w:highlight w:val="none"/>
          <w14:textFill>
            <w14:solidFill>
              <w14:schemeClr w14:val="tx1"/>
            </w14:solidFill>
          </w14:textFill>
        </w:rPr>
        <w:t>16.1 物价波动引起的价格调整</w:t>
      </w:r>
      <w:bookmarkEnd w:id="265"/>
      <w:bookmarkEnd w:id="266"/>
    </w:p>
    <w:p w14:paraId="11FE7177">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16.1.2 采用造价信息调整价格差额</w:t>
      </w:r>
    </w:p>
    <w:p w14:paraId="706BF554">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本项细化为：</w:t>
      </w:r>
    </w:p>
    <w:p w14:paraId="6C348BAF">
      <w:pPr>
        <w:spacing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合同履行期间，发包人参照《广东省交通运输厅关于于印发我省交通建设项目材料</w:t>
      </w:r>
      <w:r>
        <w:rPr>
          <w:rFonts w:ascii="宋体" w:hAnsi="宋体" w:cs="宋体"/>
          <w:color w:val="000000" w:themeColor="text1"/>
          <w:spacing w:val="2"/>
          <w:sz w:val="24"/>
          <w:highlight w:val="none"/>
          <w14:textFill>
            <w14:solidFill>
              <w14:schemeClr w14:val="tx1"/>
            </w14:solidFill>
          </w14:textFill>
        </w:rPr>
        <w:t>价差调整指导性意见的通知》,对项目允许调整价格差额</w:t>
      </w:r>
      <w:r>
        <w:rPr>
          <w:rFonts w:ascii="宋体" w:hAnsi="宋体" w:cs="宋体"/>
          <w:color w:val="000000" w:themeColor="text1"/>
          <w:spacing w:val="1"/>
          <w:sz w:val="24"/>
          <w:highlight w:val="none"/>
          <w14:textFill>
            <w14:solidFill>
              <w14:schemeClr w14:val="tx1"/>
            </w14:solidFill>
          </w14:textFill>
        </w:rPr>
        <w:t>的材料进行价差调整，其中材</w:t>
      </w:r>
      <w:r>
        <w:rPr>
          <w:rFonts w:ascii="宋体" w:hAnsi="宋体" w:cs="宋体"/>
          <w:color w:val="000000" w:themeColor="text1"/>
          <w:spacing w:val="-6"/>
          <w:sz w:val="24"/>
          <w:highlight w:val="none"/>
          <w14:textFill>
            <w14:solidFill>
              <w14:schemeClr w14:val="tx1"/>
            </w14:solidFill>
          </w14:textFill>
        </w:rPr>
        <w:t>料价格调整的工程范围不包括一般性临时工程、临时设施的用材消耗，或虽属特大桥梁、</w:t>
      </w:r>
      <w:r>
        <w:rPr>
          <w:rFonts w:ascii="宋体" w:hAnsi="宋体" w:cs="宋体"/>
          <w:color w:val="000000" w:themeColor="text1"/>
          <w:spacing w:val="-2"/>
          <w:sz w:val="24"/>
          <w:highlight w:val="none"/>
          <w14:textFill>
            <w14:solidFill>
              <w14:schemeClr w14:val="tx1"/>
            </w14:solidFill>
          </w14:textFill>
        </w:rPr>
        <w:t>特大隧道、大型船闸的临时工程但不需专项设计的用材消耗。材料价差调整费用系指材</w:t>
      </w:r>
      <w:r>
        <w:rPr>
          <w:rFonts w:ascii="宋体" w:hAnsi="宋体" w:cs="宋体"/>
          <w:color w:val="000000" w:themeColor="text1"/>
          <w:spacing w:val="-6"/>
          <w:sz w:val="24"/>
          <w:highlight w:val="none"/>
          <w14:textFill>
            <w14:solidFill>
              <w14:schemeClr w14:val="tx1"/>
            </w14:solidFill>
          </w14:textFill>
        </w:rPr>
        <w:t>料价格（包含材料采购增值税）变化产生的综合调整费用，不再计算材料采购及保管费、</w:t>
      </w:r>
      <w:r>
        <w:rPr>
          <w:rFonts w:ascii="宋体" w:hAnsi="宋体" w:cs="宋体"/>
          <w:color w:val="000000" w:themeColor="text1"/>
          <w:spacing w:val="-2"/>
          <w:sz w:val="24"/>
          <w:highlight w:val="none"/>
          <w14:textFill>
            <w14:solidFill>
              <w14:schemeClr w14:val="tx1"/>
            </w14:solidFill>
          </w14:textFill>
        </w:rPr>
        <w:t>管理费等费用。除本款约定允许调整价格差额的材料以外，其他材料、设备等不进行价</w:t>
      </w:r>
      <w:r>
        <w:rPr>
          <w:rFonts w:ascii="宋体" w:hAnsi="宋体" w:cs="宋体"/>
          <w:color w:val="000000" w:themeColor="text1"/>
          <w:spacing w:val="-1"/>
          <w:sz w:val="24"/>
          <w:highlight w:val="none"/>
          <w14:textFill>
            <w14:solidFill>
              <w14:schemeClr w14:val="tx1"/>
            </w14:solidFill>
          </w14:textFill>
        </w:rPr>
        <w:t>差调整，承包人应将上述风险考虑在投标报价中。</w:t>
      </w:r>
    </w:p>
    <w:p w14:paraId="3D32F38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16.1.2.1</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统一采购供应材料、甲控乙购材料价差调整</w:t>
      </w:r>
    </w:p>
    <w:p w14:paraId="09B22CBA">
      <w:pPr>
        <w:pStyle w:val="3"/>
        <w:spacing w:line="360" w:lineRule="auto"/>
        <w:rPr>
          <w:rFonts w:hint="eastAsia" w:ascii="宋体" w:hAnsi="宋体" w:cs="宋体"/>
          <w:color w:val="000000" w:themeColor="text1"/>
          <w:sz w:val="24"/>
          <w:highlight w:val="none"/>
          <w14:textFill>
            <w14:solidFill>
              <w14:schemeClr w14:val="tx1"/>
            </w14:solidFill>
          </w14:textFill>
        </w:rPr>
      </w:pPr>
      <w:bookmarkStart w:id="267" w:name="bookmark319"/>
      <w:bookmarkEnd w:id="267"/>
      <w:r>
        <w:rPr>
          <w:rFonts w:ascii="宋体" w:hAnsi="宋体" w:cs="宋体"/>
          <w:color w:val="000000" w:themeColor="text1"/>
          <w:sz w:val="24"/>
          <w:highlight w:val="none"/>
          <w14:textFill>
            <w14:solidFill>
              <w14:schemeClr w14:val="tx1"/>
            </w14:solidFill>
          </w14:textFill>
        </w:rPr>
        <w:t>（1）材料范围：详见招标文件中《统一采购供应材料一览表》《甲控乙购</w:t>
      </w:r>
      <w:r>
        <w:rPr>
          <w:rFonts w:ascii="宋体" w:hAnsi="宋体" w:cs="宋体"/>
          <w:color w:val="000000" w:themeColor="text1"/>
          <w:spacing w:val="-22"/>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I</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类材</w:t>
      </w:r>
      <w:r>
        <w:rPr>
          <w:rFonts w:ascii="宋体" w:hAnsi="宋体" w:cs="宋体"/>
          <w:color w:val="000000" w:themeColor="text1"/>
          <w:spacing w:val="-2"/>
          <w:sz w:val="24"/>
          <w:highlight w:val="none"/>
          <w14:textFill>
            <w14:solidFill>
              <w14:schemeClr w14:val="tx1"/>
            </w14:solidFill>
          </w14:textFill>
        </w:rPr>
        <w:t>料一览表》</w:t>
      </w:r>
    </w:p>
    <w:p w14:paraId="68E3E976">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（2）材料价差计算方法：</w:t>
      </w:r>
    </w:p>
    <w:p w14:paraId="38226770">
      <w:pPr>
        <w:spacing w:line="360" w:lineRule="auto"/>
        <w:ind w:left="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按月调整材料价差，具体如下：</w:t>
      </w:r>
    </w:p>
    <w:p w14:paraId="1BB68087">
      <w:pPr>
        <w:spacing w:line="360" w:lineRule="auto"/>
        <w:ind w:left="9" w:right="5" w:firstLine="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以建设项目所在地地级市及以上交通运输工程造价机构每月公布的交通建设工程</w:t>
      </w:r>
      <w:r>
        <w:rPr>
          <w:rFonts w:ascii="宋体" w:hAnsi="宋体" w:cs="宋体"/>
          <w:color w:val="000000" w:themeColor="text1"/>
          <w:spacing w:val="-1"/>
          <w:sz w:val="24"/>
          <w:highlight w:val="none"/>
          <w14:textFill>
            <w14:solidFill>
              <w14:schemeClr w14:val="tx1"/>
            </w14:solidFill>
          </w14:textFill>
        </w:rPr>
        <w:t>主要外购材料信息价为依据，每个月</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15 日（不含当天）后供应的货物纳入下个月进行</w:t>
      </w:r>
      <w:r>
        <w:rPr>
          <w:rFonts w:ascii="宋体" w:hAnsi="宋体" w:cs="宋体"/>
          <w:color w:val="000000" w:themeColor="text1"/>
          <w:spacing w:val="-3"/>
          <w:sz w:val="24"/>
          <w:highlight w:val="none"/>
          <w14:textFill>
            <w14:solidFill>
              <w14:schemeClr w14:val="tx1"/>
            </w14:solidFill>
          </w14:textFill>
        </w:rPr>
        <w:t>价格调整。</w:t>
      </w:r>
    </w:p>
    <w:p w14:paraId="1C3CB12B">
      <w:pPr>
        <w:spacing w:line="360" w:lineRule="auto"/>
        <w:ind w:left="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A=(B-C)</w:t>
      </w:r>
      <w:r>
        <w:rPr>
          <w:rFonts w:ascii="宋体" w:hAnsi="宋体" w:cs="宋体"/>
          <w:color w:val="000000" w:themeColor="text1"/>
          <w:spacing w:val="-6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(1+D)</w:t>
      </w:r>
    </w:p>
    <w:p w14:paraId="30DB2C50">
      <w:pPr>
        <w:spacing w:line="360" w:lineRule="auto"/>
        <w:ind w:left="10" w:right="8" w:firstLine="47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A:实际调整价差，A</w:t>
      </w:r>
      <w:r>
        <w:rPr>
          <w:rFonts w:ascii="宋体" w:hAnsi="宋体" w:cs="宋体"/>
          <w:color w:val="000000" w:themeColor="text1"/>
          <w:spacing w:val="-43"/>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为正值时，由发包人补给承包人该价差，A</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为负值时，由发包</w:t>
      </w:r>
      <w:r>
        <w:rPr>
          <w:rFonts w:ascii="宋体" w:hAnsi="宋体" w:cs="宋体"/>
          <w:color w:val="000000" w:themeColor="text1"/>
          <w:spacing w:val="-1"/>
          <w:sz w:val="24"/>
          <w:highlight w:val="none"/>
          <w14:textFill>
            <w14:solidFill>
              <w14:schemeClr w14:val="tx1"/>
            </w14:solidFill>
          </w14:textFill>
        </w:rPr>
        <w:t>人从承包人承包价中扣回该价差。</w:t>
      </w:r>
    </w:p>
    <w:p w14:paraId="1836A216">
      <w:pPr>
        <w:spacing w:line="360" w:lineRule="auto"/>
        <w:ind w:left="10" w:right="8" w:firstLine="47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B:实际采购供应价(不含税)，该价格为实际支付</w:t>
      </w:r>
      <w:r>
        <w:rPr>
          <w:rFonts w:ascii="宋体" w:hAnsi="宋体" w:cs="宋体"/>
          <w:color w:val="000000" w:themeColor="text1"/>
          <w:spacing w:val="-2"/>
          <w:sz w:val="24"/>
          <w:highlight w:val="none"/>
          <w14:textFill>
            <w14:solidFill>
              <w14:schemeClr w14:val="tx1"/>
            </w14:solidFill>
          </w14:textFill>
        </w:rPr>
        <w:t>给供应商（卖方）的价格，该价格</w:t>
      </w:r>
      <w:r>
        <w:rPr>
          <w:rFonts w:ascii="宋体" w:hAnsi="宋体" w:cs="宋体"/>
          <w:color w:val="000000" w:themeColor="text1"/>
          <w:spacing w:val="-1"/>
          <w:sz w:val="24"/>
          <w:highlight w:val="none"/>
          <w14:textFill>
            <w14:solidFill>
              <w14:schemeClr w14:val="tx1"/>
            </w14:solidFill>
          </w14:textFill>
        </w:rPr>
        <w:t>按与供应商签定的采购供应合同（含补充合同/协议）确定。</w:t>
      </w:r>
    </w:p>
    <w:p w14:paraId="5B9B8D5A">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C:材料基准价格(不含税)，由招标人在招标文件（或补</w:t>
      </w:r>
      <w:r>
        <w:rPr>
          <w:rFonts w:ascii="宋体" w:hAnsi="宋体" w:cs="宋体"/>
          <w:color w:val="000000" w:themeColor="text1"/>
          <w:spacing w:val="-1"/>
          <w:sz w:val="24"/>
          <w:highlight w:val="none"/>
          <w14:textFill>
            <w14:solidFill>
              <w14:schemeClr w14:val="tx1"/>
            </w14:solidFill>
          </w14:textFill>
        </w:rPr>
        <w:t>遗书）中统一规定。</w:t>
      </w:r>
    </w:p>
    <w:p w14:paraId="0A8B014D">
      <w:pPr>
        <w:spacing w:line="360" w:lineRule="auto"/>
        <w:ind w:left="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D:增值税税率，指国家最新规定对应调价材料销售的</w:t>
      </w:r>
      <w:r>
        <w:rPr>
          <w:rFonts w:ascii="宋体" w:hAnsi="宋体" w:cs="宋体"/>
          <w:color w:val="000000" w:themeColor="text1"/>
          <w:spacing w:val="-1"/>
          <w:sz w:val="24"/>
          <w:highlight w:val="none"/>
          <w14:textFill>
            <w14:solidFill>
              <w14:schemeClr w14:val="tx1"/>
            </w14:solidFill>
          </w14:textFill>
        </w:rPr>
        <w:t>增值税税率。</w:t>
      </w:r>
    </w:p>
    <w:p w14:paraId="1C4545A2">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16.1.2.2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承包人自行采购材料价差调整</w:t>
      </w:r>
    </w:p>
    <w:p w14:paraId="1C427D4A">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16.1.2.2.1</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工程范围</w:t>
      </w:r>
    </w:p>
    <w:p w14:paraId="1A2678FF">
      <w:pPr>
        <w:spacing w:line="360" w:lineRule="auto"/>
        <w:ind w:left="1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指建设项目的实体工程所消耗的主要材料（含构成永久性结构的水中钢护筒、溶洞处理钢护筒等</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以及特大桥梁、特长隧道、大型船闸等有专项设计的大型临时工程所消耗的主要材料纳入材料调差调整范围。一般性临时工程、临时设施所消耗的材料以及</w:t>
      </w:r>
      <w:r>
        <w:rPr>
          <w:rFonts w:ascii="宋体" w:hAnsi="宋体" w:cs="宋体"/>
          <w:color w:val="000000" w:themeColor="text1"/>
          <w:spacing w:val="-1"/>
          <w:sz w:val="24"/>
          <w:highlight w:val="none"/>
          <w14:textFill>
            <w14:solidFill>
              <w14:schemeClr w14:val="tx1"/>
            </w14:solidFill>
          </w14:textFill>
        </w:rPr>
        <w:t>属于水运工程范围的材料（合同中包含水运工程的除</w:t>
      </w:r>
      <w:r>
        <w:rPr>
          <w:rFonts w:ascii="宋体" w:hAnsi="宋体" w:cs="宋体"/>
          <w:color w:val="000000" w:themeColor="text1"/>
          <w:spacing w:val="-2"/>
          <w:sz w:val="24"/>
          <w:highlight w:val="none"/>
          <w14:textFill>
            <w14:solidFill>
              <w14:schemeClr w14:val="tx1"/>
            </w14:solidFill>
          </w14:textFill>
        </w:rPr>
        <w:t>外）均不纳入材料调差调整范围。</w:t>
      </w:r>
    </w:p>
    <w:p w14:paraId="296343FB">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16.1.2.2.2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材料范围</w:t>
      </w:r>
    </w:p>
    <w:p w14:paraId="48417845">
      <w:pPr>
        <w:spacing w:line="360" w:lineRule="auto"/>
        <w:ind w:left="490"/>
        <w:rPr>
          <w:color w:val="000000" w:themeColor="text1"/>
          <w:highlight w:val="none"/>
          <w14:textFill>
            <w14:solidFill>
              <w14:schemeClr w14:val="tx1"/>
            </w14:solidFill>
          </w14:textFill>
        </w:rPr>
      </w:pPr>
      <w:bookmarkStart w:id="268" w:name="bookmark320"/>
      <w:bookmarkEnd w:id="268"/>
      <w:r>
        <w:rPr>
          <w:rFonts w:ascii="宋体" w:hAnsi="宋体" w:cs="宋体"/>
          <w:color w:val="000000" w:themeColor="text1"/>
          <w:spacing w:val="-1"/>
          <w:sz w:val="24"/>
          <w:highlight w:val="none"/>
          <w14:textFill>
            <w14:solidFill>
              <w14:schemeClr w14:val="tx1"/>
            </w14:solidFill>
          </w14:textFill>
        </w:rPr>
        <w:t>可调差主要材料范围如下：</w:t>
      </w:r>
    </w:p>
    <w:p w14:paraId="666B929C">
      <w:pPr>
        <w:spacing w:before="78" w:line="233" w:lineRule="auto"/>
        <w:ind w:left="3636"/>
        <w:rPr>
          <w:rFonts w:hint="eastAsia" w:ascii="宋体" w:hAnsi="宋体" w:cs="宋体"/>
          <w:color w:val="000000" w:themeColor="text1"/>
          <w:sz w:val="12"/>
          <w:szCs w:val="12"/>
          <w:highlight w:val="none"/>
          <w14:textFill>
            <w14:solidFill>
              <w14:schemeClr w14:val="tx1"/>
            </w14:solidFill>
          </w14:textFill>
        </w:rPr>
      </w:pPr>
      <w:r>
        <w:rPr>
          <w:rFonts w:ascii="宋体" w:hAnsi="宋体" w:cs="宋体"/>
          <w:b/>
          <w:bCs/>
          <w:color w:val="000000" w:themeColor="text1"/>
          <w:spacing w:val="-3"/>
          <w:sz w:val="24"/>
          <w:highlight w:val="none"/>
          <w14:textFill>
            <w14:solidFill>
              <w14:schemeClr w14:val="tx1"/>
            </w14:solidFill>
          </w14:textFill>
        </w:rPr>
        <w:t>可调差材料一览表</w:t>
      </w:r>
    </w:p>
    <w:p w14:paraId="20088AEB">
      <w:pPr>
        <w:spacing w:line="68" w:lineRule="exact"/>
        <w:rPr>
          <w:color w:val="000000" w:themeColor="text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5"/>
        <w:gridCol w:w="1160"/>
        <w:gridCol w:w="1161"/>
        <w:gridCol w:w="1160"/>
        <w:gridCol w:w="1161"/>
        <w:gridCol w:w="1160"/>
        <w:gridCol w:w="1160"/>
        <w:gridCol w:w="1165"/>
      </w:tblGrid>
      <w:tr w14:paraId="6F899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165" w:type="dxa"/>
            <w:vAlign w:val="center"/>
          </w:tcPr>
          <w:p w14:paraId="4DEFC725">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序号</w:t>
            </w:r>
          </w:p>
        </w:tc>
        <w:tc>
          <w:tcPr>
            <w:tcW w:w="1160" w:type="dxa"/>
            <w:vAlign w:val="center"/>
          </w:tcPr>
          <w:p w14:paraId="138E3678">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材料名称</w:t>
            </w:r>
          </w:p>
        </w:tc>
        <w:tc>
          <w:tcPr>
            <w:tcW w:w="1161" w:type="dxa"/>
            <w:vAlign w:val="center"/>
          </w:tcPr>
          <w:p w14:paraId="6B500320">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代号</w:t>
            </w:r>
          </w:p>
        </w:tc>
        <w:tc>
          <w:tcPr>
            <w:tcW w:w="1160" w:type="dxa"/>
            <w:vAlign w:val="center"/>
          </w:tcPr>
          <w:p w14:paraId="72EA7CB5">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单位</w:t>
            </w:r>
          </w:p>
        </w:tc>
        <w:tc>
          <w:tcPr>
            <w:tcW w:w="1161" w:type="dxa"/>
            <w:vAlign w:val="center"/>
          </w:tcPr>
          <w:p w14:paraId="5D391D7C">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序号</w:t>
            </w:r>
          </w:p>
        </w:tc>
        <w:tc>
          <w:tcPr>
            <w:tcW w:w="1160" w:type="dxa"/>
            <w:vAlign w:val="center"/>
          </w:tcPr>
          <w:p w14:paraId="2750AA44">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材料名称</w:t>
            </w:r>
          </w:p>
        </w:tc>
        <w:tc>
          <w:tcPr>
            <w:tcW w:w="1160" w:type="dxa"/>
            <w:vAlign w:val="center"/>
          </w:tcPr>
          <w:p w14:paraId="4E1AFFFD">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代号</w:t>
            </w:r>
          </w:p>
        </w:tc>
        <w:tc>
          <w:tcPr>
            <w:tcW w:w="1165" w:type="dxa"/>
            <w:vAlign w:val="center"/>
          </w:tcPr>
          <w:p w14:paraId="1423AA9E">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单位</w:t>
            </w:r>
          </w:p>
        </w:tc>
      </w:tr>
      <w:tr w14:paraId="12831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73A489D0">
            <w:pPr>
              <w:pStyle w:val="124"/>
              <w:spacing w:before="130" w:line="270" w:lineRule="exact"/>
              <w:ind w:left="550"/>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1</w:t>
            </w:r>
          </w:p>
        </w:tc>
        <w:tc>
          <w:tcPr>
            <w:tcW w:w="1160" w:type="dxa"/>
          </w:tcPr>
          <w:p w14:paraId="3C0620B7">
            <w:pPr>
              <w:pStyle w:val="124"/>
              <w:spacing w:before="130" w:line="270" w:lineRule="exact"/>
              <w:ind w:left="534"/>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2</w:t>
            </w:r>
          </w:p>
        </w:tc>
        <w:tc>
          <w:tcPr>
            <w:tcW w:w="1161" w:type="dxa"/>
          </w:tcPr>
          <w:p w14:paraId="579C2BBF">
            <w:pPr>
              <w:pStyle w:val="124"/>
              <w:spacing w:before="130" w:line="268" w:lineRule="exact"/>
              <w:ind w:left="537"/>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3</w:t>
            </w:r>
          </w:p>
        </w:tc>
        <w:tc>
          <w:tcPr>
            <w:tcW w:w="1160" w:type="dxa"/>
          </w:tcPr>
          <w:p w14:paraId="421BB42B">
            <w:pPr>
              <w:pStyle w:val="124"/>
              <w:spacing w:before="130" w:line="270" w:lineRule="exact"/>
              <w:ind w:left="532"/>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4</w:t>
            </w:r>
          </w:p>
        </w:tc>
        <w:tc>
          <w:tcPr>
            <w:tcW w:w="1161" w:type="dxa"/>
          </w:tcPr>
          <w:p w14:paraId="6C39B455">
            <w:pPr>
              <w:pStyle w:val="124"/>
              <w:spacing w:before="130" w:line="270" w:lineRule="exact"/>
              <w:ind w:left="548"/>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1</w:t>
            </w:r>
          </w:p>
        </w:tc>
        <w:tc>
          <w:tcPr>
            <w:tcW w:w="1160" w:type="dxa"/>
          </w:tcPr>
          <w:p w14:paraId="2AD57E04">
            <w:pPr>
              <w:pStyle w:val="124"/>
              <w:spacing w:before="130" w:line="270" w:lineRule="exact"/>
              <w:ind w:left="536"/>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2</w:t>
            </w:r>
          </w:p>
        </w:tc>
        <w:tc>
          <w:tcPr>
            <w:tcW w:w="1160" w:type="dxa"/>
          </w:tcPr>
          <w:p w14:paraId="452CEB03">
            <w:pPr>
              <w:pStyle w:val="124"/>
              <w:spacing w:before="130" w:line="268" w:lineRule="exact"/>
              <w:ind w:left="539"/>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3</w:t>
            </w:r>
          </w:p>
        </w:tc>
        <w:tc>
          <w:tcPr>
            <w:tcW w:w="1165" w:type="dxa"/>
          </w:tcPr>
          <w:p w14:paraId="6CACAD22">
            <w:pPr>
              <w:pStyle w:val="124"/>
              <w:spacing w:before="130" w:line="270" w:lineRule="exact"/>
              <w:ind w:left="535"/>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4</w:t>
            </w:r>
          </w:p>
        </w:tc>
      </w:tr>
      <w:tr w14:paraId="430FC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0E63B5AE">
            <w:pPr>
              <w:pStyle w:val="124"/>
              <w:spacing w:before="208" w:line="156" w:lineRule="exact"/>
              <w:ind w:left="485"/>
              <w:rPr>
                <w:rFonts w:hint="eastAsia"/>
                <w:color w:val="000000" w:themeColor="text1"/>
                <w:highlight w:val="none"/>
                <w14:textFill>
                  <w14:solidFill>
                    <w14:schemeClr w14:val="tx1"/>
                  </w14:solidFill>
                </w14:textFill>
              </w:rPr>
            </w:pPr>
            <w:r>
              <w:rPr>
                <w:color w:val="000000" w:themeColor="text1"/>
                <w:position w:val="-4"/>
                <w:highlight w:val="none"/>
                <w14:textFill>
                  <w14:solidFill>
                    <w14:schemeClr w14:val="tx1"/>
                  </w14:solidFill>
                </w14:textFill>
              </w:rPr>
              <w:t>一</w:t>
            </w:r>
          </w:p>
        </w:tc>
        <w:tc>
          <w:tcPr>
            <w:tcW w:w="1160" w:type="dxa"/>
          </w:tcPr>
          <w:p w14:paraId="2E72A521">
            <w:pPr>
              <w:pStyle w:val="124"/>
              <w:spacing w:before="129" w:line="227" w:lineRule="auto"/>
              <w:ind w:left="371"/>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钢材</w:t>
            </w:r>
          </w:p>
        </w:tc>
        <w:tc>
          <w:tcPr>
            <w:tcW w:w="1161" w:type="dxa"/>
          </w:tcPr>
          <w:p w14:paraId="48600A31">
            <w:pPr>
              <w:rPr>
                <w:rFonts w:ascii="Arial"/>
                <w:color w:val="000000" w:themeColor="text1"/>
                <w:highlight w:val="none"/>
                <w14:textFill>
                  <w14:solidFill>
                    <w14:schemeClr w14:val="tx1"/>
                  </w14:solidFill>
                </w14:textFill>
              </w:rPr>
            </w:pPr>
          </w:p>
        </w:tc>
        <w:tc>
          <w:tcPr>
            <w:tcW w:w="1160" w:type="dxa"/>
          </w:tcPr>
          <w:p w14:paraId="61536D16">
            <w:pPr>
              <w:rPr>
                <w:rFonts w:ascii="Arial"/>
                <w:color w:val="000000" w:themeColor="text1"/>
                <w:highlight w:val="none"/>
                <w14:textFill>
                  <w14:solidFill>
                    <w14:schemeClr w14:val="tx1"/>
                  </w14:solidFill>
                </w14:textFill>
              </w:rPr>
            </w:pPr>
          </w:p>
        </w:tc>
        <w:tc>
          <w:tcPr>
            <w:tcW w:w="1161" w:type="dxa"/>
          </w:tcPr>
          <w:p w14:paraId="290772A1">
            <w:pPr>
              <w:pStyle w:val="124"/>
              <w:spacing w:before="169" w:line="183" w:lineRule="auto"/>
              <w:ind w:left="48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w:t>
            </w:r>
          </w:p>
        </w:tc>
        <w:tc>
          <w:tcPr>
            <w:tcW w:w="1160" w:type="dxa"/>
          </w:tcPr>
          <w:p w14:paraId="21EF447E">
            <w:pPr>
              <w:pStyle w:val="124"/>
              <w:spacing w:before="129" w:line="228" w:lineRule="auto"/>
              <w:ind w:left="377"/>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水泥</w:t>
            </w:r>
          </w:p>
        </w:tc>
        <w:tc>
          <w:tcPr>
            <w:tcW w:w="1160" w:type="dxa"/>
          </w:tcPr>
          <w:p w14:paraId="5E61A874">
            <w:pPr>
              <w:rPr>
                <w:rFonts w:ascii="Arial"/>
                <w:color w:val="000000" w:themeColor="text1"/>
                <w:highlight w:val="none"/>
                <w14:textFill>
                  <w14:solidFill>
                    <w14:schemeClr w14:val="tx1"/>
                  </w14:solidFill>
                </w14:textFill>
              </w:rPr>
            </w:pPr>
          </w:p>
        </w:tc>
        <w:tc>
          <w:tcPr>
            <w:tcW w:w="1165" w:type="dxa"/>
          </w:tcPr>
          <w:p w14:paraId="0EF7E300">
            <w:pPr>
              <w:rPr>
                <w:rFonts w:ascii="Arial"/>
                <w:color w:val="000000" w:themeColor="text1"/>
                <w:highlight w:val="none"/>
                <w14:textFill>
                  <w14:solidFill>
                    <w14:schemeClr w14:val="tx1"/>
                  </w14:solidFill>
                </w14:textFill>
              </w:rPr>
            </w:pPr>
          </w:p>
        </w:tc>
      </w:tr>
      <w:tr w14:paraId="5F77B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01A65C97">
            <w:pPr>
              <w:rPr>
                <w:rFonts w:ascii="Arial"/>
                <w:color w:val="000000" w:themeColor="text1"/>
                <w:highlight w:val="none"/>
                <w14:textFill>
                  <w14:solidFill>
                    <w14:schemeClr w14:val="tx1"/>
                  </w14:solidFill>
                </w14:textFill>
              </w:rPr>
            </w:pPr>
          </w:p>
        </w:tc>
        <w:tc>
          <w:tcPr>
            <w:tcW w:w="1160" w:type="dxa"/>
          </w:tcPr>
          <w:p w14:paraId="3272DAFE">
            <w:pPr>
              <w:rPr>
                <w:rFonts w:ascii="Arial"/>
                <w:color w:val="000000" w:themeColor="text1"/>
                <w:highlight w:val="none"/>
                <w14:textFill>
                  <w14:solidFill>
                    <w14:schemeClr w14:val="tx1"/>
                  </w14:solidFill>
                </w14:textFill>
              </w:rPr>
            </w:pPr>
          </w:p>
        </w:tc>
        <w:tc>
          <w:tcPr>
            <w:tcW w:w="1161" w:type="dxa"/>
          </w:tcPr>
          <w:p w14:paraId="043ABD8E">
            <w:pPr>
              <w:rPr>
                <w:rFonts w:ascii="Arial"/>
                <w:color w:val="000000" w:themeColor="text1"/>
                <w:highlight w:val="none"/>
                <w14:textFill>
                  <w14:solidFill>
                    <w14:schemeClr w14:val="tx1"/>
                  </w14:solidFill>
                </w14:textFill>
              </w:rPr>
            </w:pPr>
          </w:p>
        </w:tc>
        <w:tc>
          <w:tcPr>
            <w:tcW w:w="1160" w:type="dxa"/>
          </w:tcPr>
          <w:p w14:paraId="310C0E25">
            <w:pPr>
              <w:rPr>
                <w:rFonts w:ascii="Arial"/>
                <w:color w:val="000000" w:themeColor="text1"/>
                <w:highlight w:val="none"/>
                <w14:textFill>
                  <w14:solidFill>
                    <w14:schemeClr w14:val="tx1"/>
                  </w14:solidFill>
                </w14:textFill>
              </w:rPr>
            </w:pPr>
          </w:p>
        </w:tc>
        <w:tc>
          <w:tcPr>
            <w:tcW w:w="1161" w:type="dxa"/>
          </w:tcPr>
          <w:p w14:paraId="332B6C53">
            <w:pPr>
              <w:rPr>
                <w:rFonts w:ascii="Arial"/>
                <w:color w:val="000000" w:themeColor="text1"/>
                <w:highlight w:val="none"/>
                <w14:textFill>
                  <w14:solidFill>
                    <w14:schemeClr w14:val="tx1"/>
                  </w14:solidFill>
                </w14:textFill>
              </w:rPr>
            </w:pPr>
          </w:p>
        </w:tc>
        <w:tc>
          <w:tcPr>
            <w:tcW w:w="1160" w:type="dxa"/>
          </w:tcPr>
          <w:p w14:paraId="2CBEBCD1">
            <w:pPr>
              <w:rPr>
                <w:rFonts w:ascii="Arial"/>
                <w:color w:val="000000" w:themeColor="text1"/>
                <w:highlight w:val="none"/>
                <w14:textFill>
                  <w14:solidFill>
                    <w14:schemeClr w14:val="tx1"/>
                  </w14:solidFill>
                </w14:textFill>
              </w:rPr>
            </w:pPr>
          </w:p>
        </w:tc>
        <w:tc>
          <w:tcPr>
            <w:tcW w:w="1160" w:type="dxa"/>
          </w:tcPr>
          <w:p w14:paraId="46E57F64">
            <w:pPr>
              <w:rPr>
                <w:rFonts w:ascii="Arial"/>
                <w:color w:val="000000" w:themeColor="text1"/>
                <w:highlight w:val="none"/>
                <w14:textFill>
                  <w14:solidFill>
                    <w14:schemeClr w14:val="tx1"/>
                  </w14:solidFill>
                </w14:textFill>
              </w:rPr>
            </w:pPr>
          </w:p>
        </w:tc>
        <w:tc>
          <w:tcPr>
            <w:tcW w:w="1165" w:type="dxa"/>
          </w:tcPr>
          <w:p w14:paraId="5B43E96C">
            <w:pPr>
              <w:rPr>
                <w:rFonts w:ascii="Arial"/>
                <w:color w:val="000000" w:themeColor="text1"/>
                <w:highlight w:val="none"/>
                <w14:textFill>
                  <w14:solidFill>
                    <w14:schemeClr w14:val="tx1"/>
                  </w14:solidFill>
                </w14:textFill>
              </w:rPr>
            </w:pPr>
          </w:p>
        </w:tc>
      </w:tr>
      <w:tr w14:paraId="022B5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365581A4">
            <w:pPr>
              <w:rPr>
                <w:rFonts w:ascii="Arial"/>
                <w:color w:val="000000" w:themeColor="text1"/>
                <w:highlight w:val="none"/>
                <w14:textFill>
                  <w14:solidFill>
                    <w14:schemeClr w14:val="tx1"/>
                  </w14:solidFill>
                </w14:textFill>
              </w:rPr>
            </w:pPr>
          </w:p>
        </w:tc>
        <w:tc>
          <w:tcPr>
            <w:tcW w:w="1160" w:type="dxa"/>
          </w:tcPr>
          <w:p w14:paraId="0355FB53">
            <w:pPr>
              <w:rPr>
                <w:rFonts w:ascii="Arial"/>
                <w:color w:val="000000" w:themeColor="text1"/>
                <w:highlight w:val="none"/>
                <w14:textFill>
                  <w14:solidFill>
                    <w14:schemeClr w14:val="tx1"/>
                  </w14:solidFill>
                </w14:textFill>
              </w:rPr>
            </w:pPr>
          </w:p>
        </w:tc>
        <w:tc>
          <w:tcPr>
            <w:tcW w:w="1161" w:type="dxa"/>
          </w:tcPr>
          <w:p w14:paraId="14F9142E">
            <w:pPr>
              <w:rPr>
                <w:rFonts w:ascii="Arial"/>
                <w:color w:val="000000" w:themeColor="text1"/>
                <w:highlight w:val="none"/>
                <w14:textFill>
                  <w14:solidFill>
                    <w14:schemeClr w14:val="tx1"/>
                  </w14:solidFill>
                </w14:textFill>
              </w:rPr>
            </w:pPr>
          </w:p>
        </w:tc>
        <w:tc>
          <w:tcPr>
            <w:tcW w:w="1160" w:type="dxa"/>
          </w:tcPr>
          <w:p w14:paraId="5300E5E1">
            <w:pPr>
              <w:rPr>
                <w:rFonts w:ascii="Arial"/>
                <w:color w:val="000000" w:themeColor="text1"/>
                <w:highlight w:val="none"/>
                <w14:textFill>
                  <w14:solidFill>
                    <w14:schemeClr w14:val="tx1"/>
                  </w14:solidFill>
                </w14:textFill>
              </w:rPr>
            </w:pPr>
          </w:p>
        </w:tc>
        <w:tc>
          <w:tcPr>
            <w:tcW w:w="1161" w:type="dxa"/>
          </w:tcPr>
          <w:p w14:paraId="636FE10A">
            <w:pPr>
              <w:rPr>
                <w:rFonts w:ascii="Arial"/>
                <w:color w:val="000000" w:themeColor="text1"/>
                <w:highlight w:val="none"/>
                <w14:textFill>
                  <w14:solidFill>
                    <w14:schemeClr w14:val="tx1"/>
                  </w14:solidFill>
                </w14:textFill>
              </w:rPr>
            </w:pPr>
          </w:p>
        </w:tc>
        <w:tc>
          <w:tcPr>
            <w:tcW w:w="1160" w:type="dxa"/>
          </w:tcPr>
          <w:p w14:paraId="658A6B8E">
            <w:pPr>
              <w:rPr>
                <w:rFonts w:ascii="Arial"/>
                <w:color w:val="000000" w:themeColor="text1"/>
                <w:highlight w:val="none"/>
                <w14:textFill>
                  <w14:solidFill>
                    <w14:schemeClr w14:val="tx1"/>
                  </w14:solidFill>
                </w14:textFill>
              </w:rPr>
            </w:pPr>
          </w:p>
        </w:tc>
        <w:tc>
          <w:tcPr>
            <w:tcW w:w="1160" w:type="dxa"/>
          </w:tcPr>
          <w:p w14:paraId="07F74DBF">
            <w:pPr>
              <w:rPr>
                <w:rFonts w:ascii="Arial"/>
                <w:color w:val="000000" w:themeColor="text1"/>
                <w:highlight w:val="none"/>
                <w14:textFill>
                  <w14:solidFill>
                    <w14:schemeClr w14:val="tx1"/>
                  </w14:solidFill>
                </w14:textFill>
              </w:rPr>
            </w:pPr>
          </w:p>
        </w:tc>
        <w:tc>
          <w:tcPr>
            <w:tcW w:w="1165" w:type="dxa"/>
          </w:tcPr>
          <w:p w14:paraId="4581D64C">
            <w:pPr>
              <w:rPr>
                <w:rFonts w:ascii="Arial"/>
                <w:color w:val="000000" w:themeColor="text1"/>
                <w:highlight w:val="none"/>
                <w14:textFill>
                  <w14:solidFill>
                    <w14:schemeClr w14:val="tx1"/>
                  </w14:solidFill>
                </w14:textFill>
              </w:rPr>
            </w:pPr>
          </w:p>
        </w:tc>
      </w:tr>
      <w:tr w14:paraId="2D31D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51AAA93A">
            <w:pPr>
              <w:rPr>
                <w:rFonts w:ascii="Arial"/>
                <w:color w:val="000000" w:themeColor="text1"/>
                <w:highlight w:val="none"/>
                <w14:textFill>
                  <w14:solidFill>
                    <w14:schemeClr w14:val="tx1"/>
                  </w14:solidFill>
                </w14:textFill>
              </w:rPr>
            </w:pPr>
          </w:p>
        </w:tc>
        <w:tc>
          <w:tcPr>
            <w:tcW w:w="1160" w:type="dxa"/>
          </w:tcPr>
          <w:p w14:paraId="78C01E75">
            <w:pPr>
              <w:rPr>
                <w:rFonts w:ascii="Arial"/>
                <w:color w:val="000000" w:themeColor="text1"/>
                <w:highlight w:val="none"/>
                <w14:textFill>
                  <w14:solidFill>
                    <w14:schemeClr w14:val="tx1"/>
                  </w14:solidFill>
                </w14:textFill>
              </w:rPr>
            </w:pPr>
          </w:p>
        </w:tc>
        <w:tc>
          <w:tcPr>
            <w:tcW w:w="1161" w:type="dxa"/>
          </w:tcPr>
          <w:p w14:paraId="34164650">
            <w:pPr>
              <w:rPr>
                <w:rFonts w:ascii="Arial"/>
                <w:color w:val="000000" w:themeColor="text1"/>
                <w:highlight w:val="none"/>
                <w14:textFill>
                  <w14:solidFill>
                    <w14:schemeClr w14:val="tx1"/>
                  </w14:solidFill>
                </w14:textFill>
              </w:rPr>
            </w:pPr>
          </w:p>
        </w:tc>
        <w:tc>
          <w:tcPr>
            <w:tcW w:w="1160" w:type="dxa"/>
          </w:tcPr>
          <w:p w14:paraId="582A793D">
            <w:pPr>
              <w:rPr>
                <w:rFonts w:ascii="Arial"/>
                <w:color w:val="000000" w:themeColor="text1"/>
                <w:highlight w:val="none"/>
                <w14:textFill>
                  <w14:solidFill>
                    <w14:schemeClr w14:val="tx1"/>
                  </w14:solidFill>
                </w14:textFill>
              </w:rPr>
            </w:pPr>
          </w:p>
        </w:tc>
        <w:tc>
          <w:tcPr>
            <w:tcW w:w="1161" w:type="dxa"/>
          </w:tcPr>
          <w:p w14:paraId="7F6475EB">
            <w:pPr>
              <w:rPr>
                <w:rFonts w:ascii="Arial"/>
                <w:color w:val="000000" w:themeColor="text1"/>
                <w:highlight w:val="none"/>
                <w14:textFill>
                  <w14:solidFill>
                    <w14:schemeClr w14:val="tx1"/>
                  </w14:solidFill>
                </w14:textFill>
              </w:rPr>
            </w:pPr>
          </w:p>
        </w:tc>
        <w:tc>
          <w:tcPr>
            <w:tcW w:w="1160" w:type="dxa"/>
          </w:tcPr>
          <w:p w14:paraId="46FD6E98">
            <w:pPr>
              <w:rPr>
                <w:rFonts w:ascii="Arial"/>
                <w:color w:val="000000" w:themeColor="text1"/>
                <w:highlight w:val="none"/>
                <w14:textFill>
                  <w14:solidFill>
                    <w14:schemeClr w14:val="tx1"/>
                  </w14:solidFill>
                </w14:textFill>
              </w:rPr>
            </w:pPr>
          </w:p>
        </w:tc>
        <w:tc>
          <w:tcPr>
            <w:tcW w:w="1160" w:type="dxa"/>
          </w:tcPr>
          <w:p w14:paraId="4B13F1BC">
            <w:pPr>
              <w:rPr>
                <w:rFonts w:ascii="Arial"/>
                <w:color w:val="000000" w:themeColor="text1"/>
                <w:highlight w:val="none"/>
                <w14:textFill>
                  <w14:solidFill>
                    <w14:schemeClr w14:val="tx1"/>
                  </w14:solidFill>
                </w14:textFill>
              </w:rPr>
            </w:pPr>
          </w:p>
        </w:tc>
        <w:tc>
          <w:tcPr>
            <w:tcW w:w="1165" w:type="dxa"/>
          </w:tcPr>
          <w:p w14:paraId="0215188A">
            <w:pPr>
              <w:rPr>
                <w:rFonts w:ascii="Arial"/>
                <w:color w:val="000000" w:themeColor="text1"/>
                <w:highlight w:val="none"/>
                <w14:textFill>
                  <w14:solidFill>
                    <w14:schemeClr w14:val="tx1"/>
                  </w14:solidFill>
                </w14:textFill>
              </w:rPr>
            </w:pPr>
          </w:p>
        </w:tc>
      </w:tr>
      <w:tr w14:paraId="497B3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62DBAD19">
            <w:pPr>
              <w:rPr>
                <w:rFonts w:ascii="Arial"/>
                <w:color w:val="000000" w:themeColor="text1"/>
                <w:highlight w:val="none"/>
                <w14:textFill>
                  <w14:solidFill>
                    <w14:schemeClr w14:val="tx1"/>
                  </w14:solidFill>
                </w14:textFill>
              </w:rPr>
            </w:pPr>
          </w:p>
        </w:tc>
        <w:tc>
          <w:tcPr>
            <w:tcW w:w="1160" w:type="dxa"/>
          </w:tcPr>
          <w:p w14:paraId="629398F3">
            <w:pPr>
              <w:rPr>
                <w:rFonts w:ascii="Arial"/>
                <w:color w:val="000000" w:themeColor="text1"/>
                <w:highlight w:val="none"/>
                <w14:textFill>
                  <w14:solidFill>
                    <w14:schemeClr w14:val="tx1"/>
                  </w14:solidFill>
                </w14:textFill>
              </w:rPr>
            </w:pPr>
          </w:p>
        </w:tc>
        <w:tc>
          <w:tcPr>
            <w:tcW w:w="1161" w:type="dxa"/>
          </w:tcPr>
          <w:p w14:paraId="3CF5590B">
            <w:pPr>
              <w:rPr>
                <w:rFonts w:ascii="Arial"/>
                <w:color w:val="000000" w:themeColor="text1"/>
                <w:highlight w:val="none"/>
                <w14:textFill>
                  <w14:solidFill>
                    <w14:schemeClr w14:val="tx1"/>
                  </w14:solidFill>
                </w14:textFill>
              </w:rPr>
            </w:pPr>
          </w:p>
        </w:tc>
        <w:tc>
          <w:tcPr>
            <w:tcW w:w="1160" w:type="dxa"/>
          </w:tcPr>
          <w:p w14:paraId="1349A446">
            <w:pPr>
              <w:rPr>
                <w:rFonts w:ascii="Arial"/>
                <w:color w:val="000000" w:themeColor="text1"/>
                <w:highlight w:val="none"/>
                <w14:textFill>
                  <w14:solidFill>
                    <w14:schemeClr w14:val="tx1"/>
                  </w14:solidFill>
                </w14:textFill>
              </w:rPr>
            </w:pPr>
          </w:p>
        </w:tc>
        <w:tc>
          <w:tcPr>
            <w:tcW w:w="1161" w:type="dxa"/>
          </w:tcPr>
          <w:p w14:paraId="2DAC118B">
            <w:pPr>
              <w:rPr>
                <w:rFonts w:ascii="Arial"/>
                <w:color w:val="000000" w:themeColor="text1"/>
                <w:highlight w:val="none"/>
                <w14:textFill>
                  <w14:solidFill>
                    <w14:schemeClr w14:val="tx1"/>
                  </w14:solidFill>
                </w14:textFill>
              </w:rPr>
            </w:pPr>
          </w:p>
        </w:tc>
        <w:tc>
          <w:tcPr>
            <w:tcW w:w="1160" w:type="dxa"/>
          </w:tcPr>
          <w:p w14:paraId="3A5B038F">
            <w:pPr>
              <w:rPr>
                <w:rFonts w:ascii="Arial"/>
                <w:color w:val="000000" w:themeColor="text1"/>
                <w:highlight w:val="none"/>
                <w14:textFill>
                  <w14:solidFill>
                    <w14:schemeClr w14:val="tx1"/>
                  </w14:solidFill>
                </w14:textFill>
              </w:rPr>
            </w:pPr>
          </w:p>
        </w:tc>
        <w:tc>
          <w:tcPr>
            <w:tcW w:w="1160" w:type="dxa"/>
          </w:tcPr>
          <w:p w14:paraId="77882F5D">
            <w:pPr>
              <w:rPr>
                <w:rFonts w:ascii="Arial"/>
                <w:color w:val="000000" w:themeColor="text1"/>
                <w:highlight w:val="none"/>
                <w14:textFill>
                  <w14:solidFill>
                    <w14:schemeClr w14:val="tx1"/>
                  </w14:solidFill>
                </w14:textFill>
              </w:rPr>
            </w:pPr>
          </w:p>
        </w:tc>
        <w:tc>
          <w:tcPr>
            <w:tcW w:w="1165" w:type="dxa"/>
          </w:tcPr>
          <w:p w14:paraId="091B8C46">
            <w:pPr>
              <w:rPr>
                <w:rFonts w:ascii="Arial"/>
                <w:color w:val="000000" w:themeColor="text1"/>
                <w:highlight w:val="none"/>
                <w14:textFill>
                  <w14:solidFill>
                    <w14:schemeClr w14:val="tx1"/>
                  </w14:solidFill>
                </w14:textFill>
              </w:rPr>
            </w:pPr>
          </w:p>
        </w:tc>
      </w:tr>
      <w:tr w14:paraId="79104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306E61FE">
            <w:pPr>
              <w:pStyle w:val="124"/>
              <w:spacing w:before="132" w:line="265" w:lineRule="exact"/>
              <w:ind w:left="482"/>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三</w:t>
            </w:r>
          </w:p>
        </w:tc>
        <w:tc>
          <w:tcPr>
            <w:tcW w:w="1160" w:type="dxa"/>
          </w:tcPr>
          <w:p w14:paraId="67B56F3D">
            <w:pPr>
              <w:pStyle w:val="124"/>
              <w:spacing w:before="132" w:line="228" w:lineRule="auto"/>
              <w:ind w:left="269"/>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砂石料</w:t>
            </w:r>
          </w:p>
        </w:tc>
        <w:tc>
          <w:tcPr>
            <w:tcW w:w="1161" w:type="dxa"/>
          </w:tcPr>
          <w:p w14:paraId="135AA8E3">
            <w:pPr>
              <w:rPr>
                <w:rFonts w:ascii="Arial"/>
                <w:color w:val="000000" w:themeColor="text1"/>
                <w:highlight w:val="none"/>
                <w14:textFill>
                  <w14:solidFill>
                    <w14:schemeClr w14:val="tx1"/>
                  </w14:solidFill>
                </w14:textFill>
              </w:rPr>
            </w:pPr>
          </w:p>
        </w:tc>
        <w:tc>
          <w:tcPr>
            <w:tcW w:w="1160" w:type="dxa"/>
          </w:tcPr>
          <w:p w14:paraId="3264F938">
            <w:pPr>
              <w:rPr>
                <w:rFonts w:ascii="Arial"/>
                <w:color w:val="000000" w:themeColor="text1"/>
                <w:highlight w:val="none"/>
                <w14:textFill>
                  <w14:solidFill>
                    <w14:schemeClr w14:val="tx1"/>
                  </w14:solidFill>
                </w14:textFill>
              </w:rPr>
            </w:pPr>
          </w:p>
        </w:tc>
        <w:tc>
          <w:tcPr>
            <w:tcW w:w="1161" w:type="dxa"/>
          </w:tcPr>
          <w:p w14:paraId="0F172B87">
            <w:pPr>
              <w:pStyle w:val="124"/>
              <w:spacing w:before="131" w:line="231" w:lineRule="auto"/>
              <w:ind w:left="499"/>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w:t>
            </w:r>
          </w:p>
        </w:tc>
        <w:tc>
          <w:tcPr>
            <w:tcW w:w="1160" w:type="dxa"/>
          </w:tcPr>
          <w:p w14:paraId="0869CE9F">
            <w:pPr>
              <w:pStyle w:val="124"/>
              <w:spacing w:before="132" w:line="228" w:lineRule="auto"/>
              <w:ind w:left="378"/>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油料</w:t>
            </w:r>
          </w:p>
        </w:tc>
        <w:tc>
          <w:tcPr>
            <w:tcW w:w="1160" w:type="dxa"/>
          </w:tcPr>
          <w:p w14:paraId="485A5497">
            <w:pPr>
              <w:rPr>
                <w:rFonts w:ascii="Arial"/>
                <w:color w:val="000000" w:themeColor="text1"/>
                <w:highlight w:val="none"/>
                <w14:textFill>
                  <w14:solidFill>
                    <w14:schemeClr w14:val="tx1"/>
                  </w14:solidFill>
                </w14:textFill>
              </w:rPr>
            </w:pPr>
          </w:p>
        </w:tc>
        <w:tc>
          <w:tcPr>
            <w:tcW w:w="1165" w:type="dxa"/>
          </w:tcPr>
          <w:p w14:paraId="5F24B94B">
            <w:pPr>
              <w:rPr>
                <w:rFonts w:ascii="Arial"/>
                <w:color w:val="000000" w:themeColor="text1"/>
                <w:highlight w:val="none"/>
                <w14:textFill>
                  <w14:solidFill>
                    <w14:schemeClr w14:val="tx1"/>
                  </w14:solidFill>
                </w14:textFill>
              </w:rPr>
            </w:pPr>
          </w:p>
        </w:tc>
      </w:tr>
      <w:tr w14:paraId="55053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2062B9CE">
            <w:pPr>
              <w:rPr>
                <w:rFonts w:ascii="Arial"/>
                <w:color w:val="000000" w:themeColor="text1"/>
                <w:highlight w:val="none"/>
                <w14:textFill>
                  <w14:solidFill>
                    <w14:schemeClr w14:val="tx1"/>
                  </w14:solidFill>
                </w14:textFill>
              </w:rPr>
            </w:pPr>
          </w:p>
        </w:tc>
        <w:tc>
          <w:tcPr>
            <w:tcW w:w="1160" w:type="dxa"/>
          </w:tcPr>
          <w:p w14:paraId="61929E7F">
            <w:pPr>
              <w:rPr>
                <w:rFonts w:ascii="Arial"/>
                <w:color w:val="000000" w:themeColor="text1"/>
                <w:highlight w:val="none"/>
                <w14:textFill>
                  <w14:solidFill>
                    <w14:schemeClr w14:val="tx1"/>
                  </w14:solidFill>
                </w14:textFill>
              </w:rPr>
            </w:pPr>
          </w:p>
        </w:tc>
        <w:tc>
          <w:tcPr>
            <w:tcW w:w="1161" w:type="dxa"/>
          </w:tcPr>
          <w:p w14:paraId="6BCD323E">
            <w:pPr>
              <w:rPr>
                <w:rFonts w:ascii="Arial"/>
                <w:color w:val="000000" w:themeColor="text1"/>
                <w:highlight w:val="none"/>
                <w14:textFill>
                  <w14:solidFill>
                    <w14:schemeClr w14:val="tx1"/>
                  </w14:solidFill>
                </w14:textFill>
              </w:rPr>
            </w:pPr>
          </w:p>
        </w:tc>
        <w:tc>
          <w:tcPr>
            <w:tcW w:w="1160" w:type="dxa"/>
          </w:tcPr>
          <w:p w14:paraId="73A87804">
            <w:pPr>
              <w:rPr>
                <w:rFonts w:ascii="Arial"/>
                <w:color w:val="000000" w:themeColor="text1"/>
                <w:highlight w:val="none"/>
                <w14:textFill>
                  <w14:solidFill>
                    <w14:schemeClr w14:val="tx1"/>
                  </w14:solidFill>
                </w14:textFill>
              </w:rPr>
            </w:pPr>
          </w:p>
        </w:tc>
        <w:tc>
          <w:tcPr>
            <w:tcW w:w="1161" w:type="dxa"/>
          </w:tcPr>
          <w:p w14:paraId="4B76FC1E">
            <w:pPr>
              <w:rPr>
                <w:rFonts w:ascii="Arial"/>
                <w:color w:val="000000" w:themeColor="text1"/>
                <w:highlight w:val="none"/>
                <w14:textFill>
                  <w14:solidFill>
                    <w14:schemeClr w14:val="tx1"/>
                  </w14:solidFill>
                </w14:textFill>
              </w:rPr>
            </w:pPr>
          </w:p>
        </w:tc>
        <w:tc>
          <w:tcPr>
            <w:tcW w:w="1160" w:type="dxa"/>
          </w:tcPr>
          <w:p w14:paraId="43D5D2AC">
            <w:pPr>
              <w:rPr>
                <w:rFonts w:ascii="Arial"/>
                <w:color w:val="000000" w:themeColor="text1"/>
                <w:highlight w:val="none"/>
                <w14:textFill>
                  <w14:solidFill>
                    <w14:schemeClr w14:val="tx1"/>
                  </w14:solidFill>
                </w14:textFill>
              </w:rPr>
            </w:pPr>
          </w:p>
        </w:tc>
        <w:tc>
          <w:tcPr>
            <w:tcW w:w="1160" w:type="dxa"/>
          </w:tcPr>
          <w:p w14:paraId="2568639E">
            <w:pPr>
              <w:rPr>
                <w:rFonts w:ascii="Arial"/>
                <w:color w:val="000000" w:themeColor="text1"/>
                <w:highlight w:val="none"/>
                <w14:textFill>
                  <w14:solidFill>
                    <w14:schemeClr w14:val="tx1"/>
                  </w14:solidFill>
                </w14:textFill>
              </w:rPr>
            </w:pPr>
          </w:p>
        </w:tc>
        <w:tc>
          <w:tcPr>
            <w:tcW w:w="1165" w:type="dxa"/>
          </w:tcPr>
          <w:p w14:paraId="42525CFC">
            <w:pPr>
              <w:rPr>
                <w:rFonts w:ascii="Arial"/>
                <w:color w:val="000000" w:themeColor="text1"/>
                <w:highlight w:val="none"/>
                <w14:textFill>
                  <w14:solidFill>
                    <w14:schemeClr w14:val="tx1"/>
                  </w14:solidFill>
                </w14:textFill>
              </w:rPr>
            </w:pPr>
          </w:p>
        </w:tc>
      </w:tr>
      <w:tr w14:paraId="169BC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63EC1D12">
            <w:pPr>
              <w:rPr>
                <w:rFonts w:ascii="Arial"/>
                <w:color w:val="000000" w:themeColor="text1"/>
                <w:highlight w:val="none"/>
                <w14:textFill>
                  <w14:solidFill>
                    <w14:schemeClr w14:val="tx1"/>
                  </w14:solidFill>
                </w14:textFill>
              </w:rPr>
            </w:pPr>
          </w:p>
        </w:tc>
        <w:tc>
          <w:tcPr>
            <w:tcW w:w="1160" w:type="dxa"/>
          </w:tcPr>
          <w:p w14:paraId="21C80D64">
            <w:pPr>
              <w:rPr>
                <w:rFonts w:ascii="Arial"/>
                <w:color w:val="000000" w:themeColor="text1"/>
                <w:highlight w:val="none"/>
                <w14:textFill>
                  <w14:solidFill>
                    <w14:schemeClr w14:val="tx1"/>
                  </w14:solidFill>
                </w14:textFill>
              </w:rPr>
            </w:pPr>
          </w:p>
        </w:tc>
        <w:tc>
          <w:tcPr>
            <w:tcW w:w="1161" w:type="dxa"/>
          </w:tcPr>
          <w:p w14:paraId="3CD46E56">
            <w:pPr>
              <w:rPr>
                <w:rFonts w:ascii="Arial"/>
                <w:color w:val="000000" w:themeColor="text1"/>
                <w:highlight w:val="none"/>
                <w14:textFill>
                  <w14:solidFill>
                    <w14:schemeClr w14:val="tx1"/>
                  </w14:solidFill>
                </w14:textFill>
              </w:rPr>
            </w:pPr>
          </w:p>
        </w:tc>
        <w:tc>
          <w:tcPr>
            <w:tcW w:w="1160" w:type="dxa"/>
          </w:tcPr>
          <w:p w14:paraId="256617D1">
            <w:pPr>
              <w:rPr>
                <w:rFonts w:ascii="Arial"/>
                <w:color w:val="000000" w:themeColor="text1"/>
                <w:highlight w:val="none"/>
                <w14:textFill>
                  <w14:solidFill>
                    <w14:schemeClr w14:val="tx1"/>
                  </w14:solidFill>
                </w14:textFill>
              </w:rPr>
            </w:pPr>
          </w:p>
        </w:tc>
        <w:tc>
          <w:tcPr>
            <w:tcW w:w="1161" w:type="dxa"/>
          </w:tcPr>
          <w:p w14:paraId="453E73F4">
            <w:pPr>
              <w:rPr>
                <w:rFonts w:ascii="Arial"/>
                <w:color w:val="000000" w:themeColor="text1"/>
                <w:highlight w:val="none"/>
                <w14:textFill>
                  <w14:solidFill>
                    <w14:schemeClr w14:val="tx1"/>
                  </w14:solidFill>
                </w14:textFill>
              </w:rPr>
            </w:pPr>
          </w:p>
        </w:tc>
        <w:tc>
          <w:tcPr>
            <w:tcW w:w="1160" w:type="dxa"/>
          </w:tcPr>
          <w:p w14:paraId="617E4EDC">
            <w:pPr>
              <w:rPr>
                <w:rFonts w:ascii="Arial"/>
                <w:color w:val="000000" w:themeColor="text1"/>
                <w:highlight w:val="none"/>
                <w14:textFill>
                  <w14:solidFill>
                    <w14:schemeClr w14:val="tx1"/>
                  </w14:solidFill>
                </w14:textFill>
              </w:rPr>
            </w:pPr>
          </w:p>
        </w:tc>
        <w:tc>
          <w:tcPr>
            <w:tcW w:w="1160" w:type="dxa"/>
          </w:tcPr>
          <w:p w14:paraId="1EAFA100">
            <w:pPr>
              <w:rPr>
                <w:rFonts w:ascii="Arial"/>
                <w:color w:val="000000" w:themeColor="text1"/>
                <w:highlight w:val="none"/>
                <w14:textFill>
                  <w14:solidFill>
                    <w14:schemeClr w14:val="tx1"/>
                  </w14:solidFill>
                </w14:textFill>
              </w:rPr>
            </w:pPr>
          </w:p>
        </w:tc>
        <w:tc>
          <w:tcPr>
            <w:tcW w:w="1165" w:type="dxa"/>
          </w:tcPr>
          <w:p w14:paraId="6EEE63C6">
            <w:pPr>
              <w:rPr>
                <w:rFonts w:ascii="Arial"/>
                <w:color w:val="000000" w:themeColor="text1"/>
                <w:highlight w:val="none"/>
                <w14:textFill>
                  <w14:solidFill>
                    <w14:schemeClr w14:val="tx1"/>
                  </w14:solidFill>
                </w14:textFill>
              </w:rPr>
            </w:pPr>
          </w:p>
        </w:tc>
      </w:tr>
      <w:tr w14:paraId="5DB97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06E36537">
            <w:pPr>
              <w:pStyle w:val="124"/>
              <w:spacing w:before="134" w:line="238" w:lineRule="auto"/>
              <w:ind w:left="48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w:t>
            </w:r>
          </w:p>
        </w:tc>
        <w:tc>
          <w:tcPr>
            <w:tcW w:w="1160" w:type="dxa"/>
          </w:tcPr>
          <w:p w14:paraId="4D698C6C">
            <w:pPr>
              <w:pStyle w:val="124"/>
              <w:spacing w:before="134" w:line="228" w:lineRule="auto"/>
              <w:ind w:left="373"/>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其他</w:t>
            </w:r>
          </w:p>
        </w:tc>
        <w:tc>
          <w:tcPr>
            <w:tcW w:w="1161" w:type="dxa"/>
          </w:tcPr>
          <w:p w14:paraId="7A8FA0FA">
            <w:pPr>
              <w:rPr>
                <w:rFonts w:ascii="Arial"/>
                <w:color w:val="000000" w:themeColor="text1"/>
                <w:highlight w:val="none"/>
                <w14:textFill>
                  <w14:solidFill>
                    <w14:schemeClr w14:val="tx1"/>
                  </w14:solidFill>
                </w14:textFill>
              </w:rPr>
            </w:pPr>
          </w:p>
        </w:tc>
        <w:tc>
          <w:tcPr>
            <w:tcW w:w="1160" w:type="dxa"/>
          </w:tcPr>
          <w:p w14:paraId="1F13E6A9">
            <w:pPr>
              <w:rPr>
                <w:rFonts w:ascii="Arial"/>
                <w:color w:val="000000" w:themeColor="text1"/>
                <w:highlight w:val="none"/>
                <w14:textFill>
                  <w14:solidFill>
                    <w14:schemeClr w14:val="tx1"/>
                  </w14:solidFill>
                </w14:textFill>
              </w:rPr>
            </w:pPr>
          </w:p>
        </w:tc>
        <w:tc>
          <w:tcPr>
            <w:tcW w:w="1161" w:type="dxa"/>
          </w:tcPr>
          <w:p w14:paraId="1762194A">
            <w:pPr>
              <w:rPr>
                <w:rFonts w:ascii="Arial"/>
                <w:color w:val="000000" w:themeColor="text1"/>
                <w:highlight w:val="none"/>
                <w14:textFill>
                  <w14:solidFill>
                    <w14:schemeClr w14:val="tx1"/>
                  </w14:solidFill>
                </w14:textFill>
              </w:rPr>
            </w:pPr>
          </w:p>
        </w:tc>
        <w:tc>
          <w:tcPr>
            <w:tcW w:w="1160" w:type="dxa"/>
          </w:tcPr>
          <w:p w14:paraId="34DFB793">
            <w:pPr>
              <w:rPr>
                <w:rFonts w:ascii="Arial"/>
                <w:color w:val="000000" w:themeColor="text1"/>
                <w:highlight w:val="none"/>
                <w14:textFill>
                  <w14:solidFill>
                    <w14:schemeClr w14:val="tx1"/>
                  </w14:solidFill>
                </w14:textFill>
              </w:rPr>
            </w:pPr>
          </w:p>
        </w:tc>
        <w:tc>
          <w:tcPr>
            <w:tcW w:w="1160" w:type="dxa"/>
          </w:tcPr>
          <w:p w14:paraId="5FC88264">
            <w:pPr>
              <w:rPr>
                <w:rFonts w:ascii="Arial"/>
                <w:color w:val="000000" w:themeColor="text1"/>
                <w:highlight w:val="none"/>
                <w14:textFill>
                  <w14:solidFill>
                    <w14:schemeClr w14:val="tx1"/>
                  </w14:solidFill>
                </w14:textFill>
              </w:rPr>
            </w:pPr>
          </w:p>
        </w:tc>
        <w:tc>
          <w:tcPr>
            <w:tcW w:w="1165" w:type="dxa"/>
          </w:tcPr>
          <w:p w14:paraId="127AA14C">
            <w:pPr>
              <w:rPr>
                <w:rFonts w:ascii="Arial"/>
                <w:color w:val="000000" w:themeColor="text1"/>
                <w:highlight w:val="none"/>
                <w14:textFill>
                  <w14:solidFill>
                    <w14:schemeClr w14:val="tx1"/>
                  </w14:solidFill>
                </w14:textFill>
              </w:rPr>
            </w:pPr>
          </w:p>
        </w:tc>
      </w:tr>
      <w:tr w14:paraId="7D3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67D01283">
            <w:pPr>
              <w:rPr>
                <w:rFonts w:ascii="Arial"/>
                <w:color w:val="000000" w:themeColor="text1"/>
                <w:highlight w:val="none"/>
                <w14:textFill>
                  <w14:solidFill>
                    <w14:schemeClr w14:val="tx1"/>
                  </w14:solidFill>
                </w14:textFill>
              </w:rPr>
            </w:pPr>
          </w:p>
        </w:tc>
        <w:tc>
          <w:tcPr>
            <w:tcW w:w="1160" w:type="dxa"/>
          </w:tcPr>
          <w:p w14:paraId="6901DEBB">
            <w:pPr>
              <w:rPr>
                <w:rFonts w:ascii="Arial"/>
                <w:color w:val="000000" w:themeColor="text1"/>
                <w:highlight w:val="none"/>
                <w14:textFill>
                  <w14:solidFill>
                    <w14:schemeClr w14:val="tx1"/>
                  </w14:solidFill>
                </w14:textFill>
              </w:rPr>
            </w:pPr>
          </w:p>
        </w:tc>
        <w:tc>
          <w:tcPr>
            <w:tcW w:w="1161" w:type="dxa"/>
          </w:tcPr>
          <w:p w14:paraId="4B0D38D4">
            <w:pPr>
              <w:rPr>
                <w:rFonts w:ascii="Arial"/>
                <w:color w:val="000000" w:themeColor="text1"/>
                <w:highlight w:val="none"/>
                <w14:textFill>
                  <w14:solidFill>
                    <w14:schemeClr w14:val="tx1"/>
                  </w14:solidFill>
                </w14:textFill>
              </w:rPr>
            </w:pPr>
          </w:p>
        </w:tc>
        <w:tc>
          <w:tcPr>
            <w:tcW w:w="1160" w:type="dxa"/>
          </w:tcPr>
          <w:p w14:paraId="47438483">
            <w:pPr>
              <w:rPr>
                <w:rFonts w:ascii="Arial"/>
                <w:color w:val="000000" w:themeColor="text1"/>
                <w:highlight w:val="none"/>
                <w14:textFill>
                  <w14:solidFill>
                    <w14:schemeClr w14:val="tx1"/>
                  </w14:solidFill>
                </w14:textFill>
              </w:rPr>
            </w:pPr>
          </w:p>
        </w:tc>
        <w:tc>
          <w:tcPr>
            <w:tcW w:w="1161" w:type="dxa"/>
          </w:tcPr>
          <w:p w14:paraId="431F08EC">
            <w:pPr>
              <w:rPr>
                <w:rFonts w:ascii="Arial"/>
                <w:color w:val="000000" w:themeColor="text1"/>
                <w:highlight w:val="none"/>
                <w14:textFill>
                  <w14:solidFill>
                    <w14:schemeClr w14:val="tx1"/>
                  </w14:solidFill>
                </w14:textFill>
              </w:rPr>
            </w:pPr>
          </w:p>
        </w:tc>
        <w:tc>
          <w:tcPr>
            <w:tcW w:w="1160" w:type="dxa"/>
          </w:tcPr>
          <w:p w14:paraId="14ECD53B">
            <w:pPr>
              <w:rPr>
                <w:rFonts w:ascii="Arial"/>
                <w:color w:val="000000" w:themeColor="text1"/>
                <w:highlight w:val="none"/>
                <w14:textFill>
                  <w14:solidFill>
                    <w14:schemeClr w14:val="tx1"/>
                  </w14:solidFill>
                </w14:textFill>
              </w:rPr>
            </w:pPr>
          </w:p>
        </w:tc>
        <w:tc>
          <w:tcPr>
            <w:tcW w:w="1160" w:type="dxa"/>
          </w:tcPr>
          <w:p w14:paraId="003003DA">
            <w:pPr>
              <w:rPr>
                <w:rFonts w:ascii="Arial"/>
                <w:color w:val="000000" w:themeColor="text1"/>
                <w:highlight w:val="none"/>
                <w14:textFill>
                  <w14:solidFill>
                    <w14:schemeClr w14:val="tx1"/>
                  </w14:solidFill>
                </w14:textFill>
              </w:rPr>
            </w:pPr>
          </w:p>
        </w:tc>
        <w:tc>
          <w:tcPr>
            <w:tcW w:w="1165" w:type="dxa"/>
          </w:tcPr>
          <w:p w14:paraId="2A37874D">
            <w:pPr>
              <w:rPr>
                <w:rFonts w:ascii="Arial"/>
                <w:color w:val="000000" w:themeColor="text1"/>
                <w:highlight w:val="none"/>
                <w14:textFill>
                  <w14:solidFill>
                    <w14:schemeClr w14:val="tx1"/>
                  </w14:solidFill>
                </w14:textFill>
              </w:rPr>
            </w:pPr>
          </w:p>
        </w:tc>
      </w:tr>
      <w:tr w14:paraId="41ECB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6" w:hRule="atLeast"/>
        </w:trPr>
        <w:tc>
          <w:tcPr>
            <w:tcW w:w="9292" w:type="dxa"/>
            <w:gridSpan w:val="8"/>
          </w:tcPr>
          <w:p w14:paraId="7EFEE804">
            <w:pPr>
              <w:pStyle w:val="124"/>
              <w:spacing w:before="277" w:line="228" w:lineRule="auto"/>
              <w:ind w:left="117"/>
              <w:rPr>
                <w:rFonts w:hint="eastAsia"/>
                <w:color w:val="000000" w:themeColor="text1"/>
                <w:highlight w:val="none"/>
                <w:lang w:eastAsia="zh-CN"/>
                <w14:textFill>
                  <w14:solidFill>
                    <w14:schemeClr w14:val="tx1"/>
                  </w14:solidFill>
                </w14:textFill>
              </w:rPr>
            </w:pPr>
            <w:r>
              <w:rPr>
                <w:color w:val="000000" w:themeColor="text1"/>
                <w:spacing w:val="2"/>
                <w:highlight w:val="none"/>
                <w:lang w:eastAsia="zh-CN"/>
                <w14:textFill>
                  <w14:solidFill>
                    <w14:schemeClr w14:val="tx1"/>
                  </w14:solidFill>
                </w14:textFill>
              </w:rPr>
              <w:t>说明：</w:t>
            </w:r>
          </w:p>
          <w:p w14:paraId="2CF90E41">
            <w:pPr>
              <w:pStyle w:val="124"/>
              <w:spacing w:before="220" w:line="364" w:lineRule="auto"/>
              <w:ind w:left="115" w:right="110" w:firstLine="14"/>
              <w:rPr>
                <w:rFonts w:hint="eastAsia"/>
                <w:color w:val="000000" w:themeColor="text1"/>
                <w:highlight w:val="none"/>
                <w:lang w:eastAsia="zh-CN"/>
                <w14:textFill>
                  <w14:solidFill>
                    <w14:schemeClr w14:val="tx1"/>
                  </w14:solidFill>
                </w14:textFill>
              </w:rPr>
            </w:pPr>
            <w:r>
              <w:rPr>
                <w:color w:val="000000" w:themeColor="text1"/>
                <w:spacing w:val="10"/>
                <w:highlight w:val="none"/>
                <w:lang w:eastAsia="zh-CN"/>
                <w14:textFill>
                  <w14:solidFill>
                    <w14:schemeClr w14:val="tx1"/>
                  </w14:solidFill>
                </w14:textFill>
              </w:rPr>
              <w:t>1.当采用商品水泥混凝土、商品沥青混凝土、混凝土构件、钢筋混凝土构件、钢构件等</w:t>
            </w:r>
            <w:r>
              <w:rPr>
                <w:color w:val="000000" w:themeColor="text1"/>
                <w:spacing w:val="9"/>
                <w:highlight w:val="none"/>
                <w:lang w:eastAsia="zh-CN"/>
                <w14:textFill>
                  <w14:solidFill>
                    <w14:schemeClr w14:val="tx1"/>
                  </w14:solidFill>
                </w14:textFill>
              </w:rPr>
              <w:t>半成品时：</w:t>
            </w:r>
            <w:r>
              <w:rPr>
                <w:color w:val="000000" w:themeColor="text1"/>
                <w:spacing w:val="11"/>
                <w:highlight w:val="none"/>
                <w:lang w:eastAsia="zh-CN"/>
                <w14:textFill>
                  <w14:solidFill>
                    <w14:schemeClr w14:val="tx1"/>
                  </w14:solidFill>
                </w14:textFill>
              </w:rPr>
              <w:t>若有对应的地区发布的半成品信息价，则按信息价调差；若没有该</w:t>
            </w:r>
            <w:r>
              <w:rPr>
                <w:color w:val="000000" w:themeColor="text1"/>
                <w:spacing w:val="10"/>
                <w:highlight w:val="none"/>
                <w:lang w:eastAsia="zh-CN"/>
                <w14:textFill>
                  <w14:solidFill>
                    <w14:schemeClr w14:val="tx1"/>
                  </w14:solidFill>
                </w14:textFill>
              </w:rPr>
              <w:t>信息价，则按照交通运输部颁布</w:t>
            </w:r>
            <w:r>
              <w:rPr>
                <w:color w:val="000000" w:themeColor="text1"/>
                <w:spacing w:val="9"/>
                <w:highlight w:val="none"/>
                <w:lang w:eastAsia="zh-CN"/>
                <w14:textFill>
                  <w14:solidFill>
                    <w14:schemeClr w14:val="tx1"/>
                  </w14:solidFill>
                </w14:textFill>
              </w:rPr>
              <w:t>的《公路工程预算定额》附录中的配合比表，将半成品换算成对应的组成材料后进行调差。</w:t>
            </w:r>
          </w:p>
          <w:p w14:paraId="1C183F30">
            <w:pPr>
              <w:pStyle w:val="124"/>
              <w:spacing w:before="222" w:line="227" w:lineRule="auto"/>
              <w:ind w:left="117"/>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2.表中材料代号按交通运输部颁布的《公路工程预算定额》编</w:t>
            </w:r>
            <w:r>
              <w:rPr>
                <w:color w:val="000000" w:themeColor="text1"/>
                <w:spacing w:val="8"/>
                <w:highlight w:val="none"/>
                <w:lang w:eastAsia="zh-CN"/>
                <w14:textFill>
                  <w14:solidFill>
                    <w14:schemeClr w14:val="tx1"/>
                  </w14:solidFill>
                </w14:textFill>
              </w:rPr>
              <w:t>制。</w:t>
            </w:r>
          </w:p>
        </w:tc>
      </w:tr>
    </w:tbl>
    <w:p w14:paraId="7F82F658">
      <w:pPr>
        <w:pStyle w:val="3"/>
        <w:spacing w:line="251" w:lineRule="auto"/>
        <w:rPr>
          <w:color w:val="000000" w:themeColor="text1"/>
          <w:highlight w:val="none"/>
          <w14:textFill>
            <w14:solidFill>
              <w14:schemeClr w14:val="tx1"/>
            </w14:solidFill>
          </w14:textFill>
        </w:rPr>
      </w:pPr>
    </w:p>
    <w:p w14:paraId="22A6207C">
      <w:pPr>
        <w:spacing w:before="78" w:line="218" w:lineRule="auto"/>
        <w:ind w:left="61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16.1.2.2.3</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风险幅度（r）</w:t>
      </w:r>
    </w:p>
    <w:p w14:paraId="24BBEDA5">
      <w:pPr>
        <w:spacing w:before="184" w:line="360" w:lineRule="auto"/>
        <w:ind w:left="121" w:right="113"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风险幅度是指交通建设项目合同双方各自应承担的材料价格涨跌风险比例大小。风险幅度范围内的价差应作为建设单位（项目法人）、承包人的风险，不予调差。各类材料幅度系数如下:</w:t>
      </w:r>
    </w:p>
    <w:p w14:paraId="7554E496">
      <w:pPr>
        <w:spacing w:before="1" w:line="217" w:lineRule="auto"/>
        <w:ind w:left="6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砂石料，r＝</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1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6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(幅度系数范围为（-5～+5）%)</w:t>
      </w:r>
    </w:p>
    <w:p w14:paraId="7084385E">
      <w:pPr>
        <w:spacing w:before="184" w:line="218" w:lineRule="auto"/>
        <w:ind w:left="60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水泥、半成品，r＝</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1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6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(幅度系数范围为（-4～+4）%)</w:t>
      </w:r>
    </w:p>
    <w:p w14:paraId="0C3A609F">
      <w:pPr>
        <w:spacing w:before="185" w:line="218" w:lineRule="auto"/>
        <w:ind w:left="599"/>
        <w:rPr>
          <w:color w:val="000000" w:themeColor="text1"/>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钢材、油料及其他，r＝</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03"/>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6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(幅度系数范围为（-3～+3）%)</w:t>
      </w:r>
    </w:p>
    <w:p w14:paraId="036D91E5">
      <w:pPr>
        <w:spacing w:before="78" w:line="219" w:lineRule="auto"/>
        <w:ind w:left="61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16.1.2.2.4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计算方法</w:t>
      </w:r>
    </w:p>
    <w:p w14:paraId="42220E9E">
      <w:pPr>
        <w:spacing w:before="182" w:line="220" w:lineRule="auto"/>
        <w:ind w:left="6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9"/>
          <w:sz w:val="24"/>
          <w:highlight w:val="none"/>
          <w14:textFill>
            <w14:solidFill>
              <w14:schemeClr w14:val="tx1"/>
            </w14:solidFill>
          </w14:textFill>
        </w:rPr>
        <w:t>ΔC= (</w:t>
      </w:r>
      <w:r>
        <w:rPr>
          <w:rFonts w:ascii="宋体" w:hAnsi="宋体" w:cs="宋体"/>
          <w:color w:val="000000" w:themeColor="text1"/>
          <w:spacing w:val="-27"/>
          <w:sz w:val="24"/>
          <w:highlight w:val="none"/>
          <w14:textFill>
            <w14:solidFill>
              <w14:schemeClr w14:val="tx1"/>
            </w14:solidFill>
          </w14:textFill>
        </w:rPr>
        <w:t xml:space="preserve"> </w:t>
      </w:r>
      <w:r>
        <w:rPr>
          <w:rFonts w:ascii="宋体" w:hAnsi="宋体" w:cs="宋体"/>
          <w:color w:val="000000" w:themeColor="text1"/>
          <w:spacing w:val="-9"/>
          <w:sz w:val="24"/>
          <w:highlight w:val="none"/>
          <w14:textFill>
            <w14:solidFill>
              <w14:schemeClr w14:val="tx1"/>
            </w14:solidFill>
          </w14:textFill>
        </w:rPr>
        <w:t>ΔP-Po×r）</w:t>
      </w:r>
      <w:r>
        <w:rPr>
          <w:rFonts w:ascii="宋体" w:hAnsi="宋体" w:cs="宋体"/>
          <w:color w:val="000000" w:themeColor="text1"/>
          <w:spacing w:val="-77"/>
          <w:sz w:val="24"/>
          <w:highlight w:val="none"/>
          <w14:textFill>
            <w14:solidFill>
              <w14:schemeClr w14:val="tx1"/>
            </w14:solidFill>
          </w14:textFill>
        </w:rPr>
        <w:t xml:space="preserve"> </w:t>
      </w:r>
      <w:r>
        <w:rPr>
          <w:rFonts w:ascii="宋体" w:hAnsi="宋体" w:cs="宋体"/>
          <w:color w:val="000000" w:themeColor="text1"/>
          <w:spacing w:val="-9"/>
          <w:sz w:val="24"/>
          <w:highlight w:val="none"/>
          <w14:textFill>
            <w14:solidFill>
              <w14:schemeClr w14:val="tx1"/>
            </w14:solidFill>
          </w14:textFill>
        </w:rPr>
        <w:t>×Q×（1+D</w:t>
      </w:r>
      <w:r>
        <w:rPr>
          <w:rFonts w:ascii="宋体" w:hAnsi="宋体" w:cs="宋体"/>
          <w:color w:val="000000" w:themeColor="text1"/>
          <w:spacing w:val="6"/>
          <w:sz w:val="24"/>
          <w:highlight w:val="none"/>
          <w14:textFill>
            <w14:solidFill>
              <w14:schemeClr w14:val="tx1"/>
            </w14:solidFill>
          </w14:textFill>
        </w:rPr>
        <w:t>），</w:t>
      </w:r>
      <w:r>
        <w:rPr>
          <w:rFonts w:ascii="宋体" w:hAnsi="宋体" w:cs="宋体"/>
          <w:color w:val="000000" w:themeColor="text1"/>
          <w:spacing w:val="-9"/>
          <w:sz w:val="24"/>
          <w:highlight w:val="none"/>
          <w14:textFill>
            <w14:solidFill>
              <w14:schemeClr w14:val="tx1"/>
            </w14:solidFill>
          </w14:textFill>
        </w:rPr>
        <w:t>其中：</w:t>
      </w:r>
    </w:p>
    <w:p w14:paraId="43B968ED">
      <w:pPr>
        <w:spacing w:before="181" w:line="213" w:lineRule="auto"/>
        <w:ind w:left="70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0"/>
          <w:sz w:val="24"/>
          <w:highlight w:val="none"/>
          <w14:textFill>
            <w14:solidFill>
              <w14:schemeClr w14:val="tx1"/>
            </w14:solidFill>
          </w14:textFill>
        </w:rPr>
        <w:t>|</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ΔP</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10"/>
          <w:sz w:val="24"/>
          <w:highlight w:val="none"/>
          <w14:textFill>
            <w14:solidFill>
              <w14:schemeClr w14:val="tx1"/>
            </w14:solidFill>
          </w14:textFill>
        </w:rPr>
        <w:t>Po×r |</w:t>
      </w:r>
      <w:r>
        <w:rPr>
          <w:rFonts w:ascii="宋体" w:hAnsi="宋体" w:cs="宋体"/>
          <w:color w:val="000000" w:themeColor="text1"/>
          <w:spacing w:val="26"/>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ΔP＝Pi（i=1,…,n</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10"/>
          <w:sz w:val="24"/>
          <w:highlight w:val="none"/>
          <w14:textFill>
            <w14:solidFill>
              <w14:schemeClr w14:val="tx1"/>
            </w14:solidFill>
          </w14:textFill>
        </w:rPr>
        <w:t>Po，i</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指计量申报时间。</w:t>
      </w:r>
    </w:p>
    <w:p w14:paraId="348CF968">
      <w:pPr>
        <w:spacing w:before="191" w:line="220" w:lineRule="auto"/>
        <w:ind w:left="60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式中：</w:t>
      </w:r>
    </w:p>
    <w:p w14:paraId="4760D066">
      <w:pPr>
        <w:spacing w:before="181" w:line="218" w:lineRule="auto"/>
        <w:ind w:left="6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ΔC—价差调整费用，系按调价周期计算的当次费用。</w:t>
      </w:r>
    </w:p>
    <w:p w14:paraId="4722026A">
      <w:pPr>
        <w:spacing w:before="185" w:line="218" w:lineRule="auto"/>
        <w:ind w:left="6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7"/>
          <w:sz w:val="24"/>
          <w:highlight w:val="none"/>
          <w14:textFill>
            <w14:solidFill>
              <w14:schemeClr w14:val="tx1"/>
            </w14:solidFill>
          </w14:textFill>
        </w:rPr>
        <w:t>ΔP—材料价格差。</w:t>
      </w:r>
    </w:p>
    <w:p w14:paraId="708FC4F9">
      <w:pPr>
        <w:spacing w:before="185" w:line="360" w:lineRule="auto"/>
        <w:ind w:left="121" w:right="52"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Po—基准价（不含税</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指建设单位（项目法人）确</w:t>
      </w:r>
      <w:r>
        <w:rPr>
          <w:rFonts w:ascii="宋体" w:hAnsi="宋体" w:cs="宋体"/>
          <w:color w:val="000000" w:themeColor="text1"/>
          <w:spacing w:val="-2"/>
          <w:sz w:val="24"/>
          <w:highlight w:val="none"/>
          <w14:textFill>
            <w14:solidFill>
              <w14:schemeClr w14:val="tx1"/>
            </w14:solidFill>
          </w14:textFill>
        </w:rPr>
        <w:t>定最高投标限价时所采用的交</w:t>
      </w:r>
      <w:r>
        <w:rPr>
          <w:rFonts w:ascii="宋体" w:hAnsi="宋体" w:cs="宋体"/>
          <w:color w:val="000000" w:themeColor="text1"/>
          <w:spacing w:val="-6"/>
          <w:sz w:val="24"/>
          <w:highlight w:val="none"/>
          <w14:textFill>
            <w14:solidFill>
              <w14:schemeClr w14:val="tx1"/>
            </w14:solidFill>
          </w14:textFill>
        </w:rPr>
        <w:t>通建设项目所在地地级市及以上工程造价专业机构发布的</w:t>
      </w:r>
      <w:r>
        <w:rPr>
          <w:rFonts w:ascii="宋体" w:hAnsi="宋体" w:cs="宋体"/>
          <w:color w:val="000000" w:themeColor="text1"/>
          <w:spacing w:val="-6"/>
          <w:sz w:val="24"/>
          <w:highlight w:val="none"/>
          <w:u w:val="single"/>
          <w14:textFill>
            <w14:solidFill>
              <w14:schemeClr w14:val="tx1"/>
            </w14:solidFill>
          </w14:textFill>
        </w:rPr>
        <w:t xml:space="preserve">   </w:t>
      </w:r>
      <w:r>
        <w:rPr>
          <w:rFonts w:ascii="宋体" w:hAnsi="宋体" w:cs="宋体"/>
          <w:color w:val="000000" w:themeColor="text1"/>
          <w:spacing w:val="-110"/>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年</w:t>
      </w:r>
      <w:r>
        <w:rPr>
          <w:rFonts w:ascii="宋体" w:hAnsi="宋体" w:cs="宋体"/>
          <w:color w:val="000000" w:themeColor="text1"/>
          <w:spacing w:val="-6"/>
          <w:sz w:val="24"/>
          <w:highlight w:val="none"/>
          <w:u w:val="single"/>
          <w14:textFill>
            <w14:solidFill>
              <w14:schemeClr w14:val="tx1"/>
            </w14:solidFill>
          </w14:textFill>
        </w:rPr>
        <w:t xml:space="preserve">  </w:t>
      </w:r>
      <w:r>
        <w:rPr>
          <w:rFonts w:ascii="宋体" w:hAnsi="宋体" w:cs="宋体"/>
          <w:color w:val="000000" w:themeColor="text1"/>
          <w:spacing w:val="-7"/>
          <w:sz w:val="24"/>
          <w:highlight w:val="none"/>
          <w:u w:val="single"/>
          <w14:textFill>
            <w14:solidFill>
              <w14:schemeClr w14:val="tx1"/>
            </w14:solidFill>
          </w14:textFill>
        </w:rPr>
        <w:t xml:space="preserve"> </w:t>
      </w:r>
      <w:r>
        <w:rPr>
          <w:rFonts w:ascii="宋体" w:hAnsi="宋体" w:cs="宋体"/>
          <w:color w:val="000000" w:themeColor="text1"/>
          <w:spacing w:val="-104"/>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月（或季度）信息价，</w:t>
      </w:r>
      <w:r>
        <w:rPr>
          <w:rFonts w:ascii="宋体" w:hAnsi="宋体" w:cs="宋体"/>
          <w:color w:val="000000" w:themeColor="text1"/>
          <w:spacing w:val="-1"/>
          <w:sz w:val="24"/>
          <w:highlight w:val="none"/>
          <w14:textFill>
            <w14:solidFill>
              <w14:schemeClr w14:val="tx1"/>
            </w14:solidFill>
          </w14:textFill>
        </w:rPr>
        <w:t>如项目或合同段跨两个以上地级市的，按权重取平均值计算。</w:t>
      </w:r>
    </w:p>
    <w:p w14:paraId="30364C54">
      <w:pPr>
        <w:spacing w:before="4" w:line="359" w:lineRule="auto"/>
        <w:ind w:left="120" w:right="113"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Pi—信息价（不含税</w:t>
      </w:r>
      <w:r>
        <w:rPr>
          <w:rFonts w:ascii="宋体" w:hAnsi="宋体" w:cs="宋体"/>
          <w:color w:val="000000" w:themeColor="text1"/>
          <w:spacing w:val="-10"/>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指采购材料时交通建设项目所在地级市及以上工程造价专</w:t>
      </w:r>
      <w:r>
        <w:rPr>
          <w:rFonts w:ascii="宋体" w:hAnsi="宋体" w:cs="宋体"/>
          <w:color w:val="000000" w:themeColor="text1"/>
          <w:spacing w:val="-2"/>
          <w:sz w:val="24"/>
          <w:highlight w:val="none"/>
          <w14:textFill>
            <w14:solidFill>
              <w14:schemeClr w14:val="tx1"/>
            </w14:solidFill>
          </w14:textFill>
        </w:rPr>
        <w:t>业机构发布的上季（月）度信息价，项目通车前已完工但在之后计量的，套用通车当月</w:t>
      </w:r>
      <w:r>
        <w:rPr>
          <w:rFonts w:ascii="宋体" w:hAnsi="宋体" w:cs="宋体"/>
          <w:color w:val="000000" w:themeColor="text1"/>
          <w:sz w:val="24"/>
          <w:highlight w:val="none"/>
          <w14:textFill>
            <w14:solidFill>
              <w14:schemeClr w14:val="tx1"/>
            </w14:solidFill>
          </w14:textFill>
        </w:rPr>
        <w:t>的信息价进行调差。如项目或合同段跨两个以上地级市的，</w:t>
      </w:r>
      <w:r>
        <w:rPr>
          <w:rFonts w:ascii="宋体" w:hAnsi="宋体" w:cs="宋体"/>
          <w:color w:val="000000" w:themeColor="text1"/>
          <w:spacing w:val="-1"/>
          <w:sz w:val="24"/>
          <w:highlight w:val="none"/>
          <w14:textFill>
            <w14:solidFill>
              <w14:schemeClr w14:val="tx1"/>
            </w14:solidFill>
          </w14:textFill>
        </w:rPr>
        <w:t>按权重取平均值计算。</w:t>
      </w:r>
    </w:p>
    <w:p w14:paraId="64547076">
      <w:pPr>
        <w:spacing w:before="4" w:line="359" w:lineRule="auto"/>
        <w:ind w:left="122" w:right="113"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Q—调整材料数量，指工程实际使用的可调差的材料数量。《</w:t>
      </w:r>
      <w:r>
        <w:rPr>
          <w:rFonts w:ascii="宋体" w:hAnsi="宋体" w:cs="宋体"/>
          <w:color w:val="000000" w:themeColor="text1"/>
          <w:spacing w:val="1"/>
          <w:sz w:val="24"/>
          <w:highlight w:val="none"/>
          <w14:textFill>
            <w14:solidFill>
              <w14:schemeClr w14:val="tx1"/>
            </w14:solidFill>
          </w14:textFill>
        </w:rPr>
        <w:t>调价材料单位用量指</w:t>
      </w:r>
      <w:r>
        <w:rPr>
          <w:rFonts w:ascii="宋体" w:hAnsi="宋体" w:cs="宋体"/>
          <w:color w:val="000000" w:themeColor="text1"/>
          <w:spacing w:val="-2"/>
          <w:sz w:val="24"/>
          <w:highlight w:val="none"/>
          <w14:textFill>
            <w14:solidFill>
              <w14:schemeClr w14:val="tx1"/>
            </w14:solidFill>
          </w14:textFill>
        </w:rPr>
        <w:t>标表》中所列材料以承包人当月计量的实体工程量为基础，按照表中的单位用量指标计</w:t>
      </w:r>
      <w:r>
        <w:rPr>
          <w:rFonts w:ascii="宋体" w:hAnsi="宋体" w:cs="宋体"/>
          <w:color w:val="000000" w:themeColor="text1"/>
          <w:spacing w:val="-1"/>
          <w:sz w:val="24"/>
          <w:highlight w:val="none"/>
          <w14:textFill>
            <w14:solidFill>
              <w14:schemeClr w14:val="tx1"/>
            </w14:solidFill>
          </w14:textFill>
        </w:rPr>
        <w:t>算调整材料数量。通车后计量的调差工程量统一纳入通车当期计算。</w:t>
      </w:r>
    </w:p>
    <w:p w14:paraId="6CFED1B2">
      <w:pPr>
        <w:spacing w:before="1" w:line="217" w:lineRule="auto"/>
        <w:ind w:left="5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r—风险幅度系数。当</w:t>
      </w:r>
      <w:r>
        <w:rPr>
          <w:rFonts w:ascii="宋体" w:hAnsi="宋体" w:cs="宋体"/>
          <w:color w:val="000000" w:themeColor="text1"/>
          <w:spacing w:val="-61"/>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ΔP&gt;0</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时，r</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为正值，当</w:t>
      </w:r>
      <w:r>
        <w:rPr>
          <w:rFonts w:ascii="宋体" w:hAnsi="宋体" w:cs="宋体"/>
          <w:color w:val="000000" w:themeColor="text1"/>
          <w:spacing w:val="-6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ΔP&lt;0 时，r</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为负值。</w:t>
      </w:r>
    </w:p>
    <w:p w14:paraId="14B66CB7">
      <w:pPr>
        <w:spacing w:before="185" w:line="219" w:lineRule="auto"/>
        <w:ind w:left="5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D-增值税税率，指国家最新规定对应建筑业</w:t>
      </w:r>
      <w:r>
        <w:rPr>
          <w:rFonts w:ascii="宋体" w:hAnsi="宋体" w:cs="宋体"/>
          <w:color w:val="000000" w:themeColor="text1"/>
          <w:spacing w:val="-1"/>
          <w:sz w:val="24"/>
          <w:highlight w:val="none"/>
          <w14:textFill>
            <w14:solidFill>
              <w14:schemeClr w14:val="tx1"/>
            </w14:solidFill>
          </w14:textFill>
        </w:rPr>
        <w:t>增值税税率。</w:t>
      </w:r>
    </w:p>
    <w:p w14:paraId="174DE3B6">
      <w:pPr>
        <w:spacing w:before="78" w:line="218" w:lineRule="auto"/>
        <w:ind w:left="3334"/>
        <w:rPr>
          <w:rFonts w:hint="eastAsia" w:ascii="宋体" w:hAnsi="宋体" w:cs="宋体"/>
          <w:color w:val="000000" w:themeColor="text1"/>
          <w:sz w:val="24"/>
          <w:highlight w:val="none"/>
          <w14:textFill>
            <w14:solidFill>
              <w14:schemeClr w14:val="tx1"/>
            </w14:solidFill>
          </w14:textFill>
        </w:rPr>
      </w:pPr>
      <w:r>
        <w:rPr>
          <w:rFonts w:ascii="宋体" w:hAnsi="宋体" w:cs="宋体"/>
          <w:b/>
          <w:bCs/>
          <w:color w:val="000000" w:themeColor="text1"/>
          <w:spacing w:val="-3"/>
          <w:sz w:val="24"/>
          <w:highlight w:val="none"/>
          <w14:textFill>
            <w14:solidFill>
              <w14:schemeClr w14:val="tx1"/>
            </w14:solidFill>
          </w14:textFill>
        </w:rPr>
        <w:t>调价材料单位用量指标表</w:t>
      </w:r>
    </w:p>
    <w:p w14:paraId="6B7BB57E">
      <w:pPr>
        <w:spacing w:line="69" w:lineRule="exact"/>
        <w:rPr>
          <w:color w:val="000000" w:themeColor="text1"/>
          <w:highlight w:val="none"/>
          <w14:textFill>
            <w14:solidFill>
              <w14:schemeClr w14:val="tx1"/>
            </w14:solidFill>
          </w14:textFill>
        </w:rPr>
      </w:pPr>
    </w:p>
    <w:tbl>
      <w:tblPr>
        <w:tblStyle w:val="45"/>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97"/>
        <w:gridCol w:w="2644"/>
        <w:gridCol w:w="1957"/>
        <w:gridCol w:w="2584"/>
      </w:tblGrid>
      <w:tr w14:paraId="1E433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44" w:type="pct"/>
            <w:vAlign w:val="center"/>
          </w:tcPr>
          <w:p w14:paraId="13311E84">
            <w:pPr>
              <w:pStyle w:val="124"/>
              <w:ind w:firstLine="104"/>
              <w:jc w:val="center"/>
              <w:rPr>
                <w:rFonts w:hint="eastAsia"/>
                <w:color w:val="000000" w:themeColor="text1"/>
                <w:highlight w:val="none"/>
                <w14:textFill>
                  <w14:solidFill>
                    <w14:schemeClr w14:val="tx1"/>
                  </w14:solidFill>
                </w14:textFill>
              </w:rPr>
            </w:pPr>
            <w:r>
              <w:rPr>
                <w:color w:val="000000" w:themeColor="text1"/>
                <w:spacing w:val="6"/>
                <w:highlight w:val="none"/>
                <w14:textFill>
                  <w14:solidFill>
                    <w14:schemeClr w14:val="tx1"/>
                  </w14:solidFill>
                </w14:textFill>
              </w:rPr>
              <w:t>调价的</w:t>
            </w:r>
            <w:r>
              <w:rPr>
                <w:color w:val="000000" w:themeColor="text1"/>
                <w:spacing w:val="7"/>
                <w:highlight w:val="none"/>
                <w14:textFill>
                  <w14:solidFill>
                    <w14:schemeClr w14:val="tx1"/>
                  </w14:solidFill>
                </w14:textFill>
              </w:rPr>
              <w:t>材料名称</w:t>
            </w:r>
          </w:p>
        </w:tc>
        <w:tc>
          <w:tcPr>
            <w:tcW w:w="1455" w:type="pct"/>
            <w:vAlign w:val="center"/>
          </w:tcPr>
          <w:p w14:paraId="2746581B">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调价的清单子目编号</w:t>
            </w:r>
          </w:p>
        </w:tc>
        <w:tc>
          <w:tcPr>
            <w:tcW w:w="1077" w:type="pct"/>
            <w:vAlign w:val="center"/>
          </w:tcPr>
          <w:p w14:paraId="3F4282BC">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调价的项目名称</w:t>
            </w:r>
          </w:p>
        </w:tc>
        <w:tc>
          <w:tcPr>
            <w:tcW w:w="1422" w:type="pct"/>
            <w:vAlign w:val="center"/>
          </w:tcPr>
          <w:p w14:paraId="43C4CBB2">
            <w:pPr>
              <w:pStyle w:val="124"/>
              <w:ind w:hanging="265"/>
              <w:jc w:val="center"/>
              <w:rPr>
                <w:rFonts w:hint="eastAsia"/>
                <w:color w:val="000000" w:themeColor="text1"/>
                <w:sz w:val="10"/>
                <w:szCs w:val="10"/>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计算调价材料数量的单位用量指标</w:t>
            </w:r>
          </w:p>
        </w:tc>
      </w:tr>
      <w:tr w14:paraId="1A498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4" w:type="pct"/>
            <w:vAlign w:val="center"/>
          </w:tcPr>
          <w:p w14:paraId="49029E3C">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碎石</w:t>
            </w:r>
          </w:p>
        </w:tc>
        <w:tc>
          <w:tcPr>
            <w:tcW w:w="1455" w:type="pct"/>
            <w:vAlign w:val="center"/>
          </w:tcPr>
          <w:p w14:paraId="0D6CED16">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具体清单子目编号</w:t>
            </w:r>
          </w:p>
        </w:tc>
        <w:tc>
          <w:tcPr>
            <w:tcW w:w="1077" w:type="pct"/>
            <w:vAlign w:val="center"/>
          </w:tcPr>
          <w:p w14:paraId="593F0936">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具体清单项目名称</w:t>
            </w:r>
          </w:p>
        </w:tc>
        <w:tc>
          <w:tcPr>
            <w:tcW w:w="1422" w:type="pct"/>
          </w:tcPr>
          <w:p w14:paraId="7614BA6F">
            <w:pPr>
              <w:pStyle w:val="124"/>
              <w:tabs>
                <w:tab w:val="left" w:pos="1318"/>
              </w:tabs>
              <w:ind w:left="105" w:leftChars="50"/>
              <w:rPr>
                <w:rFonts w:hint="eastAsia"/>
                <w:color w:val="000000" w:themeColor="text1"/>
                <w:sz w:val="10"/>
                <w:szCs w:val="10"/>
                <w:highlight w:val="none"/>
                <w14:textFill>
                  <w14:solidFill>
                    <w14:schemeClr w14:val="tx1"/>
                  </w14:solidFill>
                </w14:textFill>
              </w:rPr>
            </w:pPr>
            <w:r>
              <w:rPr>
                <w:color w:val="000000" w:themeColor="text1"/>
                <w:position w:val="-1"/>
                <w:highlight w:val="none"/>
                <w:u w:val="single"/>
                <w14:textFill>
                  <w14:solidFill>
                    <w14:schemeClr w14:val="tx1"/>
                  </w14:solidFill>
                </w14:textFill>
              </w:rPr>
              <w:tab/>
            </w:r>
            <w:r>
              <w:rPr>
                <w:color w:val="000000" w:themeColor="text1"/>
                <w:spacing w:val="-96"/>
                <w:position w:val="-1"/>
                <w:highlight w:val="none"/>
                <w14:textFill>
                  <w14:solidFill>
                    <w14:schemeClr w14:val="tx1"/>
                  </w14:solidFill>
                </w14:textFill>
              </w:rPr>
              <w:t xml:space="preserve"> </w:t>
            </w:r>
            <w:r>
              <w:rPr>
                <w:color w:val="000000" w:themeColor="text1"/>
                <w:spacing w:val="3"/>
                <w:position w:val="-1"/>
                <w:highlight w:val="none"/>
                <w14:textFill>
                  <w14:solidFill>
                    <w14:schemeClr w14:val="tx1"/>
                  </w14:solidFill>
                </w14:textFill>
              </w:rPr>
              <w:t>m</w:t>
            </w:r>
            <w:r>
              <w:rPr>
                <w:color w:val="000000" w:themeColor="text1"/>
                <w:spacing w:val="3"/>
                <w:position w:val="9"/>
                <w:sz w:val="10"/>
                <w:szCs w:val="10"/>
                <w:highlight w:val="none"/>
                <w14:textFill>
                  <w14:solidFill>
                    <w14:schemeClr w14:val="tx1"/>
                  </w14:solidFill>
                </w14:textFill>
              </w:rPr>
              <w:t>3</w:t>
            </w:r>
            <w:r>
              <w:rPr>
                <w:color w:val="000000" w:themeColor="text1"/>
                <w:spacing w:val="3"/>
                <w:position w:val="-1"/>
                <w:highlight w:val="none"/>
                <w14:textFill>
                  <w14:solidFill>
                    <w14:schemeClr w14:val="tx1"/>
                  </w14:solidFill>
                </w14:textFill>
              </w:rPr>
              <w:t>/m</w:t>
            </w:r>
            <w:r>
              <w:rPr>
                <w:color w:val="000000" w:themeColor="text1"/>
                <w:spacing w:val="3"/>
                <w:position w:val="9"/>
                <w:sz w:val="10"/>
                <w:szCs w:val="10"/>
                <w:highlight w:val="none"/>
                <w14:textFill>
                  <w14:solidFill>
                    <w14:schemeClr w14:val="tx1"/>
                  </w14:solidFill>
                </w14:textFill>
              </w:rPr>
              <w:t>3</w:t>
            </w:r>
          </w:p>
        </w:tc>
      </w:tr>
      <w:tr w14:paraId="17E99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4" w:type="pct"/>
            <w:vAlign w:val="center"/>
          </w:tcPr>
          <w:p w14:paraId="2D0C5CBA">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中（粗）砂</w:t>
            </w:r>
          </w:p>
        </w:tc>
        <w:tc>
          <w:tcPr>
            <w:tcW w:w="1455" w:type="pct"/>
            <w:vAlign w:val="center"/>
          </w:tcPr>
          <w:p w14:paraId="49AA31AF">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具体清单子目编号</w:t>
            </w:r>
          </w:p>
        </w:tc>
        <w:tc>
          <w:tcPr>
            <w:tcW w:w="1077" w:type="pct"/>
            <w:vAlign w:val="center"/>
          </w:tcPr>
          <w:p w14:paraId="494036C6">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具体清单项目名称</w:t>
            </w:r>
          </w:p>
        </w:tc>
        <w:tc>
          <w:tcPr>
            <w:tcW w:w="1422" w:type="pct"/>
          </w:tcPr>
          <w:p w14:paraId="2CBE4167">
            <w:pPr>
              <w:pStyle w:val="124"/>
              <w:tabs>
                <w:tab w:val="left" w:pos="1318"/>
              </w:tabs>
              <w:ind w:left="105" w:leftChars="50"/>
              <w:rPr>
                <w:rFonts w:hint="eastAsia"/>
                <w:color w:val="000000" w:themeColor="text1"/>
                <w:sz w:val="10"/>
                <w:szCs w:val="10"/>
                <w:highlight w:val="none"/>
                <w14:textFill>
                  <w14:solidFill>
                    <w14:schemeClr w14:val="tx1"/>
                  </w14:solidFill>
                </w14:textFill>
              </w:rPr>
            </w:pPr>
            <w:r>
              <w:rPr>
                <w:color w:val="000000" w:themeColor="text1"/>
                <w:position w:val="-1"/>
                <w:highlight w:val="none"/>
                <w:u w:val="single"/>
                <w14:textFill>
                  <w14:solidFill>
                    <w14:schemeClr w14:val="tx1"/>
                  </w14:solidFill>
                </w14:textFill>
              </w:rPr>
              <w:tab/>
            </w:r>
            <w:r>
              <w:rPr>
                <w:color w:val="000000" w:themeColor="text1"/>
                <w:spacing w:val="-96"/>
                <w:position w:val="-1"/>
                <w:highlight w:val="none"/>
                <w14:textFill>
                  <w14:solidFill>
                    <w14:schemeClr w14:val="tx1"/>
                  </w14:solidFill>
                </w14:textFill>
              </w:rPr>
              <w:t xml:space="preserve"> </w:t>
            </w:r>
            <w:r>
              <w:rPr>
                <w:color w:val="000000" w:themeColor="text1"/>
                <w:spacing w:val="3"/>
                <w:position w:val="-1"/>
                <w:highlight w:val="none"/>
                <w14:textFill>
                  <w14:solidFill>
                    <w14:schemeClr w14:val="tx1"/>
                  </w14:solidFill>
                </w14:textFill>
              </w:rPr>
              <w:t>m</w:t>
            </w:r>
            <w:r>
              <w:rPr>
                <w:color w:val="000000" w:themeColor="text1"/>
                <w:spacing w:val="3"/>
                <w:position w:val="9"/>
                <w:sz w:val="10"/>
                <w:szCs w:val="10"/>
                <w:highlight w:val="none"/>
                <w14:textFill>
                  <w14:solidFill>
                    <w14:schemeClr w14:val="tx1"/>
                  </w14:solidFill>
                </w14:textFill>
              </w:rPr>
              <w:t>3</w:t>
            </w:r>
            <w:r>
              <w:rPr>
                <w:color w:val="000000" w:themeColor="text1"/>
                <w:spacing w:val="3"/>
                <w:position w:val="-1"/>
                <w:highlight w:val="none"/>
                <w14:textFill>
                  <w14:solidFill>
                    <w14:schemeClr w14:val="tx1"/>
                  </w14:solidFill>
                </w14:textFill>
              </w:rPr>
              <w:t>/m</w:t>
            </w:r>
            <w:r>
              <w:rPr>
                <w:color w:val="000000" w:themeColor="text1"/>
                <w:spacing w:val="3"/>
                <w:position w:val="9"/>
                <w:sz w:val="10"/>
                <w:szCs w:val="10"/>
                <w:highlight w:val="none"/>
                <w14:textFill>
                  <w14:solidFill>
                    <w14:schemeClr w14:val="tx1"/>
                  </w14:solidFill>
                </w14:textFill>
              </w:rPr>
              <w:t>3</w:t>
            </w:r>
          </w:p>
        </w:tc>
      </w:tr>
      <w:tr w14:paraId="00870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5" w:hRule="atLeast"/>
        </w:trPr>
        <w:tc>
          <w:tcPr>
            <w:tcW w:w="1044" w:type="pct"/>
            <w:vAlign w:val="center"/>
          </w:tcPr>
          <w:p w14:paraId="3F8F3F8B">
            <w:pPr>
              <w:jc w:val="center"/>
              <w:rPr>
                <w:rFonts w:ascii="Arial"/>
                <w:color w:val="000000" w:themeColor="text1"/>
                <w:highlight w:val="none"/>
                <w14:textFill>
                  <w14:solidFill>
                    <w14:schemeClr w14:val="tx1"/>
                  </w14:solidFill>
                </w14:textFill>
              </w:rPr>
            </w:pPr>
          </w:p>
          <w:p w14:paraId="6E59D934">
            <w:pPr>
              <w:jc w:val="center"/>
              <w:rPr>
                <w:rFonts w:ascii="Arial"/>
                <w:color w:val="000000" w:themeColor="text1"/>
                <w:highlight w:val="none"/>
                <w14:textFill>
                  <w14:solidFill>
                    <w14:schemeClr w14:val="tx1"/>
                  </w14:solidFill>
                </w14:textFill>
              </w:rPr>
            </w:pPr>
          </w:p>
          <w:p w14:paraId="257B7E9E">
            <w:pPr>
              <w:jc w:val="center"/>
              <w:rPr>
                <w:rFonts w:ascii="Arial"/>
                <w:color w:val="000000" w:themeColor="text1"/>
                <w:highlight w:val="none"/>
                <w14:textFill>
                  <w14:solidFill>
                    <w14:schemeClr w14:val="tx1"/>
                  </w14:solidFill>
                </w14:textFill>
              </w:rPr>
            </w:pPr>
          </w:p>
          <w:p w14:paraId="3D894641">
            <w:pPr>
              <w:jc w:val="center"/>
              <w:rPr>
                <w:rFonts w:ascii="Arial"/>
                <w:color w:val="000000" w:themeColor="text1"/>
                <w:highlight w:val="none"/>
                <w14:textFill>
                  <w14:solidFill>
                    <w14:schemeClr w14:val="tx1"/>
                  </w14:solidFill>
                </w14:textFill>
              </w:rPr>
            </w:pPr>
          </w:p>
          <w:p w14:paraId="24E824CB">
            <w:pPr>
              <w:jc w:val="center"/>
              <w:rPr>
                <w:rFonts w:ascii="Arial"/>
                <w:color w:val="000000" w:themeColor="text1"/>
                <w:highlight w:val="none"/>
                <w14:textFill>
                  <w14:solidFill>
                    <w14:schemeClr w14:val="tx1"/>
                  </w14:solidFill>
                </w14:textFill>
              </w:rPr>
            </w:pPr>
          </w:p>
          <w:p w14:paraId="7C99B49D">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水泥</w:t>
            </w:r>
          </w:p>
        </w:tc>
        <w:tc>
          <w:tcPr>
            <w:tcW w:w="1455" w:type="pct"/>
            <w:vAlign w:val="center"/>
          </w:tcPr>
          <w:p w14:paraId="0537D907">
            <w:pPr>
              <w:jc w:val="center"/>
              <w:rPr>
                <w:rFonts w:ascii="Arial"/>
                <w:color w:val="000000" w:themeColor="text1"/>
                <w:highlight w:val="none"/>
                <w14:textFill>
                  <w14:solidFill>
                    <w14:schemeClr w14:val="tx1"/>
                  </w14:solidFill>
                </w14:textFill>
              </w:rPr>
            </w:pPr>
          </w:p>
          <w:p w14:paraId="2CE2AF85">
            <w:pPr>
              <w:jc w:val="center"/>
              <w:rPr>
                <w:rFonts w:ascii="Arial"/>
                <w:color w:val="000000" w:themeColor="text1"/>
                <w:highlight w:val="none"/>
                <w14:textFill>
                  <w14:solidFill>
                    <w14:schemeClr w14:val="tx1"/>
                  </w14:solidFill>
                </w14:textFill>
              </w:rPr>
            </w:pPr>
          </w:p>
          <w:p w14:paraId="1F702D6C">
            <w:pPr>
              <w:jc w:val="center"/>
              <w:rPr>
                <w:rFonts w:ascii="Arial"/>
                <w:color w:val="000000" w:themeColor="text1"/>
                <w:highlight w:val="none"/>
                <w14:textFill>
                  <w14:solidFill>
                    <w14:schemeClr w14:val="tx1"/>
                  </w14:solidFill>
                </w14:textFill>
              </w:rPr>
            </w:pPr>
          </w:p>
          <w:p w14:paraId="03E863A0">
            <w:pPr>
              <w:pStyle w:val="124"/>
              <w:jc w:val="center"/>
              <w:rPr>
                <w:rFonts w:hint="eastAsia"/>
                <w:color w:val="000000" w:themeColor="text1"/>
                <w:highlight w:val="none"/>
                <w:lang w:eastAsia="zh-CN"/>
                <w14:textFill>
                  <w14:solidFill>
                    <w14:schemeClr w14:val="tx1"/>
                  </w14:solidFill>
                </w14:textFill>
              </w:rPr>
            </w:pPr>
            <w:r>
              <w:rPr>
                <w:color w:val="000000" w:themeColor="text1"/>
                <w:spacing w:val="5"/>
                <w:highlight w:val="none"/>
                <w:lang w:eastAsia="zh-CN"/>
                <w14:textFill>
                  <w14:solidFill>
                    <w14:schemeClr w14:val="tx1"/>
                  </w14:solidFill>
                </w14:textFill>
              </w:rPr>
              <w:t>清单的</w:t>
            </w:r>
            <w:r>
              <w:rPr>
                <w:color w:val="000000" w:themeColor="text1"/>
                <w:spacing w:val="-48"/>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200-900</w:t>
            </w:r>
            <w:r>
              <w:rPr>
                <w:color w:val="000000" w:themeColor="text1"/>
                <w:spacing w:val="-45"/>
                <w:highlight w:val="none"/>
                <w:lang w:eastAsia="zh-CN"/>
                <w14:textFill>
                  <w14:solidFill>
                    <w14:schemeClr w14:val="tx1"/>
                  </w14:solidFill>
                </w14:textFill>
              </w:rPr>
              <w:t xml:space="preserve"> </w:t>
            </w:r>
            <w:r>
              <w:rPr>
                <w:color w:val="000000" w:themeColor="text1"/>
                <w:spacing w:val="5"/>
                <w:highlight w:val="none"/>
                <w:lang w:eastAsia="zh-CN"/>
                <w14:textFill>
                  <w14:solidFill>
                    <w14:schemeClr w14:val="tx1"/>
                  </w14:solidFill>
                </w14:textFill>
              </w:rPr>
              <w:t>章中所有含</w:t>
            </w:r>
            <w:r>
              <w:rPr>
                <w:color w:val="000000" w:themeColor="text1"/>
                <w:spacing w:val="6"/>
                <w:highlight w:val="none"/>
                <w:lang w:eastAsia="zh-CN"/>
                <w14:textFill>
                  <w14:solidFill>
                    <w14:schemeClr w14:val="tx1"/>
                  </w14:solidFill>
                </w14:textFill>
              </w:rPr>
              <w:t>轻质土、水泥稳定层、水泥</w:t>
            </w:r>
            <w:r>
              <w:rPr>
                <w:color w:val="000000" w:themeColor="text1"/>
                <w:spacing w:val="8"/>
                <w:highlight w:val="none"/>
                <w:lang w:eastAsia="zh-CN"/>
                <w14:textFill>
                  <w14:solidFill>
                    <w14:schemeClr w14:val="tx1"/>
                  </w14:solidFill>
                </w14:textFill>
              </w:rPr>
              <w:t>混凝土的清单子目</w:t>
            </w:r>
          </w:p>
        </w:tc>
        <w:tc>
          <w:tcPr>
            <w:tcW w:w="1077" w:type="pct"/>
            <w:vAlign w:val="center"/>
          </w:tcPr>
          <w:p w14:paraId="7AD65407">
            <w:pPr>
              <w:jc w:val="center"/>
              <w:rPr>
                <w:rFonts w:ascii="Arial"/>
                <w:color w:val="000000" w:themeColor="text1"/>
                <w:highlight w:val="none"/>
                <w14:textFill>
                  <w14:solidFill>
                    <w14:schemeClr w14:val="tx1"/>
                  </w14:solidFill>
                </w14:textFill>
              </w:rPr>
            </w:pPr>
          </w:p>
          <w:p w14:paraId="049C1715">
            <w:pPr>
              <w:jc w:val="center"/>
              <w:rPr>
                <w:rFonts w:ascii="Arial"/>
                <w:color w:val="000000" w:themeColor="text1"/>
                <w:highlight w:val="none"/>
                <w14:textFill>
                  <w14:solidFill>
                    <w14:schemeClr w14:val="tx1"/>
                  </w14:solidFill>
                </w14:textFill>
              </w:rPr>
            </w:pPr>
          </w:p>
          <w:p w14:paraId="59F28ED2">
            <w:pPr>
              <w:jc w:val="center"/>
              <w:rPr>
                <w:rFonts w:ascii="Arial"/>
                <w:color w:val="000000" w:themeColor="text1"/>
                <w:highlight w:val="none"/>
                <w14:textFill>
                  <w14:solidFill>
                    <w14:schemeClr w14:val="tx1"/>
                  </w14:solidFill>
                </w14:textFill>
              </w:rPr>
            </w:pPr>
          </w:p>
          <w:p w14:paraId="7AFFDF2F">
            <w:pPr>
              <w:pStyle w:val="124"/>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轻质土、水泥稳定</w:t>
            </w:r>
            <w:r>
              <w:rPr>
                <w:color w:val="000000" w:themeColor="text1"/>
                <w:spacing w:val="-3"/>
                <w:highlight w:val="none"/>
                <w:lang w:eastAsia="zh-CN"/>
                <w14:textFill>
                  <w14:solidFill>
                    <w14:schemeClr w14:val="tx1"/>
                  </w14:solidFill>
                </w14:textFill>
              </w:rPr>
              <w:t>层、水泥混凝土中的</w:t>
            </w:r>
            <w:r>
              <w:rPr>
                <w:color w:val="000000" w:themeColor="text1"/>
                <w:spacing w:val="3"/>
                <w:highlight w:val="none"/>
                <w:lang w:eastAsia="zh-CN"/>
                <w14:textFill>
                  <w14:solidFill>
                    <w14:schemeClr w14:val="tx1"/>
                  </w14:solidFill>
                </w14:textFill>
              </w:rPr>
              <w:t>水泥</w:t>
            </w:r>
          </w:p>
        </w:tc>
        <w:tc>
          <w:tcPr>
            <w:tcW w:w="1422" w:type="pct"/>
          </w:tcPr>
          <w:p w14:paraId="6C08F625">
            <w:pPr>
              <w:pStyle w:val="124"/>
              <w:ind w:left="105" w:leftChars="50" w:firstLine="15"/>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1、轻质土：按批准的施工配合比计算水泥用量。</w:t>
            </w:r>
          </w:p>
          <w:p w14:paraId="074A0E39">
            <w:pPr>
              <w:pStyle w:val="124"/>
              <w:ind w:left="105" w:leftChars="50" w:firstLine="3"/>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2、水泥稳定层：按批准的</w:t>
            </w:r>
            <w:r>
              <w:rPr>
                <w:color w:val="000000" w:themeColor="text1"/>
                <w:spacing w:val="6"/>
                <w:highlight w:val="none"/>
                <w:lang w:eastAsia="zh-CN"/>
                <w14:textFill>
                  <w14:solidFill>
                    <w14:schemeClr w14:val="tx1"/>
                  </w14:solidFill>
                </w14:textFill>
              </w:rPr>
              <w:t>施工配合比计算水泥用量。</w:t>
            </w:r>
          </w:p>
          <w:p w14:paraId="5F09E389">
            <w:pPr>
              <w:pStyle w:val="124"/>
              <w:ind w:left="105" w:leftChars="50"/>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3、桥梁桩基础混凝土（按</w:t>
            </w:r>
            <w:r>
              <w:rPr>
                <w:color w:val="000000" w:themeColor="text1"/>
                <w:spacing w:val="6"/>
                <w:highlight w:val="none"/>
                <w:lang w:eastAsia="zh-CN"/>
                <w14:textFill>
                  <w14:solidFill>
                    <w14:schemeClr w14:val="tx1"/>
                  </w14:solidFill>
                </w14:textFill>
              </w:rPr>
              <w:t>m</w:t>
            </w:r>
            <w:r>
              <w:rPr>
                <w:color w:val="000000" w:themeColor="text1"/>
                <w:spacing w:val="-39"/>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计量的须换算为</w:t>
            </w:r>
            <w:r>
              <w:rPr>
                <w:color w:val="000000" w:themeColor="text1"/>
                <w:spacing w:val="-43"/>
                <w:highlight w:val="none"/>
                <w:lang w:eastAsia="zh-CN"/>
                <w14:textFill>
                  <w14:solidFill>
                    <w14:schemeClr w14:val="tx1"/>
                  </w14:solidFill>
                </w14:textFill>
              </w:rPr>
              <w:t xml:space="preserve"> </w:t>
            </w:r>
            <w:r>
              <w:rPr>
                <w:color w:val="000000" w:themeColor="text1"/>
                <w:spacing w:val="6"/>
                <w:highlight w:val="none"/>
                <w:lang w:eastAsia="zh-CN"/>
                <w14:textFill>
                  <w14:solidFill>
                    <w14:schemeClr w14:val="tx1"/>
                  </w14:solidFill>
                </w14:textFill>
              </w:rPr>
              <w:t>m</w:t>
            </w:r>
            <w:r>
              <w:rPr>
                <w:color w:val="000000" w:themeColor="text1"/>
                <w:spacing w:val="6"/>
                <w:position w:val="10"/>
                <w:sz w:val="10"/>
                <w:szCs w:val="10"/>
                <w:highlight w:val="none"/>
                <w:lang w:eastAsia="zh-CN"/>
                <w14:textFill>
                  <w14:solidFill>
                    <w14:schemeClr w14:val="tx1"/>
                  </w14:solidFill>
                </w14:textFill>
              </w:rPr>
              <w:t>3</w:t>
            </w:r>
            <w:r>
              <w:rPr>
                <w:color w:val="000000" w:themeColor="text1"/>
                <w:spacing w:val="-22"/>
                <w:position w:val="10"/>
                <w:sz w:val="10"/>
                <w:szCs w:val="10"/>
                <w:highlight w:val="none"/>
                <w:lang w:eastAsia="zh-CN"/>
                <w14:textFill>
                  <w14:solidFill>
                    <w14:schemeClr w14:val="tx1"/>
                  </w14:solidFill>
                </w14:textFill>
              </w:rPr>
              <w:t xml:space="preserve"> </w:t>
            </w:r>
            <w:r>
              <w:rPr>
                <w:color w:val="000000" w:themeColor="text1"/>
                <w:spacing w:val="-10"/>
                <w:highlight w:val="none"/>
                <w:lang w:eastAsia="zh-CN"/>
                <w14:textFill>
                  <w14:solidFill>
                    <w14:schemeClr w14:val="tx1"/>
                  </w14:solidFill>
                </w14:textFill>
              </w:rPr>
              <w:t>）：</w:t>
            </w:r>
            <w:r>
              <w:rPr>
                <w:color w:val="000000" w:themeColor="text1"/>
                <w:spacing w:val="19"/>
                <w:highlight w:val="none"/>
                <w:lang w:eastAsia="zh-CN"/>
                <w14:textFill>
                  <w14:solidFill>
                    <w14:schemeClr w14:val="tx1"/>
                  </w14:solidFill>
                </w14:textFill>
              </w:rPr>
              <w:t>t/m</w:t>
            </w:r>
            <w:r>
              <w:rPr>
                <w:color w:val="000000" w:themeColor="text1"/>
                <w:spacing w:val="19"/>
                <w:position w:val="10"/>
                <w:sz w:val="10"/>
                <w:szCs w:val="10"/>
                <w:highlight w:val="none"/>
                <w:lang w:eastAsia="zh-CN"/>
                <w14:textFill>
                  <w14:solidFill>
                    <w14:schemeClr w14:val="tx1"/>
                  </w14:solidFill>
                </w14:textFill>
              </w:rPr>
              <w:t>3</w:t>
            </w:r>
            <w:r>
              <w:rPr>
                <w:color w:val="000000" w:themeColor="text1"/>
                <w:spacing w:val="-20"/>
                <w:position w:val="10"/>
                <w:sz w:val="10"/>
                <w:szCs w:val="10"/>
                <w:highlight w:val="none"/>
                <w:lang w:eastAsia="zh-CN"/>
                <w14:textFill>
                  <w14:solidFill>
                    <w14:schemeClr w14:val="tx1"/>
                  </w14:solidFill>
                </w14:textFill>
              </w:rPr>
              <w:t xml:space="preserve"> </w:t>
            </w:r>
            <w:r>
              <w:rPr>
                <w:color w:val="000000" w:themeColor="text1"/>
                <w:spacing w:val="19"/>
                <w:highlight w:val="none"/>
                <w:lang w:eastAsia="zh-CN"/>
                <w14:textFill>
                  <w14:solidFill>
                    <w14:schemeClr w14:val="tx1"/>
                  </w14:solidFill>
                </w14:textFill>
              </w:rPr>
              <w:t>（不分混凝土标</w:t>
            </w:r>
            <w:r>
              <w:rPr>
                <w:color w:val="000000" w:themeColor="text1"/>
                <w:highlight w:val="none"/>
                <w:lang w:eastAsia="zh-CN"/>
                <w14:textFill>
                  <w14:solidFill>
                    <w14:schemeClr w14:val="tx1"/>
                  </w14:solidFill>
                </w14:textFill>
              </w:rPr>
              <w:t>号)</w:t>
            </w:r>
          </w:p>
          <w:p w14:paraId="52141269">
            <w:pPr>
              <w:pStyle w:val="124"/>
              <w:ind w:left="105" w:leftChars="50"/>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4、其他实体工程混凝土：</w:t>
            </w:r>
          </w:p>
          <w:p w14:paraId="4BDF54E6">
            <w:pPr>
              <w:pStyle w:val="124"/>
              <w:tabs>
                <w:tab w:val="left" w:pos="525"/>
              </w:tabs>
              <w:ind w:left="105" w:leftChars="50"/>
              <w:rPr>
                <w:rFonts w:hint="eastAsia"/>
                <w:color w:val="000000" w:themeColor="text1"/>
                <w:highlight w:val="none"/>
                <w14:textFill>
                  <w14:solidFill>
                    <w14:schemeClr w14:val="tx1"/>
                  </w14:solidFill>
                </w14:textFill>
              </w:rPr>
            </w:pPr>
            <w:r>
              <w:rPr>
                <w:color w:val="000000" w:themeColor="text1"/>
                <w:highlight w:val="none"/>
                <w:u w:val="single"/>
                <w:lang w:eastAsia="zh-CN"/>
                <w14:textFill>
                  <w14:solidFill>
                    <w14:schemeClr w14:val="tx1"/>
                  </w14:solidFill>
                </w14:textFill>
              </w:rPr>
              <w:tab/>
            </w:r>
            <w:r>
              <w:rPr>
                <w:color w:val="000000" w:themeColor="text1"/>
                <w:spacing w:val="-85"/>
                <w:highlight w:val="none"/>
                <w:lang w:eastAsia="zh-CN"/>
                <w14:textFill>
                  <w14:solidFill>
                    <w14:schemeClr w14:val="tx1"/>
                  </w14:solidFill>
                </w14:textFill>
              </w:rPr>
              <w:t xml:space="preserve"> </w:t>
            </w:r>
            <w:r>
              <w:rPr>
                <w:color w:val="000000" w:themeColor="text1"/>
                <w:spacing w:val="4"/>
                <w:highlight w:val="none"/>
                <w14:textFill>
                  <w14:solidFill>
                    <w14:schemeClr w14:val="tx1"/>
                  </w14:solidFill>
                </w14:textFill>
              </w:rPr>
              <w:t>t/m</w:t>
            </w:r>
            <w:r>
              <w:rPr>
                <w:color w:val="000000" w:themeColor="text1"/>
                <w:spacing w:val="4"/>
                <w:position w:val="10"/>
                <w:sz w:val="10"/>
                <w:szCs w:val="10"/>
                <w:highlight w:val="none"/>
                <w14:textFill>
                  <w14:solidFill>
                    <w14:schemeClr w14:val="tx1"/>
                  </w14:solidFill>
                </w14:textFill>
              </w:rPr>
              <w:t>3</w:t>
            </w:r>
            <w:r>
              <w:rPr>
                <w:color w:val="000000" w:themeColor="text1"/>
                <w:spacing w:val="4"/>
                <w:highlight w:val="none"/>
                <w14:textFill>
                  <w14:solidFill>
                    <w14:schemeClr w14:val="tx1"/>
                  </w14:solidFill>
                </w14:textFill>
              </w:rPr>
              <w:t>（C20</w:t>
            </w:r>
            <w:r>
              <w:rPr>
                <w:color w:val="000000" w:themeColor="text1"/>
                <w:spacing w:val="-39"/>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及以下）</w:t>
            </w:r>
          </w:p>
          <w:p w14:paraId="06B9ACC1">
            <w:pPr>
              <w:pStyle w:val="124"/>
              <w:tabs>
                <w:tab w:val="left" w:pos="525"/>
              </w:tabs>
              <w:ind w:left="105" w:leftChars="50"/>
              <w:rPr>
                <w:rFonts w:hint="eastAsia"/>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ab/>
            </w:r>
            <w:r>
              <w:rPr>
                <w:color w:val="000000" w:themeColor="text1"/>
                <w:spacing w:val="-85"/>
                <w:highlight w:val="none"/>
                <w14:textFill>
                  <w14:solidFill>
                    <w14:schemeClr w14:val="tx1"/>
                  </w14:solidFill>
                </w14:textFill>
              </w:rPr>
              <w:t xml:space="preserve"> </w:t>
            </w:r>
            <w:r>
              <w:rPr>
                <w:color w:val="000000" w:themeColor="text1"/>
                <w:spacing w:val="2"/>
                <w:highlight w:val="none"/>
                <w14:textFill>
                  <w14:solidFill>
                    <w14:schemeClr w14:val="tx1"/>
                  </w14:solidFill>
                </w14:textFill>
              </w:rPr>
              <w:t>t/m</w:t>
            </w:r>
            <w:r>
              <w:rPr>
                <w:color w:val="000000" w:themeColor="text1"/>
                <w:spacing w:val="2"/>
                <w:position w:val="10"/>
                <w:sz w:val="10"/>
                <w:szCs w:val="10"/>
                <w:highlight w:val="none"/>
                <w14:textFill>
                  <w14:solidFill>
                    <w14:schemeClr w14:val="tx1"/>
                  </w14:solidFill>
                </w14:textFill>
              </w:rPr>
              <w:t>3</w:t>
            </w:r>
            <w:r>
              <w:rPr>
                <w:color w:val="000000" w:themeColor="text1"/>
                <w:spacing w:val="2"/>
                <w:highlight w:val="none"/>
                <w14:textFill>
                  <w14:solidFill>
                    <w14:schemeClr w14:val="tx1"/>
                  </w14:solidFill>
                </w14:textFill>
              </w:rPr>
              <w:t>（C25、C30、C35）</w:t>
            </w:r>
          </w:p>
          <w:p w14:paraId="42682204">
            <w:pPr>
              <w:pStyle w:val="124"/>
              <w:tabs>
                <w:tab w:val="left" w:pos="525"/>
              </w:tabs>
              <w:ind w:left="105" w:leftChars="50"/>
              <w:rPr>
                <w:rFonts w:hint="eastAsia"/>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ab/>
            </w:r>
            <w:r>
              <w:rPr>
                <w:color w:val="000000" w:themeColor="text1"/>
                <w:spacing w:val="-86"/>
                <w:highlight w:val="none"/>
                <w14:textFill>
                  <w14:solidFill>
                    <w14:schemeClr w14:val="tx1"/>
                  </w14:solidFill>
                </w14:textFill>
              </w:rPr>
              <w:t xml:space="preserve"> </w:t>
            </w:r>
            <w:r>
              <w:rPr>
                <w:color w:val="000000" w:themeColor="text1"/>
                <w:spacing w:val="3"/>
                <w:highlight w:val="none"/>
                <w14:textFill>
                  <w14:solidFill>
                    <w14:schemeClr w14:val="tx1"/>
                  </w14:solidFill>
                </w14:textFill>
              </w:rPr>
              <w:t>t/m</w:t>
            </w:r>
            <w:r>
              <w:rPr>
                <w:color w:val="000000" w:themeColor="text1"/>
                <w:spacing w:val="3"/>
                <w:position w:val="10"/>
                <w:sz w:val="10"/>
                <w:szCs w:val="10"/>
                <w:highlight w:val="none"/>
                <w14:textFill>
                  <w14:solidFill>
                    <w14:schemeClr w14:val="tx1"/>
                  </w14:solidFill>
                </w14:textFill>
              </w:rPr>
              <w:t>3</w:t>
            </w:r>
            <w:r>
              <w:rPr>
                <w:color w:val="000000" w:themeColor="text1"/>
                <w:spacing w:val="3"/>
                <w:highlight w:val="none"/>
                <w14:textFill>
                  <w14:solidFill>
                    <w14:schemeClr w14:val="tx1"/>
                  </w14:solidFill>
                </w14:textFill>
              </w:rPr>
              <w:t>（C40）</w:t>
            </w:r>
          </w:p>
          <w:p w14:paraId="40E44970">
            <w:pPr>
              <w:pStyle w:val="124"/>
              <w:ind w:left="105" w:leftChars="50" w:firstLine="9"/>
              <w:rPr>
                <w:rFonts w:hint="eastAsia"/>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ab/>
            </w:r>
            <w:r>
              <w:rPr>
                <w:rFonts w:hint="eastAsia"/>
                <w:color w:val="000000" w:themeColor="text1"/>
                <w:highlight w:val="none"/>
                <w:u w:val="single"/>
                <w:lang w:eastAsia="zh-CN"/>
                <w14:textFill>
                  <w14:solidFill>
                    <w14:schemeClr w14:val="tx1"/>
                  </w14:solidFill>
                </w14:textFill>
              </w:rPr>
              <w:t xml:space="preserve"> </w:t>
            </w:r>
            <w:r>
              <w:rPr>
                <w:color w:val="000000" w:themeColor="text1"/>
                <w:spacing w:val="-85"/>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t/m</w:t>
            </w:r>
            <w:r>
              <w:rPr>
                <w:color w:val="000000" w:themeColor="text1"/>
                <w:spacing w:val="4"/>
                <w:position w:val="10"/>
                <w:sz w:val="10"/>
                <w:szCs w:val="10"/>
                <w:highlight w:val="none"/>
                <w14:textFill>
                  <w14:solidFill>
                    <w14:schemeClr w14:val="tx1"/>
                  </w14:solidFill>
                </w14:textFill>
              </w:rPr>
              <w:t>3</w:t>
            </w:r>
            <w:r>
              <w:rPr>
                <w:color w:val="000000" w:themeColor="text1"/>
                <w:spacing w:val="4"/>
                <w:highlight w:val="none"/>
                <w14:textFill>
                  <w14:solidFill>
                    <w14:schemeClr w14:val="tx1"/>
                  </w14:solidFill>
                </w14:textFill>
              </w:rPr>
              <w:t>（C50</w:t>
            </w:r>
            <w:r>
              <w:rPr>
                <w:color w:val="000000" w:themeColor="text1"/>
                <w:spacing w:val="-39"/>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及以上）</w:t>
            </w:r>
          </w:p>
        </w:tc>
      </w:tr>
      <w:tr w14:paraId="242F7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44" w:type="pct"/>
            <w:vAlign w:val="center"/>
          </w:tcPr>
          <w:p w14:paraId="4AB72185">
            <w:pPr>
              <w:jc w:val="center"/>
              <w:rPr>
                <w:rFonts w:ascii="Arial"/>
                <w:color w:val="000000" w:themeColor="text1"/>
                <w:highlight w:val="none"/>
                <w14:textFill>
                  <w14:solidFill>
                    <w14:schemeClr w14:val="tx1"/>
                  </w14:solidFill>
                </w14:textFill>
              </w:rPr>
            </w:pPr>
            <w:bookmarkStart w:id="269" w:name="bookmark323"/>
            <w:bookmarkEnd w:id="269"/>
          </w:p>
          <w:p w14:paraId="2BEBED36">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钢筋</w:t>
            </w:r>
          </w:p>
        </w:tc>
        <w:tc>
          <w:tcPr>
            <w:tcW w:w="1455" w:type="pct"/>
            <w:vAlign w:val="center"/>
          </w:tcPr>
          <w:p w14:paraId="691E3EDD">
            <w:pPr>
              <w:pStyle w:val="124"/>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实体工程中所有钢筋的清</w:t>
            </w:r>
            <w:r>
              <w:rPr>
                <w:color w:val="000000" w:themeColor="text1"/>
                <w:spacing w:val="6"/>
                <w:highlight w:val="none"/>
                <w:lang w:eastAsia="zh-CN"/>
                <w14:textFill>
                  <w14:solidFill>
                    <w14:schemeClr w14:val="tx1"/>
                  </w14:solidFill>
                </w14:textFill>
              </w:rPr>
              <w:t>单子目</w:t>
            </w:r>
          </w:p>
        </w:tc>
        <w:tc>
          <w:tcPr>
            <w:tcW w:w="1077" w:type="pct"/>
            <w:vAlign w:val="center"/>
          </w:tcPr>
          <w:p w14:paraId="18F73D98">
            <w:pPr>
              <w:jc w:val="center"/>
              <w:rPr>
                <w:rFonts w:ascii="Arial"/>
                <w:color w:val="000000" w:themeColor="text1"/>
                <w:highlight w:val="none"/>
                <w14:textFill>
                  <w14:solidFill>
                    <w14:schemeClr w14:val="tx1"/>
                  </w14:solidFill>
                </w14:textFill>
              </w:rPr>
            </w:pPr>
          </w:p>
          <w:p w14:paraId="6DBAAE4B">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钢筋</w:t>
            </w:r>
          </w:p>
        </w:tc>
        <w:tc>
          <w:tcPr>
            <w:tcW w:w="1422" w:type="pct"/>
          </w:tcPr>
          <w:p w14:paraId="080B5012">
            <w:pPr>
              <w:pStyle w:val="124"/>
              <w:tabs>
                <w:tab w:val="left" w:pos="530"/>
              </w:tabs>
              <w:ind w:left="105" w:leftChars="50"/>
              <w:rPr>
                <w:rFonts w:hint="eastAsia"/>
                <w:color w:val="000000" w:themeColor="text1"/>
                <w:highlight w:val="none"/>
                <w:lang w:eastAsia="zh-CN"/>
                <w14:textFill>
                  <w14:solidFill>
                    <w14:schemeClr w14:val="tx1"/>
                  </w14:solidFill>
                </w14:textFill>
              </w:rPr>
            </w:pPr>
            <w:r>
              <w:rPr>
                <w:color w:val="000000" w:themeColor="text1"/>
                <w:highlight w:val="none"/>
                <w:u w:val="single"/>
                <w:lang w:eastAsia="zh-CN"/>
                <w14:textFill>
                  <w14:solidFill>
                    <w14:schemeClr w14:val="tx1"/>
                  </w14:solidFill>
                </w14:textFill>
              </w:rPr>
              <w:tab/>
            </w:r>
            <w:r>
              <w:rPr>
                <w:color w:val="000000" w:themeColor="text1"/>
                <w:spacing w:val="-8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t/t（各钢筋清单子目取此同一单位用量）</w:t>
            </w:r>
          </w:p>
        </w:tc>
      </w:tr>
      <w:tr w14:paraId="1C3D3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44" w:type="pct"/>
            <w:vAlign w:val="center"/>
          </w:tcPr>
          <w:p w14:paraId="23B5C9C1">
            <w:pPr>
              <w:jc w:val="center"/>
              <w:rPr>
                <w:rFonts w:ascii="Arial"/>
                <w:color w:val="000000" w:themeColor="text1"/>
                <w:highlight w:val="none"/>
                <w14:textFill>
                  <w14:solidFill>
                    <w14:schemeClr w14:val="tx1"/>
                  </w14:solidFill>
                </w14:textFill>
              </w:rPr>
            </w:pPr>
          </w:p>
          <w:p w14:paraId="0E321BF6">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钢绞线</w:t>
            </w:r>
          </w:p>
        </w:tc>
        <w:tc>
          <w:tcPr>
            <w:tcW w:w="1455" w:type="pct"/>
            <w:vAlign w:val="center"/>
          </w:tcPr>
          <w:p w14:paraId="5AECD01A">
            <w:pPr>
              <w:pStyle w:val="124"/>
              <w:ind w:hanging="729"/>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实体</w:t>
            </w:r>
            <w:r>
              <w:rPr>
                <w:rFonts w:hint="eastAsia"/>
                <w:color w:val="000000" w:themeColor="text1"/>
                <w:spacing w:val="8"/>
                <w:highlight w:val="none"/>
                <w:lang w:val="en-US"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工程中所有钢绞线的</w:t>
            </w:r>
            <w:r>
              <w:rPr>
                <w:color w:val="000000" w:themeColor="text1"/>
                <w:spacing w:val="7"/>
                <w:highlight w:val="none"/>
                <w:lang w:eastAsia="zh-CN"/>
                <w14:textFill>
                  <w14:solidFill>
                    <w14:schemeClr w14:val="tx1"/>
                  </w14:solidFill>
                </w14:textFill>
              </w:rPr>
              <w:t>清单子目</w:t>
            </w:r>
          </w:p>
        </w:tc>
        <w:tc>
          <w:tcPr>
            <w:tcW w:w="1077" w:type="pct"/>
            <w:vAlign w:val="center"/>
          </w:tcPr>
          <w:p w14:paraId="38DD7ACE">
            <w:pPr>
              <w:jc w:val="center"/>
              <w:rPr>
                <w:rFonts w:ascii="Arial"/>
                <w:color w:val="000000" w:themeColor="text1"/>
                <w:highlight w:val="none"/>
                <w14:textFill>
                  <w14:solidFill>
                    <w14:schemeClr w14:val="tx1"/>
                  </w14:solidFill>
                </w14:textFill>
              </w:rPr>
            </w:pPr>
          </w:p>
          <w:p w14:paraId="69C87FD8">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钢绞线</w:t>
            </w:r>
          </w:p>
        </w:tc>
        <w:tc>
          <w:tcPr>
            <w:tcW w:w="1422" w:type="pct"/>
          </w:tcPr>
          <w:p w14:paraId="2E47D3A0">
            <w:pPr>
              <w:pStyle w:val="124"/>
              <w:tabs>
                <w:tab w:val="left" w:pos="530"/>
              </w:tabs>
              <w:ind w:left="309" w:leftChars="50" w:hanging="204"/>
              <w:rPr>
                <w:rFonts w:hint="eastAsia"/>
                <w:color w:val="000000" w:themeColor="text1"/>
                <w:highlight w:val="none"/>
                <w:lang w:eastAsia="zh-CN"/>
                <w14:textFill>
                  <w14:solidFill>
                    <w14:schemeClr w14:val="tx1"/>
                  </w14:solidFill>
                </w14:textFill>
              </w:rPr>
            </w:pPr>
            <w:r>
              <w:rPr>
                <w:color w:val="000000" w:themeColor="text1"/>
                <w:highlight w:val="none"/>
                <w:u w:val="single"/>
                <w:lang w:eastAsia="zh-CN"/>
                <w14:textFill>
                  <w14:solidFill>
                    <w14:schemeClr w14:val="tx1"/>
                  </w14:solidFill>
                </w14:textFill>
              </w:rPr>
              <w:tab/>
            </w:r>
            <w:r>
              <w:rPr>
                <w:color w:val="000000" w:themeColor="text1"/>
                <w:highlight w:val="none"/>
                <w:u w:val="single"/>
                <w:lang w:eastAsia="zh-CN"/>
                <w14:textFill>
                  <w14:solidFill>
                    <w14:schemeClr w14:val="tx1"/>
                  </w14:solidFill>
                </w14:textFill>
              </w:rPr>
              <w:tab/>
            </w:r>
            <w:r>
              <w:rPr>
                <w:color w:val="000000" w:themeColor="text1"/>
                <w:spacing w:val="-85"/>
                <w:highlight w:val="none"/>
                <w:lang w:eastAsia="zh-CN"/>
                <w14:textFill>
                  <w14:solidFill>
                    <w14:schemeClr w14:val="tx1"/>
                  </w14:solidFill>
                </w14:textFill>
              </w:rPr>
              <w:t xml:space="preserve"> </w:t>
            </w:r>
            <w:r>
              <w:rPr>
                <w:color w:val="000000" w:themeColor="text1"/>
                <w:spacing w:val="7"/>
                <w:highlight w:val="none"/>
                <w:lang w:eastAsia="zh-CN"/>
                <w14:textFill>
                  <w14:solidFill>
                    <w14:schemeClr w14:val="tx1"/>
                  </w14:solidFill>
                </w14:textFill>
              </w:rPr>
              <w:t>t/t（各钢绞线清单子</w:t>
            </w:r>
            <w:r>
              <w:rPr>
                <w:color w:val="000000" w:themeColor="text1"/>
                <w:spacing w:val="4"/>
                <w:highlight w:val="none"/>
                <w:lang w:eastAsia="zh-CN"/>
                <w14:textFill>
                  <w14:solidFill>
                    <w14:schemeClr w14:val="tx1"/>
                  </w14:solidFill>
                </w14:textFill>
              </w:rPr>
              <w:t>目取此同一单位用量）</w:t>
            </w:r>
          </w:p>
        </w:tc>
      </w:tr>
      <w:tr w14:paraId="31C47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44" w:type="pct"/>
            <w:vAlign w:val="center"/>
          </w:tcPr>
          <w:p w14:paraId="5AD200CD">
            <w:pPr>
              <w:jc w:val="center"/>
              <w:rPr>
                <w:rFonts w:ascii="Arial"/>
                <w:color w:val="000000" w:themeColor="text1"/>
                <w:highlight w:val="none"/>
                <w14:textFill>
                  <w14:solidFill>
                    <w14:schemeClr w14:val="tx1"/>
                  </w14:solidFill>
                </w14:textFill>
              </w:rPr>
            </w:pPr>
          </w:p>
          <w:p w14:paraId="5434BDE6">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沥青</w:t>
            </w:r>
          </w:p>
        </w:tc>
        <w:tc>
          <w:tcPr>
            <w:tcW w:w="1455" w:type="pct"/>
            <w:vAlign w:val="center"/>
          </w:tcPr>
          <w:p w14:paraId="2CB7D2A9">
            <w:pPr>
              <w:pStyle w:val="124"/>
              <w:ind w:hanging="729"/>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实体</w:t>
            </w:r>
            <w:r>
              <w:rPr>
                <w:rFonts w:hint="eastAsia"/>
                <w:color w:val="000000" w:themeColor="text1"/>
                <w:spacing w:val="8"/>
                <w:highlight w:val="none"/>
                <w:lang w:val="en-US" w:eastAsia="zh-CN"/>
                <w14:textFill>
                  <w14:solidFill>
                    <w14:schemeClr w14:val="tx1"/>
                  </w14:solidFill>
                </w14:textFill>
              </w:rPr>
              <w:t xml:space="preserve"> </w:t>
            </w:r>
            <w:r>
              <w:rPr>
                <w:color w:val="000000" w:themeColor="text1"/>
                <w:spacing w:val="8"/>
                <w:highlight w:val="none"/>
                <w:lang w:eastAsia="zh-CN"/>
                <w14:textFill>
                  <w14:solidFill>
                    <w14:schemeClr w14:val="tx1"/>
                  </w14:solidFill>
                </w14:textFill>
              </w:rPr>
              <w:t>工程中所有含沥青的</w:t>
            </w:r>
            <w:r>
              <w:rPr>
                <w:color w:val="000000" w:themeColor="text1"/>
                <w:spacing w:val="7"/>
                <w:highlight w:val="none"/>
                <w:lang w:eastAsia="zh-CN"/>
                <w14:textFill>
                  <w14:solidFill>
                    <w14:schemeClr w14:val="tx1"/>
                  </w14:solidFill>
                </w14:textFill>
              </w:rPr>
              <w:t>清单子目</w:t>
            </w:r>
          </w:p>
        </w:tc>
        <w:tc>
          <w:tcPr>
            <w:tcW w:w="1077" w:type="pct"/>
            <w:vAlign w:val="center"/>
          </w:tcPr>
          <w:p w14:paraId="67E2AAA7">
            <w:pPr>
              <w:jc w:val="center"/>
              <w:rPr>
                <w:rFonts w:ascii="Arial"/>
                <w:color w:val="000000" w:themeColor="text1"/>
                <w:highlight w:val="none"/>
                <w14:textFill>
                  <w14:solidFill>
                    <w14:schemeClr w14:val="tx1"/>
                  </w14:solidFill>
                </w14:textFill>
              </w:rPr>
            </w:pPr>
          </w:p>
          <w:p w14:paraId="30CCEF59">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沥青</w:t>
            </w:r>
          </w:p>
        </w:tc>
        <w:tc>
          <w:tcPr>
            <w:tcW w:w="1422" w:type="pct"/>
          </w:tcPr>
          <w:p w14:paraId="6A9FD4D0">
            <w:pPr>
              <w:pStyle w:val="124"/>
              <w:ind w:left="105" w:leftChars="50"/>
              <w:rPr>
                <w:rFonts w:hint="eastAsia"/>
                <w:color w:val="000000" w:themeColor="text1"/>
                <w:highlight w:val="none"/>
                <w:lang w:eastAsia="zh-CN"/>
                <w14:textFill>
                  <w14:solidFill>
                    <w14:schemeClr w14:val="tx1"/>
                  </w14:solidFill>
                </w14:textFill>
              </w:rPr>
            </w:pPr>
            <w:r>
              <w:rPr>
                <w:color w:val="000000" w:themeColor="text1"/>
                <w:spacing w:val="9"/>
                <w:highlight w:val="none"/>
                <w:lang w:eastAsia="zh-CN"/>
                <w14:textFill>
                  <w14:solidFill>
                    <w14:schemeClr w14:val="tx1"/>
                  </w14:solidFill>
                </w14:textFill>
              </w:rPr>
              <w:t>按批准的施工配合比计算</w:t>
            </w:r>
          </w:p>
          <w:p w14:paraId="02DE5DCB">
            <w:pPr>
              <w:pStyle w:val="124"/>
              <w:ind w:left="105" w:leftChars="50"/>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沥青用量</w:t>
            </w:r>
          </w:p>
        </w:tc>
      </w:tr>
      <w:tr w14:paraId="671F6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44" w:type="pct"/>
            <w:vAlign w:val="center"/>
          </w:tcPr>
          <w:p w14:paraId="11B738C0">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柴油</w:t>
            </w:r>
          </w:p>
        </w:tc>
        <w:tc>
          <w:tcPr>
            <w:tcW w:w="1455" w:type="pct"/>
            <w:vAlign w:val="center"/>
          </w:tcPr>
          <w:p w14:paraId="00FF7260">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具体清单子目编号</w:t>
            </w:r>
          </w:p>
        </w:tc>
        <w:tc>
          <w:tcPr>
            <w:tcW w:w="1077" w:type="pct"/>
            <w:vAlign w:val="center"/>
          </w:tcPr>
          <w:p w14:paraId="02A620AC">
            <w:pPr>
              <w:pStyle w:val="124"/>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具体清单项目名称</w:t>
            </w:r>
          </w:p>
        </w:tc>
        <w:tc>
          <w:tcPr>
            <w:tcW w:w="1422" w:type="pct"/>
          </w:tcPr>
          <w:p w14:paraId="455C8252">
            <w:pPr>
              <w:pStyle w:val="124"/>
              <w:tabs>
                <w:tab w:val="left" w:pos="1291"/>
              </w:tabs>
              <w:ind w:left="105" w:leftChars="50"/>
              <w:rPr>
                <w:rFonts w:hint="eastAsia"/>
                <w:color w:val="000000" w:themeColor="text1"/>
                <w:sz w:val="10"/>
                <w:szCs w:val="10"/>
                <w:highlight w:val="none"/>
                <w14:textFill>
                  <w14:solidFill>
                    <w14:schemeClr w14:val="tx1"/>
                  </w14:solidFill>
                </w14:textFill>
              </w:rPr>
            </w:pPr>
            <w:r>
              <w:rPr>
                <w:color w:val="000000" w:themeColor="text1"/>
                <w:highlight w:val="none"/>
                <w:u w:val="single"/>
                <w14:textFill>
                  <w14:solidFill>
                    <w14:schemeClr w14:val="tx1"/>
                  </w14:solidFill>
                </w14:textFill>
              </w:rPr>
              <w:tab/>
            </w:r>
            <w:r>
              <w:rPr>
                <w:color w:val="000000" w:themeColor="text1"/>
                <w:spacing w:val="-92"/>
                <w:highlight w:val="none"/>
                <w14:textFill>
                  <w14:solidFill>
                    <w14:schemeClr w14:val="tx1"/>
                  </w14:solidFill>
                </w14:textFill>
              </w:rPr>
              <w:t xml:space="preserve"> </w:t>
            </w:r>
            <w:r>
              <w:rPr>
                <w:color w:val="000000" w:themeColor="text1"/>
                <w:highlight w:val="none"/>
                <w14:textFill>
                  <w14:solidFill>
                    <w14:schemeClr w14:val="tx1"/>
                  </w14:solidFill>
                </w14:textFill>
              </w:rPr>
              <w:t>kg</w:t>
            </w:r>
            <w:r>
              <w:rPr>
                <w:color w:val="000000" w:themeColor="text1"/>
                <w:spacing w:val="5"/>
                <w:highlight w:val="none"/>
                <w14:textFill>
                  <w14:solidFill>
                    <w14:schemeClr w14:val="tx1"/>
                  </w14:solidFill>
                </w14:textFill>
              </w:rPr>
              <w:t>/m</w:t>
            </w:r>
            <w:r>
              <w:rPr>
                <w:color w:val="000000" w:themeColor="text1"/>
                <w:spacing w:val="5"/>
                <w:position w:val="9"/>
                <w:sz w:val="10"/>
                <w:szCs w:val="10"/>
                <w:highlight w:val="none"/>
                <w14:textFill>
                  <w14:solidFill>
                    <w14:schemeClr w14:val="tx1"/>
                  </w14:solidFill>
                </w14:textFill>
              </w:rPr>
              <w:t>3</w:t>
            </w:r>
          </w:p>
        </w:tc>
      </w:tr>
      <w:tr w14:paraId="7BB32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44" w:type="pct"/>
            <w:vAlign w:val="center"/>
          </w:tcPr>
          <w:p w14:paraId="36425B98">
            <w:pPr>
              <w:jc w:val="center"/>
              <w:rPr>
                <w:rFonts w:ascii="Arial"/>
                <w:color w:val="000000" w:themeColor="text1"/>
                <w:highlight w:val="none"/>
                <w14:textFill>
                  <w14:solidFill>
                    <w14:schemeClr w14:val="tx1"/>
                  </w14:solidFill>
                </w14:textFill>
              </w:rPr>
            </w:pPr>
          </w:p>
          <w:p w14:paraId="0B4B387F">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混凝土管桩</w:t>
            </w:r>
          </w:p>
        </w:tc>
        <w:tc>
          <w:tcPr>
            <w:tcW w:w="1455" w:type="pct"/>
            <w:vAlign w:val="center"/>
          </w:tcPr>
          <w:p w14:paraId="2BD3D35F">
            <w:pPr>
              <w:pStyle w:val="124"/>
              <w:ind w:hanging="520"/>
              <w:jc w:val="center"/>
              <w:rPr>
                <w:rFonts w:hint="eastAsia"/>
                <w:color w:val="000000" w:themeColor="text1"/>
                <w:highlight w:val="none"/>
                <w:lang w:eastAsia="zh-CN"/>
                <w14:textFill>
                  <w14:solidFill>
                    <w14:schemeClr w14:val="tx1"/>
                  </w14:solidFill>
                </w14:textFill>
              </w:rPr>
            </w:pPr>
            <w:r>
              <w:rPr>
                <w:color w:val="000000" w:themeColor="text1"/>
                <w:spacing w:val="8"/>
                <w:highlight w:val="none"/>
                <w:lang w:eastAsia="zh-CN"/>
                <w14:textFill>
                  <w14:solidFill>
                    <w14:schemeClr w14:val="tx1"/>
                  </w14:solidFill>
                </w14:textFill>
              </w:rPr>
              <w:t>实体工程中所有混凝土管桩的清单子目</w:t>
            </w:r>
          </w:p>
        </w:tc>
        <w:tc>
          <w:tcPr>
            <w:tcW w:w="1077" w:type="pct"/>
            <w:vAlign w:val="center"/>
          </w:tcPr>
          <w:p w14:paraId="7BBC315F">
            <w:pPr>
              <w:jc w:val="center"/>
              <w:rPr>
                <w:rFonts w:ascii="Arial"/>
                <w:color w:val="000000" w:themeColor="text1"/>
                <w:highlight w:val="none"/>
                <w14:textFill>
                  <w14:solidFill>
                    <w14:schemeClr w14:val="tx1"/>
                  </w14:solidFill>
                </w14:textFill>
              </w:rPr>
            </w:pPr>
          </w:p>
          <w:p w14:paraId="585963A2">
            <w:pPr>
              <w:pStyle w:val="124"/>
              <w:jc w:val="center"/>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混凝土管桩</w:t>
            </w:r>
          </w:p>
        </w:tc>
        <w:tc>
          <w:tcPr>
            <w:tcW w:w="1422" w:type="pct"/>
          </w:tcPr>
          <w:p w14:paraId="56416796">
            <w:pPr>
              <w:ind w:left="105" w:leftChars="50"/>
              <w:rPr>
                <w:rFonts w:ascii="Arial"/>
                <w:color w:val="000000" w:themeColor="text1"/>
                <w:highlight w:val="none"/>
                <w14:textFill>
                  <w14:solidFill>
                    <w14:schemeClr w14:val="tx1"/>
                  </w14:solidFill>
                </w14:textFill>
              </w:rPr>
            </w:pPr>
          </w:p>
          <w:p w14:paraId="50943BA7">
            <w:pPr>
              <w:pStyle w:val="124"/>
              <w:tabs>
                <w:tab w:val="left" w:pos="1370"/>
              </w:tabs>
              <w:ind w:left="105" w:leftChars="50"/>
              <w:rPr>
                <w:rFonts w:hint="eastAsia"/>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ab/>
            </w:r>
            <w:r>
              <w:rPr>
                <w:color w:val="000000" w:themeColor="text1"/>
                <w:spacing w:val="-96"/>
                <w:highlight w:val="none"/>
                <w14:textFill>
                  <w14:solidFill>
                    <w14:schemeClr w14:val="tx1"/>
                  </w14:solidFill>
                </w14:textFill>
              </w:rPr>
              <w:t xml:space="preserve"> </w:t>
            </w:r>
            <w:r>
              <w:rPr>
                <w:color w:val="000000" w:themeColor="text1"/>
                <w:spacing w:val="4"/>
                <w:highlight w:val="none"/>
                <w14:textFill>
                  <w14:solidFill>
                    <w14:schemeClr w14:val="tx1"/>
                  </w14:solidFill>
                </w14:textFill>
              </w:rPr>
              <w:t>m/m</w:t>
            </w:r>
          </w:p>
        </w:tc>
      </w:tr>
      <w:tr w14:paraId="73149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044" w:type="pct"/>
            <w:vAlign w:val="center"/>
          </w:tcPr>
          <w:p w14:paraId="47AB729A">
            <w:pPr>
              <w:spacing w:line="260" w:lineRule="auto"/>
              <w:jc w:val="center"/>
              <w:rPr>
                <w:rFonts w:ascii="Arial"/>
                <w:color w:val="000000" w:themeColor="text1"/>
                <w:highlight w:val="none"/>
                <w14:textFill>
                  <w14:solidFill>
                    <w14:schemeClr w14:val="tx1"/>
                  </w14:solidFill>
                </w14:textFill>
              </w:rPr>
            </w:pPr>
          </w:p>
          <w:p w14:paraId="48013738">
            <w:pPr>
              <w:pStyle w:val="124"/>
              <w:spacing w:before="65" w:line="83" w:lineRule="exact"/>
              <w:ind w:left="823"/>
              <w:jc w:val="center"/>
              <w:rPr>
                <w:rFonts w:hint="eastAsia"/>
                <w:color w:val="000000" w:themeColor="text1"/>
                <w:highlight w:val="none"/>
                <w14:textFill>
                  <w14:solidFill>
                    <w14:schemeClr w14:val="tx1"/>
                  </w14:solidFill>
                </w14:textFill>
              </w:rPr>
            </w:pPr>
            <w:r>
              <w:rPr>
                <w:color w:val="000000" w:themeColor="text1"/>
                <w:spacing w:val="3"/>
                <w:position w:val="1"/>
                <w:highlight w:val="none"/>
                <w14:textFill>
                  <w14:solidFill>
                    <w14:schemeClr w14:val="tx1"/>
                  </w14:solidFill>
                </w14:textFill>
              </w:rPr>
              <w:t>...</w:t>
            </w:r>
          </w:p>
        </w:tc>
        <w:tc>
          <w:tcPr>
            <w:tcW w:w="1455" w:type="pct"/>
            <w:vAlign w:val="center"/>
          </w:tcPr>
          <w:p w14:paraId="59BBA743">
            <w:pPr>
              <w:jc w:val="center"/>
              <w:rPr>
                <w:rFonts w:ascii="Arial"/>
                <w:color w:val="000000" w:themeColor="text1"/>
                <w:highlight w:val="none"/>
                <w14:textFill>
                  <w14:solidFill>
                    <w14:schemeClr w14:val="tx1"/>
                  </w14:solidFill>
                </w14:textFill>
              </w:rPr>
            </w:pPr>
          </w:p>
        </w:tc>
        <w:tc>
          <w:tcPr>
            <w:tcW w:w="1077" w:type="pct"/>
            <w:vAlign w:val="center"/>
          </w:tcPr>
          <w:p w14:paraId="7D5C3ABD">
            <w:pPr>
              <w:jc w:val="center"/>
              <w:rPr>
                <w:rFonts w:ascii="Arial"/>
                <w:color w:val="000000" w:themeColor="text1"/>
                <w:highlight w:val="none"/>
                <w14:textFill>
                  <w14:solidFill>
                    <w14:schemeClr w14:val="tx1"/>
                  </w14:solidFill>
                </w14:textFill>
              </w:rPr>
            </w:pPr>
          </w:p>
        </w:tc>
        <w:tc>
          <w:tcPr>
            <w:tcW w:w="1422" w:type="pct"/>
          </w:tcPr>
          <w:p w14:paraId="764A49C5">
            <w:pPr>
              <w:rPr>
                <w:rFonts w:ascii="Arial"/>
                <w:color w:val="000000" w:themeColor="text1"/>
                <w:highlight w:val="none"/>
                <w14:textFill>
                  <w14:solidFill>
                    <w14:schemeClr w14:val="tx1"/>
                  </w14:solidFill>
                </w14:textFill>
              </w:rPr>
            </w:pPr>
          </w:p>
        </w:tc>
      </w:tr>
    </w:tbl>
    <w:p w14:paraId="6FD2BB29">
      <w:pPr>
        <w:pStyle w:val="3"/>
        <w:spacing w:line="320" w:lineRule="auto"/>
        <w:rPr>
          <w:color w:val="000000" w:themeColor="text1"/>
          <w:highlight w:val="none"/>
          <w14:textFill>
            <w14:solidFill>
              <w14:schemeClr w14:val="tx1"/>
            </w14:solidFill>
          </w14:textFill>
        </w:rPr>
      </w:pPr>
    </w:p>
    <w:p w14:paraId="3F0EEFAD">
      <w:pPr>
        <w:spacing w:line="360" w:lineRule="auto"/>
        <w:ind w:left="539"/>
        <w:rPr>
          <w:rFonts w:hint="eastAsia" w:ascii="宋体" w:hAnsi="宋体" w:cs="宋体"/>
          <w:color w:val="000000" w:themeColor="text1"/>
          <w:sz w:val="20"/>
          <w:szCs w:val="20"/>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2505075</wp:posOffset>
                </wp:positionH>
                <wp:positionV relativeFrom="paragraph">
                  <wp:posOffset>-34290</wp:posOffset>
                </wp:positionV>
                <wp:extent cx="248920" cy="120015"/>
                <wp:effectExtent l="0" t="3810" r="0" b="0"/>
                <wp:wrapNone/>
                <wp:docPr id="1702553101"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248920" cy="120015"/>
                        </a:xfrm>
                        <a:prstGeom prst="rect">
                          <a:avLst/>
                        </a:prstGeom>
                        <a:noFill/>
                        <a:ln>
                          <a:noFill/>
                        </a:ln>
                      </wps:spPr>
                      <wps:txbx>
                        <w:txbxContent>
                          <w:p w14:paraId="3CA59945">
                            <w:pPr>
                              <w:spacing w:before="20" w:line="196" w:lineRule="auto"/>
                              <w:ind w:left="20"/>
                              <w:rPr>
                                <w:rFonts w:hint="eastAsia" w:ascii="宋体" w:hAnsi="宋体" w:cs="宋体"/>
                                <w:sz w:val="14"/>
                                <w:szCs w:val="14"/>
                              </w:rPr>
                            </w:pPr>
                            <w:r>
                              <w:rPr>
                                <w:rFonts w:ascii="宋体" w:hAnsi="宋体" w:cs="宋体"/>
                                <w:spacing w:val="-3"/>
                                <w:sz w:val="14"/>
                                <w:szCs w:val="14"/>
                              </w:rPr>
                              <w:t>3</w:t>
                            </w:r>
                            <w:r>
                              <w:rPr>
                                <w:rFonts w:ascii="宋体" w:hAnsi="宋体" w:cs="宋体"/>
                                <w:spacing w:val="3"/>
                                <w:sz w:val="14"/>
                                <w:szCs w:val="14"/>
                              </w:rPr>
                              <w:t xml:space="preserve">   </w:t>
                            </w:r>
                            <w:r>
                              <w:rPr>
                                <w:rFonts w:ascii="宋体" w:hAnsi="宋体" w:cs="宋体"/>
                                <w:spacing w:val="-3"/>
                                <w:sz w:val="14"/>
                                <w:szCs w:val="14"/>
                              </w:rPr>
                              <w:t>3</w:t>
                            </w:r>
                          </w:p>
                        </w:txbxContent>
                      </wps:txbx>
                      <wps:bodyPr rot="0" vert="horz" wrap="square" lIns="0" tIns="0" rIns="0" bIns="0" anchor="t" anchorCtr="0" upright="1">
                        <a:noAutofit/>
                      </wps:bodyPr>
                    </wps:wsp>
                  </a:graphicData>
                </a:graphic>
              </wp:anchor>
            </w:drawing>
          </mc:Choice>
          <mc:Fallback>
            <w:pict>
              <v:shape id="文本框 21" o:spid="_x0000_s1026" o:spt="202" type="#_x0000_t202" style="position:absolute;left:0pt;margin-left:197.25pt;margin-top:-2.7pt;height:9.45pt;width:19.6pt;z-index:251660288;mso-width-relative:page;mso-height-relative:page;" filled="f" stroked="f" coordsize="21600,21600" o:gfxdata="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Ge5NdkAAAAJAQAADwAAAAAA&#10;AAABACAAAAAiAAAAZHJzL2Rvd25yZXYueG1sUEsBAhQAFAAAAAgAh07iQNmqF+ISAgAADgQAAA4A&#10;AAAAAAAAAQAgAAAAKAEAAGRycy9lMm9Eb2MueG1sUEsFBgAAAAAGAAYAWQEAAKwFAAAAAA==&#10;">
                <v:fill on="f" focussize="0,0"/>
                <v:stroke on="f"/>
                <v:imagedata o:title=""/>
                <o:lock v:ext="edit" aspectratio="f"/>
                <v:textbox inset="0mm,0mm,0mm,0mm">
                  <w:txbxContent>
                    <w:p w14:paraId="3CA59945">
                      <w:pPr>
                        <w:spacing w:before="20" w:line="196" w:lineRule="auto"/>
                        <w:ind w:left="20"/>
                        <w:rPr>
                          <w:rFonts w:hint="eastAsia" w:ascii="宋体" w:hAnsi="宋体" w:cs="宋体"/>
                          <w:sz w:val="14"/>
                          <w:szCs w:val="14"/>
                        </w:rPr>
                      </w:pPr>
                      <w:r>
                        <w:rPr>
                          <w:rFonts w:ascii="宋体" w:hAnsi="宋体" w:cs="宋体"/>
                          <w:spacing w:val="-3"/>
                          <w:sz w:val="14"/>
                          <w:szCs w:val="14"/>
                        </w:rPr>
                        <w:t>3</w:t>
                      </w:r>
                      <w:r>
                        <w:rPr>
                          <w:rFonts w:ascii="宋体" w:hAnsi="宋体" w:cs="宋体"/>
                          <w:spacing w:val="3"/>
                          <w:sz w:val="14"/>
                          <w:szCs w:val="14"/>
                        </w:rPr>
                        <w:t xml:space="preserve">   </w:t>
                      </w:r>
                      <w:r>
                        <w:rPr>
                          <w:rFonts w:ascii="宋体" w:hAnsi="宋体" w:cs="宋体"/>
                          <w:spacing w:val="-3"/>
                          <w:sz w:val="14"/>
                          <w:szCs w:val="14"/>
                        </w:rPr>
                        <w:t>3</w:t>
                      </w:r>
                    </w:p>
                  </w:txbxContent>
                </v:textbox>
              </v:shape>
            </w:pict>
          </mc:Fallback>
        </mc:AlternateContent>
      </w:r>
      <w:r>
        <w:rPr>
          <w:rFonts w:ascii="宋体" w:hAnsi="宋体" w:cs="宋体"/>
          <w:color w:val="000000" w:themeColor="text1"/>
          <w:spacing w:val="6"/>
          <w:sz w:val="20"/>
          <w:szCs w:val="20"/>
          <w:highlight w:val="none"/>
          <w14:textFill>
            <w14:solidFill>
              <w14:schemeClr w14:val="tx1"/>
            </w14:solidFill>
          </w14:textFill>
        </w:rPr>
        <w:t>注</w:t>
      </w:r>
      <w:r>
        <w:rPr>
          <w:rFonts w:ascii="宋体" w:hAnsi="宋体" w:cs="宋体"/>
          <w:color w:val="000000" w:themeColor="text1"/>
          <w:spacing w:val="-58"/>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 1.石料单位用量指标中单位</w:t>
      </w:r>
      <w:r>
        <w:rPr>
          <w:rFonts w:ascii="宋体" w:hAnsi="宋体" w:cs="宋体"/>
          <w:color w:val="000000" w:themeColor="text1"/>
          <w:spacing w:val="6"/>
          <w:sz w:val="20"/>
          <w:szCs w:val="20"/>
          <w:highlight w:val="none"/>
          <w:u w:val="single"/>
          <w14:textFill>
            <w14:solidFill>
              <w14:schemeClr w14:val="tx1"/>
            </w14:solidFill>
          </w14:textFill>
        </w:rPr>
        <w:t xml:space="preserve">    </w:t>
      </w:r>
      <w:r>
        <w:rPr>
          <w:rFonts w:ascii="宋体" w:hAnsi="宋体" w:cs="宋体"/>
          <w:color w:val="000000" w:themeColor="text1"/>
          <w:spacing w:val="-98"/>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m</w:t>
      </w:r>
      <w:r>
        <w:rPr>
          <w:rFonts w:ascii="宋体" w:hAnsi="宋体" w:cs="宋体"/>
          <w:color w:val="000000" w:themeColor="text1"/>
          <w:spacing w:val="-17"/>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/m 代表每计量</w:t>
      </w:r>
      <w:r>
        <w:rPr>
          <w:rFonts w:ascii="宋体" w:hAnsi="宋体" w:cs="宋体"/>
          <w:color w:val="000000" w:themeColor="text1"/>
          <w:spacing w:val="-24"/>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1</w:t>
      </w:r>
      <w:r>
        <w:rPr>
          <w:rFonts w:ascii="宋体" w:hAnsi="宋体" w:cs="宋体"/>
          <w:color w:val="000000" w:themeColor="text1"/>
          <w:spacing w:val="-38"/>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立方米实体工程消耗的石料</w:t>
      </w:r>
      <w:r>
        <w:rPr>
          <w:rFonts w:ascii="宋体" w:hAnsi="宋体" w:cs="宋体"/>
          <w:color w:val="000000" w:themeColor="text1"/>
          <w:spacing w:val="5"/>
          <w:sz w:val="20"/>
          <w:szCs w:val="20"/>
          <w:highlight w:val="none"/>
          <w14:textFill>
            <w14:solidFill>
              <w14:schemeClr w14:val="tx1"/>
            </w14:solidFill>
          </w14:textFill>
        </w:rPr>
        <w:t>堆方数量为</w:t>
      </w:r>
    </w:p>
    <w:p w14:paraId="3BF9FDD1">
      <w:pPr>
        <w:spacing w:line="360" w:lineRule="auto"/>
        <w:ind w:left="119"/>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7"/>
          <w:sz w:val="20"/>
          <w:szCs w:val="20"/>
          <w:highlight w:val="none"/>
          <w14:textFill>
            <w14:solidFill>
              <w14:schemeClr w14:val="tx1"/>
            </w14:solidFill>
          </w14:textFill>
        </w:rPr>
        <w:t>立方米；</w:t>
      </w:r>
      <w:r>
        <w:rPr>
          <w:rFonts w:ascii="宋体" w:hAnsi="宋体" w:cs="宋体"/>
          <w:color w:val="000000" w:themeColor="text1"/>
          <w:spacing w:val="7"/>
          <w:sz w:val="20"/>
          <w:szCs w:val="20"/>
          <w:highlight w:val="none"/>
          <w:u w:val="single"/>
          <w14:textFill>
            <w14:solidFill>
              <w14:schemeClr w14:val="tx1"/>
            </w14:solidFill>
          </w14:textFill>
        </w:rPr>
        <w:t xml:space="preserve">    </w:t>
      </w:r>
      <w:r>
        <w:rPr>
          <w:rFonts w:ascii="宋体" w:hAnsi="宋体" w:cs="宋体"/>
          <w:color w:val="000000" w:themeColor="text1"/>
          <w:spacing w:val="-94"/>
          <w:sz w:val="20"/>
          <w:szCs w:val="20"/>
          <w:highlight w:val="none"/>
          <w14:textFill>
            <w14:solidFill>
              <w14:schemeClr w14:val="tx1"/>
            </w14:solidFill>
          </w14:textFill>
        </w:rPr>
        <w:t xml:space="preserve"> </w:t>
      </w:r>
      <w:r>
        <w:rPr>
          <w:rFonts w:ascii="宋体" w:hAnsi="宋体" w:cs="宋体"/>
          <w:color w:val="000000" w:themeColor="text1"/>
          <w:sz w:val="20"/>
          <w:szCs w:val="20"/>
          <w:highlight w:val="none"/>
          <w14:textFill>
            <w14:solidFill>
              <w14:schemeClr w14:val="tx1"/>
            </w14:solidFill>
          </w14:textFill>
        </w:rPr>
        <w:t>kg</w:t>
      </w:r>
      <w:r>
        <w:rPr>
          <w:rFonts w:ascii="宋体" w:hAnsi="宋体" w:cs="宋体"/>
          <w:color w:val="000000" w:themeColor="text1"/>
          <w:spacing w:val="7"/>
          <w:sz w:val="20"/>
          <w:szCs w:val="20"/>
          <w:highlight w:val="none"/>
          <w14:textFill>
            <w14:solidFill>
              <w14:schemeClr w14:val="tx1"/>
            </w14:solidFill>
          </w14:textFill>
        </w:rPr>
        <w:t>/m3</w:t>
      </w:r>
      <w:r>
        <w:rPr>
          <w:rFonts w:ascii="宋体" w:hAnsi="宋体" w:cs="宋体"/>
          <w:color w:val="000000" w:themeColor="text1"/>
          <w:spacing w:val="-39"/>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代表每计量</w:t>
      </w:r>
      <w:r>
        <w:rPr>
          <w:rFonts w:ascii="宋体" w:hAnsi="宋体" w:cs="宋体"/>
          <w:color w:val="000000" w:themeColor="text1"/>
          <w:spacing w:val="-23"/>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1</w:t>
      </w:r>
      <w:r>
        <w:rPr>
          <w:rFonts w:ascii="宋体" w:hAnsi="宋体" w:cs="宋体"/>
          <w:color w:val="000000" w:themeColor="text1"/>
          <w:spacing w:val="-38"/>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立方米实体工程消耗的重量为</w:t>
      </w:r>
      <w:r>
        <w:rPr>
          <w:rFonts w:ascii="宋体" w:hAnsi="宋体" w:cs="宋体"/>
          <w:color w:val="000000" w:themeColor="text1"/>
          <w:spacing w:val="7"/>
          <w:sz w:val="20"/>
          <w:szCs w:val="20"/>
          <w:highlight w:val="none"/>
          <w:u w:val="single"/>
          <w14:textFill>
            <w14:solidFill>
              <w14:schemeClr w14:val="tx1"/>
            </w14:solidFill>
          </w14:textFill>
        </w:rPr>
        <w:t xml:space="preserve">    </w:t>
      </w:r>
      <w:r>
        <w:rPr>
          <w:rFonts w:ascii="宋体" w:hAnsi="宋体" w:cs="宋体"/>
          <w:color w:val="000000" w:themeColor="text1"/>
          <w:spacing w:val="-86"/>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公斤。其余以此类</w:t>
      </w:r>
      <w:r>
        <w:rPr>
          <w:rFonts w:ascii="宋体" w:hAnsi="宋体" w:cs="宋体"/>
          <w:color w:val="000000" w:themeColor="text1"/>
          <w:spacing w:val="6"/>
          <w:sz w:val="20"/>
          <w:szCs w:val="20"/>
          <w:highlight w:val="none"/>
          <w14:textFill>
            <w14:solidFill>
              <w14:schemeClr w14:val="tx1"/>
            </w14:solidFill>
          </w14:textFill>
        </w:rPr>
        <w:t>推。</w:t>
      </w:r>
    </w:p>
    <w:p w14:paraId="0B855E05">
      <w:pPr>
        <w:spacing w:line="360" w:lineRule="auto"/>
        <w:ind w:left="119" w:right="113" w:firstLine="422"/>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8"/>
          <w:sz w:val="20"/>
          <w:szCs w:val="20"/>
          <w:highlight w:val="none"/>
          <w14:textFill>
            <w14:solidFill>
              <w14:schemeClr w14:val="tx1"/>
            </w14:solidFill>
          </w14:textFill>
        </w:rPr>
        <w:t>2.碎石统一按照定额材料代号</w:t>
      </w:r>
      <w:r>
        <w:rPr>
          <w:rFonts w:ascii="宋体" w:hAnsi="宋体" w:cs="宋体"/>
          <w:color w:val="000000" w:themeColor="text1"/>
          <w:spacing w:val="-15"/>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5505016</w:t>
      </w:r>
      <w:r>
        <w:rPr>
          <w:rFonts w:ascii="宋体" w:hAnsi="宋体" w:cs="宋体"/>
          <w:color w:val="000000" w:themeColor="text1"/>
          <w:spacing w:val="-35"/>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号“碎石</w:t>
      </w:r>
      <w:r>
        <w:rPr>
          <w:rFonts w:ascii="宋体" w:hAnsi="宋体" w:cs="宋体"/>
          <w:color w:val="000000" w:themeColor="text1"/>
          <w:spacing w:val="-70"/>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”价格进行调整；机制砂统一按照定额材料代</w:t>
      </w:r>
      <w:r>
        <w:rPr>
          <w:rFonts w:ascii="宋体" w:hAnsi="宋体" w:cs="宋体"/>
          <w:color w:val="000000" w:themeColor="text1"/>
          <w:spacing w:val="9"/>
          <w:sz w:val="20"/>
          <w:szCs w:val="20"/>
          <w:highlight w:val="none"/>
          <w14:textFill>
            <w14:solidFill>
              <w14:schemeClr w14:val="tx1"/>
            </w14:solidFill>
          </w14:textFill>
        </w:rPr>
        <w:t>号</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9"/>
          <w:sz w:val="20"/>
          <w:szCs w:val="20"/>
          <w:highlight w:val="none"/>
          <w14:textFill>
            <w14:solidFill>
              <w14:schemeClr w14:val="tx1"/>
            </w14:solidFill>
          </w14:textFill>
        </w:rPr>
        <w:t>5503002</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9"/>
          <w:sz w:val="20"/>
          <w:szCs w:val="20"/>
          <w:highlight w:val="none"/>
          <w14:textFill>
            <w14:solidFill>
              <w14:schemeClr w14:val="tx1"/>
            </w14:solidFill>
          </w14:textFill>
        </w:rPr>
        <w:t>号“机制砂</w:t>
      </w:r>
      <w:r>
        <w:rPr>
          <w:rFonts w:ascii="宋体" w:hAnsi="宋体" w:cs="宋体"/>
          <w:color w:val="000000" w:themeColor="text1"/>
          <w:spacing w:val="-72"/>
          <w:sz w:val="20"/>
          <w:szCs w:val="20"/>
          <w:highlight w:val="none"/>
          <w14:textFill>
            <w14:solidFill>
              <w14:schemeClr w14:val="tx1"/>
            </w14:solidFill>
          </w14:textFill>
        </w:rPr>
        <w:t xml:space="preserve"> </w:t>
      </w:r>
      <w:r>
        <w:rPr>
          <w:rFonts w:ascii="宋体" w:hAnsi="宋体" w:cs="宋体"/>
          <w:color w:val="000000" w:themeColor="text1"/>
          <w:spacing w:val="9"/>
          <w:sz w:val="20"/>
          <w:szCs w:val="20"/>
          <w:highlight w:val="none"/>
          <w14:textFill>
            <w14:solidFill>
              <w14:schemeClr w14:val="tx1"/>
            </w14:solidFill>
          </w14:textFill>
        </w:rPr>
        <w:t>”价格进行调整。若采用机制砂，计算</w:t>
      </w:r>
      <w:r>
        <w:rPr>
          <w:rFonts w:ascii="宋体" w:hAnsi="宋体" w:cs="宋体"/>
          <w:color w:val="000000" w:themeColor="text1"/>
          <w:spacing w:val="8"/>
          <w:sz w:val="20"/>
          <w:szCs w:val="20"/>
          <w:highlight w:val="none"/>
          <w14:textFill>
            <w14:solidFill>
              <w14:schemeClr w14:val="tx1"/>
            </w14:solidFill>
          </w14:textFill>
        </w:rPr>
        <w:t>调价材料数量的单位用量指标按砂用</w:t>
      </w:r>
      <w:r>
        <w:rPr>
          <w:rFonts w:ascii="宋体" w:hAnsi="宋体" w:cs="宋体"/>
          <w:color w:val="000000" w:themeColor="text1"/>
          <w:sz w:val="20"/>
          <w:szCs w:val="20"/>
          <w:highlight w:val="none"/>
          <w14:textFill>
            <w14:solidFill>
              <w14:schemeClr w14:val="tx1"/>
            </w14:solidFill>
          </w14:textFill>
        </w:rPr>
        <w:t>量。</w:t>
      </w:r>
    </w:p>
    <w:p w14:paraId="4ACD3F35">
      <w:pPr>
        <w:spacing w:line="360" w:lineRule="auto"/>
        <w:ind w:left="119" w:right="113" w:firstLine="424"/>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9"/>
          <w:sz w:val="20"/>
          <w:szCs w:val="20"/>
          <w:highlight w:val="none"/>
          <w14:textFill>
            <w14:solidFill>
              <w14:schemeClr w14:val="tx1"/>
            </w14:solidFill>
          </w14:textFill>
        </w:rPr>
        <w:t>3. 桥梁桩基础混凝土中的水泥统一按照定额材料</w:t>
      </w:r>
      <w:r>
        <w:rPr>
          <w:rFonts w:ascii="宋体" w:hAnsi="宋体" w:cs="宋体"/>
          <w:color w:val="000000" w:themeColor="text1"/>
          <w:spacing w:val="8"/>
          <w:sz w:val="20"/>
          <w:szCs w:val="20"/>
          <w:highlight w:val="none"/>
          <w14:textFill>
            <w14:solidFill>
              <w14:schemeClr w14:val="tx1"/>
            </w14:solidFill>
          </w14:textFill>
        </w:rPr>
        <w:t>代号</w:t>
      </w:r>
      <w:r>
        <w:rPr>
          <w:rFonts w:ascii="宋体" w:hAnsi="宋体" w:cs="宋体"/>
          <w:color w:val="000000" w:themeColor="text1"/>
          <w:spacing w:val="-30"/>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5509002</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号“42.5</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级水泥</w:t>
      </w:r>
      <w:r>
        <w:rPr>
          <w:rFonts w:ascii="宋体" w:hAnsi="宋体" w:cs="宋体"/>
          <w:color w:val="000000" w:themeColor="text1"/>
          <w:spacing w:val="-67"/>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”价格进行调</w:t>
      </w:r>
      <w:r>
        <w:rPr>
          <w:rFonts w:ascii="宋体" w:hAnsi="宋体" w:cs="宋体"/>
          <w:color w:val="000000" w:themeColor="text1"/>
          <w:spacing w:val="9"/>
          <w:sz w:val="20"/>
          <w:szCs w:val="20"/>
          <w:highlight w:val="none"/>
          <w14:textFill>
            <w14:solidFill>
              <w14:schemeClr w14:val="tx1"/>
            </w14:solidFill>
          </w14:textFill>
        </w:rPr>
        <w:t>整；其他实体工程混凝土中的水泥，标号小于</w:t>
      </w:r>
      <w:r>
        <w:rPr>
          <w:rFonts w:ascii="宋体" w:hAnsi="宋体" w:cs="宋体"/>
          <w:color w:val="000000" w:themeColor="text1"/>
          <w:spacing w:val="8"/>
          <w:sz w:val="20"/>
          <w:szCs w:val="20"/>
          <w:highlight w:val="none"/>
          <w14:textFill>
            <w14:solidFill>
              <w14:schemeClr w14:val="tx1"/>
            </w14:solidFill>
          </w14:textFill>
        </w:rPr>
        <w:t>等于C40</w:t>
      </w:r>
      <w:r>
        <w:rPr>
          <w:rFonts w:ascii="宋体" w:hAnsi="宋体" w:cs="宋体"/>
          <w:color w:val="000000" w:themeColor="text1"/>
          <w:spacing w:val="-24"/>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的统一按照定额材料代号</w:t>
      </w:r>
      <w:r>
        <w:rPr>
          <w:rFonts w:ascii="宋体" w:hAnsi="宋体" w:cs="宋体"/>
          <w:color w:val="000000" w:themeColor="text1"/>
          <w:spacing w:val="-32"/>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5509002</w:t>
      </w:r>
      <w:r>
        <w:rPr>
          <w:rFonts w:ascii="宋体" w:hAnsi="宋体" w:cs="宋体"/>
          <w:color w:val="000000" w:themeColor="text1"/>
          <w:spacing w:val="-36"/>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号“42.5</w:t>
      </w:r>
      <w:r>
        <w:rPr>
          <w:rFonts w:ascii="宋体" w:hAnsi="宋体" w:cs="宋体"/>
          <w:color w:val="000000" w:themeColor="text1"/>
          <w:spacing w:val="7"/>
          <w:sz w:val="20"/>
          <w:szCs w:val="20"/>
          <w:highlight w:val="none"/>
          <w14:textFill>
            <w14:solidFill>
              <w14:schemeClr w14:val="tx1"/>
            </w14:solidFill>
          </w14:textFill>
        </w:rPr>
        <w:t>级水泥</w:t>
      </w:r>
      <w:r>
        <w:rPr>
          <w:rFonts w:ascii="宋体" w:hAnsi="宋体" w:cs="宋体"/>
          <w:color w:val="000000" w:themeColor="text1"/>
          <w:spacing w:val="-70"/>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”价格进行调整，标号大于等于C50</w:t>
      </w:r>
      <w:r>
        <w:rPr>
          <w:rFonts w:ascii="宋体" w:hAnsi="宋体" w:cs="宋体"/>
          <w:color w:val="000000" w:themeColor="text1"/>
          <w:spacing w:val="-23"/>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的统一按照定额材料代号</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5509003</w:t>
      </w:r>
      <w:r>
        <w:rPr>
          <w:rFonts w:ascii="宋体" w:hAnsi="宋体" w:cs="宋体"/>
          <w:color w:val="000000" w:themeColor="text1"/>
          <w:spacing w:val="-35"/>
          <w:sz w:val="20"/>
          <w:szCs w:val="20"/>
          <w:highlight w:val="none"/>
          <w14:textFill>
            <w14:solidFill>
              <w14:schemeClr w14:val="tx1"/>
            </w14:solidFill>
          </w14:textFill>
        </w:rPr>
        <w:t xml:space="preserve"> </w:t>
      </w:r>
      <w:r>
        <w:rPr>
          <w:rFonts w:ascii="宋体" w:hAnsi="宋体" w:cs="宋体"/>
          <w:color w:val="000000" w:themeColor="text1"/>
          <w:spacing w:val="7"/>
          <w:sz w:val="20"/>
          <w:szCs w:val="20"/>
          <w:highlight w:val="none"/>
          <w14:textFill>
            <w14:solidFill>
              <w14:schemeClr w14:val="tx1"/>
            </w14:solidFill>
          </w14:textFill>
        </w:rPr>
        <w:t>号</w:t>
      </w:r>
      <w:r>
        <w:rPr>
          <w:rFonts w:ascii="宋体" w:hAnsi="宋体" w:cs="宋体"/>
          <w:color w:val="000000" w:themeColor="text1"/>
          <w:spacing w:val="6"/>
          <w:sz w:val="20"/>
          <w:szCs w:val="20"/>
          <w:highlight w:val="none"/>
          <w14:textFill>
            <w14:solidFill>
              <w14:schemeClr w14:val="tx1"/>
            </w14:solidFill>
          </w14:textFill>
        </w:rPr>
        <w:t>“52.5</w:t>
      </w:r>
      <w:r>
        <w:rPr>
          <w:rFonts w:ascii="宋体" w:hAnsi="宋体" w:cs="宋体"/>
          <w:color w:val="000000" w:themeColor="text1"/>
          <w:spacing w:val="-37"/>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级水泥</w:t>
      </w:r>
      <w:r>
        <w:rPr>
          <w:rFonts w:ascii="宋体" w:hAnsi="宋体" w:cs="宋体"/>
          <w:color w:val="000000" w:themeColor="text1"/>
          <w:spacing w:val="-72"/>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”价</w:t>
      </w:r>
      <w:r>
        <w:rPr>
          <w:rFonts w:ascii="宋体" w:hAnsi="宋体" w:cs="宋体"/>
          <w:color w:val="000000" w:themeColor="text1"/>
          <w:spacing w:val="11"/>
          <w:sz w:val="20"/>
          <w:szCs w:val="20"/>
          <w:highlight w:val="none"/>
          <w14:textFill>
            <w14:solidFill>
              <w14:schemeClr w14:val="tx1"/>
            </w14:solidFill>
          </w14:textFill>
        </w:rPr>
        <w:t>格进行调整；桥梁桩基础根据设计桩径按计量长度换算为混凝土体积</w:t>
      </w:r>
      <w:r>
        <w:rPr>
          <w:rFonts w:ascii="宋体" w:hAnsi="宋体" w:cs="宋体"/>
          <w:color w:val="000000" w:themeColor="text1"/>
          <w:spacing w:val="10"/>
          <w:sz w:val="20"/>
          <w:szCs w:val="20"/>
          <w:highlight w:val="none"/>
          <w14:textFill>
            <w14:solidFill>
              <w14:schemeClr w14:val="tx1"/>
            </w14:solidFill>
          </w14:textFill>
        </w:rPr>
        <w:t>，相关成孔损耗已在上表中水</w:t>
      </w:r>
      <w:r>
        <w:rPr>
          <w:rFonts w:ascii="宋体" w:hAnsi="宋体" w:cs="宋体"/>
          <w:color w:val="000000" w:themeColor="text1"/>
          <w:spacing w:val="8"/>
          <w:sz w:val="20"/>
          <w:szCs w:val="20"/>
          <w:highlight w:val="none"/>
          <w14:textFill>
            <w14:solidFill>
              <w14:schemeClr w14:val="tx1"/>
            </w14:solidFill>
          </w14:textFill>
        </w:rPr>
        <w:t>泥用量指标综合考虑。</w:t>
      </w:r>
    </w:p>
    <w:p w14:paraId="202E621B">
      <w:pPr>
        <w:spacing w:line="360" w:lineRule="auto"/>
        <w:ind w:left="120" w:right="42" w:firstLine="418"/>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6"/>
          <w:sz w:val="20"/>
          <w:szCs w:val="20"/>
          <w:highlight w:val="none"/>
          <w14:textFill>
            <w14:solidFill>
              <w14:schemeClr w14:val="tx1"/>
            </w14:solidFill>
          </w14:textFill>
        </w:rPr>
        <w:t>4.沥青视采用的品种，按照定额材料代号</w:t>
      </w:r>
      <w:r>
        <w:rPr>
          <w:rFonts w:ascii="宋体" w:hAnsi="宋体" w:cs="宋体"/>
          <w:color w:val="000000" w:themeColor="text1"/>
          <w:spacing w:val="-23"/>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3001001020</w:t>
      </w:r>
      <w:r>
        <w:rPr>
          <w:rFonts w:ascii="宋体" w:hAnsi="宋体" w:cs="宋体"/>
          <w:color w:val="000000" w:themeColor="text1"/>
          <w:spacing w:val="-33"/>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号“</w:t>
      </w:r>
      <w:r>
        <w:rPr>
          <w:rFonts w:ascii="宋体" w:hAnsi="宋体" w:cs="宋体"/>
          <w:color w:val="000000" w:themeColor="text1"/>
          <w:spacing w:val="-69"/>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国产沥青</w:t>
      </w:r>
      <w:r>
        <w:rPr>
          <w:rFonts w:ascii="宋体" w:hAnsi="宋体" w:cs="宋体"/>
          <w:color w:val="000000" w:themeColor="text1"/>
          <w:spacing w:val="-70"/>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”或</w:t>
      </w:r>
      <w:r>
        <w:rPr>
          <w:rFonts w:ascii="宋体" w:hAnsi="宋体" w:cs="宋体"/>
          <w:color w:val="000000" w:themeColor="text1"/>
          <w:spacing w:val="-32"/>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3001001021</w:t>
      </w:r>
      <w:r>
        <w:rPr>
          <w:rFonts w:ascii="宋体" w:hAnsi="宋体" w:cs="宋体"/>
          <w:color w:val="000000" w:themeColor="text1"/>
          <w:spacing w:val="-36"/>
          <w:sz w:val="20"/>
          <w:szCs w:val="20"/>
          <w:highlight w:val="none"/>
          <w14:textFill>
            <w14:solidFill>
              <w14:schemeClr w14:val="tx1"/>
            </w14:solidFill>
          </w14:textFill>
        </w:rPr>
        <w:t xml:space="preserve"> </w:t>
      </w:r>
      <w:r>
        <w:rPr>
          <w:rFonts w:ascii="宋体" w:hAnsi="宋体" w:cs="宋体"/>
          <w:color w:val="000000" w:themeColor="text1"/>
          <w:spacing w:val="6"/>
          <w:sz w:val="20"/>
          <w:szCs w:val="20"/>
          <w:highlight w:val="none"/>
          <w14:textFill>
            <w14:solidFill>
              <w14:schemeClr w14:val="tx1"/>
            </w14:solidFill>
          </w14:textFill>
        </w:rPr>
        <w:t>号“进口</w:t>
      </w:r>
      <w:r>
        <w:rPr>
          <w:rFonts w:ascii="宋体" w:hAnsi="宋体" w:cs="宋体"/>
          <w:color w:val="000000" w:themeColor="text1"/>
          <w:spacing w:val="4"/>
          <w:sz w:val="20"/>
          <w:szCs w:val="20"/>
          <w:highlight w:val="none"/>
          <w14:textFill>
            <w14:solidFill>
              <w14:schemeClr w14:val="tx1"/>
            </w14:solidFill>
          </w14:textFill>
        </w:rPr>
        <w:t>石油沥青</w:t>
      </w:r>
      <w:r>
        <w:rPr>
          <w:rFonts w:ascii="宋体" w:hAnsi="宋体" w:cs="宋体"/>
          <w:color w:val="000000" w:themeColor="text1"/>
          <w:spacing w:val="-65"/>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”、3001002010</w:t>
      </w:r>
      <w:r>
        <w:rPr>
          <w:rFonts w:ascii="宋体" w:hAnsi="宋体" w:cs="宋体"/>
          <w:color w:val="000000" w:themeColor="text1"/>
          <w:spacing w:val="-35"/>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号“</w:t>
      </w:r>
      <w:r>
        <w:rPr>
          <w:rFonts w:ascii="宋体" w:hAnsi="宋体" w:cs="宋体"/>
          <w:color w:val="000000" w:themeColor="text1"/>
          <w:spacing w:val="-72"/>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国产改性沥青</w:t>
      </w:r>
      <w:r>
        <w:rPr>
          <w:rFonts w:ascii="宋体" w:hAnsi="宋体" w:cs="宋体"/>
          <w:color w:val="000000" w:themeColor="text1"/>
          <w:spacing w:val="-70"/>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”或</w:t>
      </w:r>
      <w:r>
        <w:rPr>
          <w:rFonts w:ascii="宋体" w:hAnsi="宋体" w:cs="宋体"/>
          <w:color w:val="000000" w:themeColor="text1"/>
          <w:spacing w:val="-32"/>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3001002011</w:t>
      </w:r>
      <w:r>
        <w:rPr>
          <w:rFonts w:ascii="宋体" w:hAnsi="宋体" w:cs="宋体"/>
          <w:color w:val="000000" w:themeColor="text1"/>
          <w:spacing w:val="-36"/>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号“进口改性沥青</w:t>
      </w:r>
      <w:r>
        <w:rPr>
          <w:rFonts w:ascii="宋体" w:hAnsi="宋体" w:cs="宋体"/>
          <w:color w:val="000000" w:themeColor="text1"/>
          <w:spacing w:val="-69"/>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”的价格进行调整。</w:t>
      </w:r>
    </w:p>
    <w:p w14:paraId="2D351E89">
      <w:pPr>
        <w:spacing w:line="360" w:lineRule="auto"/>
        <w:ind w:left="123" w:right="113" w:firstLine="420"/>
        <w:rPr>
          <w:color w:val="000000" w:themeColor="text1"/>
          <w:highlight w:val="none"/>
          <w14:textFill>
            <w14:solidFill>
              <w14:schemeClr w14:val="tx1"/>
            </w14:solidFill>
          </w14:textFill>
        </w:rPr>
      </w:pPr>
      <w:r>
        <w:rPr>
          <w:rFonts w:ascii="宋体" w:hAnsi="宋体" w:cs="宋体"/>
          <w:color w:val="000000" w:themeColor="text1"/>
          <w:spacing w:val="8"/>
          <w:sz w:val="20"/>
          <w:szCs w:val="20"/>
          <w:highlight w:val="none"/>
          <w14:textFill>
            <w14:solidFill>
              <w14:schemeClr w14:val="tx1"/>
            </w14:solidFill>
          </w14:textFill>
        </w:rPr>
        <w:t>5.沥青混合料及改性沥青混合料拌合消耗的燃油、天然气统一按定额材料代号</w:t>
      </w:r>
      <w:r>
        <w:rPr>
          <w:rFonts w:ascii="宋体" w:hAnsi="宋体" w:cs="宋体"/>
          <w:color w:val="000000" w:themeColor="text1"/>
          <w:spacing w:val="-30"/>
          <w:sz w:val="20"/>
          <w:szCs w:val="20"/>
          <w:highlight w:val="none"/>
          <w14:textFill>
            <w14:solidFill>
              <w14:schemeClr w14:val="tx1"/>
            </w14:solidFill>
          </w14:textFill>
        </w:rPr>
        <w:t xml:space="preserve"> </w:t>
      </w:r>
      <w:r>
        <w:rPr>
          <w:rFonts w:ascii="宋体" w:hAnsi="宋体" w:cs="宋体"/>
          <w:color w:val="000000" w:themeColor="text1"/>
          <w:spacing w:val="8"/>
          <w:sz w:val="20"/>
          <w:szCs w:val="20"/>
          <w:highlight w:val="none"/>
          <w14:textFill>
            <w14:solidFill>
              <w14:schemeClr w14:val="tx1"/>
            </w14:solidFill>
          </w14:textFill>
        </w:rPr>
        <w:t>3003001 号“重</w:t>
      </w:r>
      <w:r>
        <w:rPr>
          <w:rFonts w:ascii="宋体" w:hAnsi="宋体" w:cs="宋体"/>
          <w:color w:val="000000" w:themeColor="text1"/>
          <w:spacing w:val="4"/>
          <w:sz w:val="20"/>
          <w:szCs w:val="20"/>
          <w:highlight w:val="none"/>
          <w14:textFill>
            <w14:solidFill>
              <w14:schemeClr w14:val="tx1"/>
            </w14:solidFill>
          </w14:textFill>
        </w:rPr>
        <w:t>油</w:t>
      </w:r>
      <w:r>
        <w:rPr>
          <w:rFonts w:ascii="宋体" w:hAnsi="宋体" w:cs="宋体"/>
          <w:color w:val="000000" w:themeColor="text1"/>
          <w:spacing w:val="-71"/>
          <w:sz w:val="20"/>
          <w:szCs w:val="20"/>
          <w:highlight w:val="none"/>
          <w14:textFill>
            <w14:solidFill>
              <w14:schemeClr w14:val="tx1"/>
            </w14:solidFill>
          </w14:textFill>
        </w:rPr>
        <w:t xml:space="preserve"> </w:t>
      </w:r>
      <w:r>
        <w:rPr>
          <w:rFonts w:ascii="宋体" w:hAnsi="宋体" w:cs="宋体"/>
          <w:color w:val="000000" w:themeColor="text1"/>
          <w:spacing w:val="4"/>
          <w:sz w:val="20"/>
          <w:szCs w:val="20"/>
          <w:highlight w:val="none"/>
          <w14:textFill>
            <w14:solidFill>
              <w14:schemeClr w14:val="tx1"/>
            </w14:solidFill>
          </w14:textFill>
        </w:rPr>
        <w:t>”价格进行调整。</w:t>
      </w:r>
    </w:p>
    <w:p w14:paraId="4B4C0A98">
      <w:pPr>
        <w:spacing w:before="65" w:line="226" w:lineRule="auto"/>
        <w:ind w:left="428"/>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8"/>
          <w:sz w:val="20"/>
          <w:szCs w:val="20"/>
          <w:highlight w:val="none"/>
          <w14:textFill>
            <w14:solidFill>
              <w14:schemeClr w14:val="tx1"/>
            </w14:solidFill>
          </w14:textFill>
        </w:rPr>
        <w:t>6.混凝土管桩仅按成品信息价格进行调差。</w:t>
      </w:r>
    </w:p>
    <w:p w14:paraId="11AEA1FF">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r>
        <w:rPr>
          <w:rFonts w:ascii="宋体" w:hAnsi="宋体" w:cs="宋体"/>
          <w:color w:val="000000" w:themeColor="text1"/>
          <w:spacing w:val="9"/>
          <w:sz w:val="20"/>
          <w:szCs w:val="20"/>
          <w:highlight w:val="none"/>
          <w14:textFill>
            <w14:solidFill>
              <w14:schemeClr w14:val="tx1"/>
            </w14:solidFill>
          </w14:textFill>
        </w:rPr>
        <w:t>7.表中的单位用量指标，发包人应参照《公路工程预算定额》的定额消耗量确定。</w:t>
      </w:r>
    </w:p>
    <w:p w14:paraId="482DA8DF">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6AF993CE">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2A6C4A9C">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32162443">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12D700BD">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42A9B588">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3002CFEE">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1AFA8B64">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0FA9129A">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791A4DCB">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5816CA09">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0FF86D8B">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0CE439B1">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653E92A3">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54633415">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0E41245C">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799847A4">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26791083">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5034902E">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4F6F93CB">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05A91E9E">
      <w:pPr>
        <w:spacing w:before="222" w:line="228" w:lineRule="auto"/>
        <w:ind w:left="432"/>
        <w:rPr>
          <w:rFonts w:hint="eastAsia" w:ascii="宋体" w:hAnsi="宋体" w:cs="宋体"/>
          <w:color w:val="000000" w:themeColor="text1"/>
          <w:spacing w:val="9"/>
          <w:sz w:val="20"/>
          <w:szCs w:val="20"/>
          <w:highlight w:val="none"/>
          <w14:textFill>
            <w14:solidFill>
              <w14:schemeClr w14:val="tx1"/>
            </w14:solidFill>
          </w14:textFill>
        </w:rPr>
      </w:pPr>
    </w:p>
    <w:p w14:paraId="357E87F0">
      <w:pPr>
        <w:pStyle w:val="55"/>
        <w:rPr>
          <w:rFonts w:hint="eastAsia"/>
          <w:color w:val="000000" w:themeColor="text1"/>
          <w:highlight w:val="none"/>
          <w14:textFill>
            <w14:solidFill>
              <w14:schemeClr w14:val="tx1"/>
            </w14:solidFill>
          </w14:textFill>
        </w:rPr>
      </w:pPr>
    </w:p>
    <w:p w14:paraId="4D462BFA">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16.1.3 实际采购价格法</w:t>
      </w:r>
    </w:p>
    <w:p w14:paraId="26422A24">
      <w:pPr>
        <w:spacing w:line="360" w:lineRule="auto"/>
        <w:ind w:left="56"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5"/>
          <w:sz w:val="24"/>
          <w:highlight w:val="none"/>
          <w14:textFill>
            <w14:solidFill>
              <w14:schemeClr w14:val="tx1"/>
            </w14:solidFill>
          </w14:textFill>
        </w:rPr>
        <w:t>ΔC= ( ΔP-Po×r）</w:t>
      </w:r>
      <w:r>
        <w:rPr>
          <w:rFonts w:ascii="宋体" w:hAnsi="宋体" w:cs="宋体"/>
          <w:color w:val="000000" w:themeColor="text1"/>
          <w:spacing w:val="-80"/>
          <w:sz w:val="24"/>
          <w:highlight w:val="none"/>
          <w14:textFill>
            <w14:solidFill>
              <w14:schemeClr w14:val="tx1"/>
            </w14:solidFill>
          </w14:textFill>
        </w:rPr>
        <w:t xml:space="preserve"> </w:t>
      </w:r>
      <w:r>
        <w:rPr>
          <w:rFonts w:ascii="宋体" w:hAnsi="宋体" w:cs="宋体"/>
          <w:color w:val="000000" w:themeColor="text1"/>
          <w:spacing w:val="-15"/>
          <w:sz w:val="24"/>
          <w:highlight w:val="none"/>
          <w14:textFill>
            <w14:solidFill>
              <w14:schemeClr w14:val="tx1"/>
            </w14:solidFill>
          </w14:textFill>
        </w:rPr>
        <w:t>×Q×（1+D</w:t>
      </w:r>
      <w:r>
        <w:rPr>
          <w:rFonts w:ascii="宋体" w:hAnsi="宋体" w:cs="宋体"/>
          <w:color w:val="000000" w:themeColor="text1"/>
          <w:spacing w:val="1"/>
          <w:sz w:val="24"/>
          <w:highlight w:val="none"/>
          <w14:textFill>
            <w14:solidFill>
              <w14:schemeClr w14:val="tx1"/>
            </w14:solidFill>
          </w14:textFill>
        </w:rPr>
        <w:t>），</w:t>
      </w:r>
      <w:r>
        <w:rPr>
          <w:rFonts w:ascii="宋体" w:hAnsi="宋体" w:cs="宋体"/>
          <w:color w:val="000000" w:themeColor="text1"/>
          <w:spacing w:val="-15"/>
          <w:sz w:val="24"/>
          <w:highlight w:val="none"/>
          <w14:textFill>
            <w14:solidFill>
              <w14:schemeClr w14:val="tx1"/>
            </w14:solidFill>
          </w14:textFill>
        </w:rPr>
        <w:t>其中 |</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15"/>
          <w:sz w:val="24"/>
          <w:highlight w:val="none"/>
          <w14:textFill>
            <w14:solidFill>
              <w14:schemeClr w14:val="tx1"/>
            </w14:solidFill>
          </w14:textFill>
        </w:rPr>
        <w:t>ΔP</w:t>
      </w:r>
      <w:r>
        <w:rPr>
          <w:rFonts w:ascii="宋体" w:hAnsi="宋体" w:cs="宋体"/>
          <w:color w:val="000000" w:themeColor="text1"/>
          <w:spacing w:val="1"/>
          <w:sz w:val="24"/>
          <w:highlight w:val="none"/>
          <w14:textFill>
            <w14:solidFill>
              <w14:schemeClr w14:val="tx1"/>
            </w14:solidFill>
          </w14:textFill>
        </w:rPr>
        <w:t>｜＞｜</w:t>
      </w:r>
      <w:r>
        <w:rPr>
          <w:rFonts w:ascii="宋体" w:hAnsi="宋体" w:cs="宋体"/>
          <w:color w:val="000000" w:themeColor="text1"/>
          <w:spacing w:val="-15"/>
          <w:sz w:val="24"/>
          <w:highlight w:val="none"/>
          <w14:textFill>
            <w14:solidFill>
              <w14:schemeClr w14:val="tx1"/>
            </w14:solidFill>
          </w14:textFill>
        </w:rPr>
        <w:t>Po×r |</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15"/>
          <w:sz w:val="24"/>
          <w:highlight w:val="none"/>
          <w14:textFill>
            <w14:solidFill>
              <w14:schemeClr w14:val="tx1"/>
            </w14:solidFill>
          </w14:textFill>
        </w:rPr>
        <w:t>ΔP＝Pa－Po，式中：</w:t>
      </w:r>
      <w:r>
        <w:rPr>
          <w:rFonts w:ascii="宋体" w:hAnsi="宋体" w:cs="宋体"/>
          <w:color w:val="000000" w:themeColor="text1"/>
          <w:spacing w:val="1"/>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ΔC、</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ΔP、Q、r、D</w:t>
      </w:r>
      <w:r>
        <w:rPr>
          <w:rFonts w:ascii="宋体" w:hAnsi="宋体" w:cs="宋体"/>
          <w:color w:val="000000" w:themeColor="text1"/>
          <w:spacing w:val="-27"/>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同</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16.1.2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款。</w:t>
      </w:r>
    </w:p>
    <w:p w14:paraId="4D987AB2">
      <w:pPr>
        <w:spacing w:line="360" w:lineRule="auto"/>
        <w:ind w:left="19" w:right="51" w:firstLine="46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Po—基准价（不含税</w:t>
      </w:r>
      <w:r>
        <w:rPr>
          <w:rFonts w:ascii="宋体" w:hAnsi="宋体" w:cs="宋体"/>
          <w:color w:val="000000" w:themeColor="text1"/>
          <w:spacing w:val="-3"/>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指项目招标时，建设单</w:t>
      </w:r>
      <w:r>
        <w:rPr>
          <w:rFonts w:ascii="宋体" w:hAnsi="宋体" w:cs="宋体"/>
          <w:color w:val="000000" w:themeColor="text1"/>
          <w:spacing w:val="-2"/>
          <w:sz w:val="24"/>
          <w:highlight w:val="none"/>
          <w14:textFill>
            <w14:solidFill>
              <w14:schemeClr w14:val="tx1"/>
            </w14:solidFill>
          </w14:textFill>
        </w:rPr>
        <w:t>位（项目法人）确定最高投标限价时采用的材料单价。建设单位（项目法人）应在招标文件中明确基准价（Po）的价格。</w:t>
      </w:r>
    </w:p>
    <w:p w14:paraId="0A4B2E70">
      <w:pPr>
        <w:spacing w:line="360" w:lineRule="auto"/>
        <w:ind w:left="10" w:right="59" w:firstLine="47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Pa—采购价(不含税)，经建设单位（项目法</w:t>
      </w:r>
      <w:r>
        <w:rPr>
          <w:rFonts w:ascii="宋体" w:hAnsi="宋体" w:cs="宋体"/>
          <w:color w:val="000000" w:themeColor="text1"/>
          <w:spacing w:val="-2"/>
          <w:sz w:val="24"/>
          <w:highlight w:val="none"/>
          <w14:textFill>
            <w14:solidFill>
              <w14:schemeClr w14:val="tx1"/>
            </w14:solidFill>
          </w14:textFill>
        </w:rPr>
        <w:t>人）、监理核实的，有相应的合法支撑</w:t>
      </w:r>
      <w:r>
        <w:rPr>
          <w:rFonts w:ascii="宋体" w:hAnsi="宋体" w:cs="宋体"/>
          <w:color w:val="000000" w:themeColor="text1"/>
          <w:spacing w:val="-4"/>
          <w:sz w:val="24"/>
          <w:highlight w:val="none"/>
          <w14:textFill>
            <w14:solidFill>
              <w14:schemeClr w14:val="tx1"/>
            </w14:solidFill>
          </w14:textFill>
        </w:rPr>
        <w:t>依据的实际采购材料价格</w:t>
      </w:r>
      <w:r>
        <w:rPr>
          <w:rFonts w:ascii="宋体" w:hAnsi="宋体" w:cs="宋体"/>
          <w:color w:val="000000" w:themeColor="text1"/>
          <w:spacing w:val="-27"/>
          <w:position w:val="12"/>
          <w:sz w:val="12"/>
          <w:szCs w:val="12"/>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66"/>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分批采购时按权重取平均值计算。</w:t>
      </w:r>
    </w:p>
    <w:p w14:paraId="7254B5AE">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采用实际采购价格法调整材料价差的其他约定，同</w:t>
      </w:r>
      <w:r>
        <w:rPr>
          <w:rFonts w:ascii="宋体" w:hAnsi="宋体" w:cs="宋体"/>
          <w:color w:val="000000" w:themeColor="text1"/>
          <w:spacing w:val="-3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16.1.2.2 目。</w:t>
      </w:r>
    </w:p>
    <w:p w14:paraId="7147B6DE">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16.1.4</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砂石料运输费用调整</w:t>
      </w:r>
    </w:p>
    <w:p w14:paraId="0EF037A0">
      <w:pPr>
        <w:spacing w:line="360" w:lineRule="auto"/>
        <w:ind w:left="7"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合同工程量清单中的沥青混凝土路面上面层用的砂石料（砂石料指碎石及同母材的</w:t>
      </w:r>
      <w:r>
        <w:rPr>
          <w:rFonts w:ascii="宋体" w:hAnsi="宋体" w:cs="宋体"/>
          <w:color w:val="000000" w:themeColor="text1"/>
          <w:spacing w:val="1"/>
          <w:sz w:val="24"/>
          <w:highlight w:val="none"/>
          <w14:textFill>
            <w14:solidFill>
              <w14:schemeClr w14:val="tx1"/>
            </w14:solidFill>
          </w14:textFill>
        </w:rPr>
        <w:t>机制砂）材料单价包含了</w:t>
      </w:r>
      <w:r>
        <w:rPr>
          <w:rFonts w:ascii="宋体" w:hAnsi="宋体" w:cs="宋体"/>
          <w:color w:val="000000" w:themeColor="text1"/>
          <w:spacing w:val="-119"/>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公里运输费用（其中：水路运输 Y 公里，公路运输 Z 公</w:t>
      </w:r>
      <w:r>
        <w:rPr>
          <w:rFonts w:ascii="宋体" w:hAnsi="宋体" w:cs="宋体"/>
          <w:color w:val="000000" w:themeColor="text1"/>
          <w:spacing w:val="-4"/>
          <w:sz w:val="24"/>
          <w:highlight w:val="none"/>
          <w14:textFill>
            <w14:solidFill>
              <w14:schemeClr w14:val="tx1"/>
            </w14:solidFill>
          </w14:textFill>
        </w:rPr>
        <w:t>里</w:t>
      </w:r>
      <w:r>
        <w:rPr>
          <w:rFonts w:ascii="宋体" w:hAnsi="宋体" w:cs="宋体"/>
          <w:color w:val="000000" w:themeColor="text1"/>
          <w:spacing w:val="-45"/>
          <w:sz w:val="24"/>
          <w:highlight w:val="none"/>
          <w14:textFill>
            <w14:solidFill>
              <w14:schemeClr w14:val="tx1"/>
            </w14:solidFill>
          </w14:textFill>
        </w:rPr>
        <w:t>），</w:t>
      </w:r>
      <w:r>
        <w:rPr>
          <w:rFonts w:ascii="宋体" w:hAnsi="宋体" w:cs="宋体"/>
          <w:color w:val="000000" w:themeColor="text1"/>
          <w:spacing w:val="-4"/>
          <w:sz w:val="24"/>
          <w:highlight w:val="none"/>
          <w14:textFill>
            <w14:solidFill>
              <w14:schemeClr w14:val="tx1"/>
            </w14:solidFill>
          </w14:textFill>
        </w:rPr>
        <w:t>如实际运输方式和运输距离与清单预算不一致时，运输费用按如下原则进行调整：</w:t>
      </w:r>
    </w:p>
    <w:p w14:paraId="00728072">
      <w:pPr>
        <w:spacing w:line="360" w:lineRule="auto"/>
        <w:ind w:left="10" w:right="60"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1、本项目实际运距指单个沥青拌和场至单个石场的运输距离，运输距离及砂石料</w:t>
      </w:r>
      <w:r>
        <w:rPr>
          <w:rFonts w:ascii="宋体" w:hAnsi="宋体" w:cs="宋体"/>
          <w:color w:val="000000" w:themeColor="text1"/>
          <w:spacing w:val="-1"/>
          <w:sz w:val="24"/>
          <w:highlight w:val="none"/>
          <w14:textFill>
            <w14:solidFill>
              <w14:schemeClr w14:val="tx1"/>
            </w14:solidFill>
          </w14:textFill>
        </w:rPr>
        <w:t>用量以承包人、监理人、发包人三方确定为准；</w:t>
      </w:r>
    </w:p>
    <w:p w14:paraId="2FFC6F46">
      <w:pPr>
        <w:spacing w:line="360" w:lineRule="auto"/>
        <w:ind w:left="7" w:right="5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2、从不同石场采购的砂石料按各自的实际运距计算调整费用，公路运输单价</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0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元/m</w:t>
      </w:r>
      <w:r>
        <w:rPr>
          <w:rFonts w:ascii="宋体" w:hAnsi="宋体" w:cs="宋体"/>
          <w:color w:val="000000" w:themeColor="text1"/>
          <w:spacing w:val="-2"/>
          <w:position w:val="14"/>
          <w:sz w:val="14"/>
          <w:szCs w:val="14"/>
          <w:highlight w:val="none"/>
          <w14:textFill>
            <w14:solidFill>
              <w14:schemeClr w14:val="tx1"/>
            </w14:solidFill>
          </w14:textFill>
        </w:rPr>
        <w:t>3</w:t>
      </w:r>
      <w:r>
        <w:rPr>
          <w:rFonts w:ascii="宋体" w:hAnsi="宋体" w:cs="宋体"/>
          <w:color w:val="000000" w:themeColor="text1"/>
          <w:spacing w:val="24"/>
          <w:position w:val="14"/>
          <w:sz w:val="14"/>
          <w:szCs w:val="1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·km，水运单价</w:t>
      </w:r>
      <w:r>
        <w:rPr>
          <w:rFonts w:ascii="宋体" w:hAnsi="宋体" w:cs="宋体"/>
          <w:color w:val="000000" w:themeColor="text1"/>
          <w:spacing w:val="-10"/>
          <w:sz w:val="24"/>
          <w:highlight w:val="none"/>
          <w:u w:val="single"/>
          <w14:textFill>
            <w14:solidFill>
              <w14:schemeClr w14:val="tx1"/>
            </w14:solidFill>
          </w14:textFill>
        </w:rPr>
        <w:t xml:space="preserve">   </w:t>
      </w:r>
      <w:r>
        <w:rPr>
          <w:rFonts w:ascii="宋体" w:hAnsi="宋体" w:cs="宋体"/>
          <w:color w:val="000000" w:themeColor="text1"/>
          <w:spacing w:val="-108"/>
          <w:sz w:val="24"/>
          <w:highlight w:val="none"/>
          <w14:textFill>
            <w14:solidFill>
              <w14:schemeClr w14:val="tx1"/>
            </w14:solidFill>
          </w14:textFill>
        </w:rPr>
        <w:t xml:space="preserve"> </w:t>
      </w:r>
      <w:r>
        <w:rPr>
          <w:rFonts w:ascii="宋体" w:hAnsi="宋体" w:cs="宋体"/>
          <w:color w:val="000000" w:themeColor="text1"/>
          <w:spacing w:val="-10"/>
          <w:sz w:val="24"/>
          <w:highlight w:val="none"/>
          <w14:textFill>
            <w14:solidFill>
              <w14:schemeClr w14:val="tx1"/>
            </w14:solidFill>
          </w14:textFill>
        </w:rPr>
        <w:t>元/m</w:t>
      </w:r>
      <w:r>
        <w:rPr>
          <w:rFonts w:ascii="宋体" w:hAnsi="宋体" w:cs="宋体"/>
          <w:color w:val="000000" w:themeColor="text1"/>
          <w:spacing w:val="16"/>
          <w:w w:val="102"/>
          <w:position w:val="14"/>
          <w:sz w:val="14"/>
          <w:szCs w:val="14"/>
          <w:highlight w:val="none"/>
          <w14:textFill>
            <w14:solidFill>
              <w14:schemeClr w14:val="tx1"/>
            </w14:solidFill>
          </w14:textFill>
        </w:rPr>
        <w:t>3</w:t>
      </w:r>
      <w:r>
        <w:rPr>
          <w:rFonts w:ascii="宋体" w:hAnsi="宋体" w:cs="宋体"/>
          <w:color w:val="000000" w:themeColor="text1"/>
          <w:spacing w:val="22"/>
          <w:position w:val="14"/>
          <w:sz w:val="14"/>
          <w:szCs w:val="14"/>
          <w:highlight w:val="none"/>
          <w14:textFill>
            <w14:solidFill>
              <w14:schemeClr w14:val="tx1"/>
            </w14:solidFill>
          </w14:textFill>
        </w:rPr>
        <w:t xml:space="preserve"> </w:t>
      </w:r>
      <w:r>
        <w:rPr>
          <w:rFonts w:ascii="宋体" w:hAnsi="宋体" w:cs="宋体"/>
          <w:color w:val="000000" w:themeColor="text1"/>
          <w:spacing w:val="-34"/>
          <w:sz w:val="24"/>
          <w:highlight w:val="none"/>
          <w14:textFill>
            <w14:solidFill>
              <w14:schemeClr w14:val="tx1"/>
            </w14:solidFill>
          </w14:textFill>
        </w:rPr>
        <w:t>·km</w:t>
      </w:r>
      <w:r>
        <w:rPr>
          <w:rFonts w:ascii="宋体" w:hAnsi="宋体" w:cs="宋体"/>
          <w:color w:val="000000" w:themeColor="text1"/>
          <w:spacing w:val="-31"/>
          <w:position w:val="11"/>
          <w:sz w:val="12"/>
          <w:szCs w:val="12"/>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调整运输费用=</w:t>
      </w:r>
      <w:r>
        <w:rPr>
          <w:rFonts w:ascii="宋体" w:hAnsi="宋体" w:cs="宋体"/>
          <w:color w:val="000000" w:themeColor="text1"/>
          <w:spacing w:val="-19"/>
          <w:sz w:val="24"/>
          <w:highlight w:val="none"/>
          <w14:textFill>
            <w14:solidFill>
              <w14:schemeClr w14:val="tx1"/>
            </w14:solidFill>
          </w14:textFill>
        </w:rPr>
        <w:t>（（</w:t>
      </w:r>
      <w:r>
        <w:rPr>
          <w:rFonts w:ascii="宋体" w:hAnsi="宋体" w:cs="宋体"/>
          <w:color w:val="000000" w:themeColor="text1"/>
          <w:spacing w:val="-5"/>
          <w:sz w:val="24"/>
          <w:highlight w:val="none"/>
          <w14:textFill>
            <w14:solidFill>
              <w14:schemeClr w14:val="tx1"/>
            </w14:solidFill>
          </w14:textFill>
        </w:rPr>
        <w:t>水路运输实际运距-Y-A）</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×水运</w:t>
      </w:r>
      <w:r>
        <w:rPr>
          <w:rFonts w:ascii="宋体" w:hAnsi="宋体" w:cs="宋体"/>
          <w:color w:val="000000" w:themeColor="text1"/>
          <w:spacing w:val="-1"/>
          <w:sz w:val="24"/>
          <w:highlight w:val="none"/>
          <w14:textFill>
            <w14:solidFill>
              <w14:schemeClr w14:val="tx1"/>
            </w14:solidFill>
          </w14:textFill>
        </w:rPr>
        <w:t>单价+（公路运输实际运距-Z-B）</w:t>
      </w:r>
      <w:r>
        <w:rPr>
          <w:rFonts w:ascii="宋体" w:hAnsi="宋体" w:cs="宋体"/>
          <w:color w:val="000000" w:themeColor="text1"/>
          <w:spacing w:val="-6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×公路运输单价）</w:t>
      </w:r>
      <w:r>
        <w:rPr>
          <w:rFonts w:ascii="宋体" w:hAnsi="宋体" w:cs="宋体"/>
          <w:color w:val="000000" w:themeColor="text1"/>
          <w:spacing w:val="-7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×砂石料运输数量，正数为发包人向承包人支付调差（承包人应向发包人提供等额的完税发票</w:t>
      </w:r>
      <w:r>
        <w:rPr>
          <w:rFonts w:ascii="宋体" w:hAnsi="宋体" w:cs="宋体"/>
          <w:color w:val="000000" w:themeColor="text1"/>
          <w:spacing w:val="-8"/>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负数为</w:t>
      </w:r>
      <w:r>
        <w:rPr>
          <w:rFonts w:ascii="宋体" w:hAnsi="宋体" w:cs="宋体"/>
          <w:color w:val="000000" w:themeColor="text1"/>
          <w:spacing w:val="-2"/>
          <w:sz w:val="24"/>
          <w:highlight w:val="none"/>
          <w14:textFill>
            <w14:solidFill>
              <w14:schemeClr w14:val="tx1"/>
            </w14:solidFill>
          </w14:textFill>
        </w:rPr>
        <w:t>发包人向承包人</w:t>
      </w:r>
      <w:r>
        <w:rPr>
          <w:rFonts w:ascii="宋体" w:hAnsi="宋体" w:cs="宋体"/>
          <w:color w:val="000000" w:themeColor="text1"/>
          <w:spacing w:val="-1"/>
          <w:sz w:val="24"/>
          <w:highlight w:val="none"/>
          <w14:textFill>
            <w14:solidFill>
              <w14:schemeClr w14:val="tx1"/>
            </w14:solidFill>
          </w14:textFill>
        </w:rPr>
        <w:t>扣回调差（从应付工程款中扣除）。其中：</w:t>
      </w:r>
    </w:p>
    <w:p w14:paraId="1AE01A73">
      <w:pPr>
        <w:spacing w:line="360" w:lineRule="auto"/>
        <w:ind w:left="10" w:right="57"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(1)当水路运输实际运距在（Y-</w:t>
      </w:r>
      <w:r>
        <w:rPr>
          <w:rFonts w:ascii="宋体" w:hAnsi="宋体" w:cs="宋体"/>
          <w:color w:val="000000" w:themeColor="text1"/>
          <w:spacing w:val="2"/>
          <w:sz w:val="24"/>
          <w:highlight w:val="none"/>
          <w:u w:val="single"/>
          <w14:textFill>
            <w14:solidFill>
              <w14:schemeClr w14:val="tx1"/>
            </w14:solidFill>
          </w14:textFill>
        </w:rPr>
        <w:t>k</w:t>
      </w:r>
      <w:r>
        <w:rPr>
          <w:rFonts w:ascii="宋体" w:hAnsi="宋体" w:cs="宋体"/>
          <w:color w:val="000000" w:themeColor="text1"/>
          <w:spacing w:val="-18"/>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Y+</w:t>
      </w:r>
      <w:r>
        <w:rPr>
          <w:rFonts w:ascii="宋体" w:hAnsi="宋体" w:cs="宋体"/>
          <w:color w:val="000000" w:themeColor="text1"/>
          <w:spacing w:val="2"/>
          <w:sz w:val="24"/>
          <w:highlight w:val="none"/>
          <w:u w:val="single"/>
          <w14:textFill>
            <w14:solidFill>
              <w14:schemeClr w14:val="tx1"/>
            </w14:solidFill>
          </w14:textFill>
        </w:rPr>
        <w:t>k</w:t>
      </w:r>
      <w:r>
        <w:rPr>
          <w:rFonts w:ascii="宋体" w:hAnsi="宋体" w:cs="宋体"/>
          <w:color w:val="000000" w:themeColor="text1"/>
          <w:spacing w:val="2"/>
          <w:sz w:val="24"/>
          <w:highlight w:val="none"/>
          <w14:textFill>
            <w14:solidFill>
              <w14:schemeClr w14:val="tx1"/>
            </w14:solidFill>
          </w14:textFill>
        </w:rPr>
        <w:t>）公里之间（含界值）时，水路运输费</w:t>
      </w:r>
      <w:r>
        <w:rPr>
          <w:rFonts w:ascii="宋体" w:hAnsi="宋体" w:cs="宋体"/>
          <w:color w:val="000000" w:themeColor="text1"/>
          <w:sz w:val="24"/>
          <w:highlight w:val="none"/>
          <w14:textFill>
            <w14:solidFill>
              <w14:schemeClr w14:val="tx1"/>
            </w14:solidFill>
          </w14:textFill>
        </w:rPr>
        <w:t>用不作调整；小于（Y-</w:t>
      </w:r>
      <w:r>
        <w:rPr>
          <w:rFonts w:ascii="宋体" w:hAnsi="宋体" w:cs="宋体"/>
          <w:color w:val="000000" w:themeColor="text1"/>
          <w:sz w:val="24"/>
          <w:highlight w:val="none"/>
          <w:u w:val="single"/>
          <w14:textFill>
            <w14:solidFill>
              <w14:schemeClr w14:val="tx1"/>
            </w14:solidFill>
          </w14:textFill>
        </w:rPr>
        <w:t>k</w:t>
      </w:r>
      <w:r>
        <w:rPr>
          <w:rFonts w:ascii="宋体" w:hAnsi="宋体" w:cs="宋体"/>
          <w:color w:val="000000" w:themeColor="text1"/>
          <w:sz w:val="24"/>
          <w:highlight w:val="none"/>
          <w14:textFill>
            <w14:solidFill>
              <w14:schemeClr w14:val="tx1"/>
            </w14:solidFill>
          </w14:textFill>
        </w:rPr>
        <w:t>）公里时，A=-</w:t>
      </w:r>
      <w:r>
        <w:rPr>
          <w:rFonts w:ascii="宋体" w:hAnsi="宋体" w:cs="宋体"/>
          <w:color w:val="000000" w:themeColor="text1"/>
          <w:sz w:val="24"/>
          <w:highlight w:val="none"/>
          <w:u w:val="single"/>
          <w14:textFill>
            <w14:solidFill>
              <w14:schemeClr w14:val="tx1"/>
            </w14:solidFill>
          </w14:textFill>
        </w:rPr>
        <w:t>k</w:t>
      </w:r>
      <w:r>
        <w:rPr>
          <w:rFonts w:ascii="宋体" w:hAnsi="宋体" w:cs="宋体"/>
          <w:color w:val="000000" w:themeColor="text1"/>
          <w:sz w:val="24"/>
          <w:highlight w:val="none"/>
          <w14:textFill>
            <w14:solidFill>
              <w14:schemeClr w14:val="tx1"/>
            </w14:solidFill>
          </w14:textFill>
        </w:rPr>
        <w:t>；大于</w:t>
      </w:r>
      <w:r>
        <w:rPr>
          <w:rFonts w:ascii="宋体" w:hAnsi="宋体" w:cs="宋体"/>
          <w:color w:val="000000" w:themeColor="text1"/>
          <w:spacing w:val="-1"/>
          <w:sz w:val="24"/>
          <w:highlight w:val="none"/>
          <w14:textFill>
            <w14:solidFill>
              <w14:schemeClr w14:val="tx1"/>
            </w14:solidFill>
          </w14:textFill>
        </w:rPr>
        <w:t>（Y+</w:t>
      </w:r>
      <w:r>
        <w:rPr>
          <w:rFonts w:ascii="宋体" w:hAnsi="宋体" w:cs="宋体"/>
          <w:color w:val="000000" w:themeColor="text1"/>
          <w:spacing w:val="-1"/>
          <w:sz w:val="24"/>
          <w:highlight w:val="none"/>
          <w:u w:val="single"/>
          <w14:textFill>
            <w14:solidFill>
              <w14:schemeClr w14:val="tx1"/>
            </w14:solidFill>
          </w14:textFill>
        </w:rPr>
        <w:t>k</w:t>
      </w:r>
      <w:r>
        <w:rPr>
          <w:rFonts w:ascii="宋体" w:hAnsi="宋体" w:cs="宋体"/>
          <w:color w:val="000000" w:themeColor="text1"/>
          <w:spacing w:val="-1"/>
          <w:sz w:val="24"/>
          <w:highlight w:val="none"/>
          <w14:textFill>
            <w14:solidFill>
              <w14:schemeClr w14:val="tx1"/>
            </w14:solidFill>
          </w14:textFill>
        </w:rPr>
        <w:t>）公里时，A=</w:t>
      </w:r>
      <w:r>
        <w:rPr>
          <w:rFonts w:ascii="宋体" w:hAnsi="宋体" w:cs="宋体"/>
          <w:color w:val="000000" w:themeColor="text1"/>
          <w:spacing w:val="-1"/>
          <w:sz w:val="24"/>
          <w:highlight w:val="none"/>
          <w:u w:val="single"/>
          <w14:textFill>
            <w14:solidFill>
              <w14:schemeClr w14:val="tx1"/>
            </w14:solidFill>
          </w14:textFill>
        </w:rPr>
        <w:t>k</w:t>
      </w:r>
      <w:r>
        <w:rPr>
          <w:rFonts w:ascii="宋体" w:hAnsi="宋体" w:cs="宋体"/>
          <w:color w:val="000000" w:themeColor="text1"/>
          <w:spacing w:val="-1"/>
          <w:sz w:val="24"/>
          <w:highlight w:val="none"/>
          <w14:textFill>
            <w14:solidFill>
              <w14:schemeClr w14:val="tx1"/>
            </w14:solidFill>
          </w14:textFill>
        </w:rPr>
        <w:t>；</w:t>
      </w:r>
    </w:p>
    <w:p w14:paraId="514F2FED">
      <w:pPr>
        <w:spacing w:line="360" w:lineRule="auto"/>
        <w:ind w:left="10" w:right="57"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(2)当公路运输实际运距在（Z-</w:t>
      </w:r>
      <w:r>
        <w:rPr>
          <w:rFonts w:ascii="宋体" w:hAnsi="宋体" w:cs="宋体"/>
          <w:color w:val="000000" w:themeColor="text1"/>
          <w:spacing w:val="2"/>
          <w:sz w:val="24"/>
          <w:highlight w:val="none"/>
          <w:u w:val="single"/>
          <w14:textFill>
            <w14:solidFill>
              <w14:schemeClr w14:val="tx1"/>
            </w14:solidFill>
          </w14:textFill>
        </w:rPr>
        <w:t>k</w:t>
      </w:r>
      <w:r>
        <w:rPr>
          <w:rFonts w:ascii="宋体" w:hAnsi="宋体" w:cs="宋体"/>
          <w:color w:val="000000" w:themeColor="text1"/>
          <w:spacing w:val="-18"/>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Z+</w:t>
      </w:r>
      <w:r>
        <w:rPr>
          <w:rFonts w:ascii="宋体" w:hAnsi="宋体" w:cs="宋体"/>
          <w:color w:val="000000" w:themeColor="text1"/>
          <w:spacing w:val="2"/>
          <w:sz w:val="24"/>
          <w:highlight w:val="none"/>
          <w:u w:val="single"/>
          <w14:textFill>
            <w14:solidFill>
              <w14:schemeClr w14:val="tx1"/>
            </w14:solidFill>
          </w14:textFill>
        </w:rPr>
        <w:t>k</w:t>
      </w:r>
      <w:r>
        <w:rPr>
          <w:rFonts w:ascii="宋体" w:hAnsi="宋体" w:cs="宋体"/>
          <w:color w:val="000000" w:themeColor="text1"/>
          <w:spacing w:val="2"/>
          <w:sz w:val="24"/>
          <w:highlight w:val="none"/>
          <w14:textFill>
            <w14:solidFill>
              <w14:schemeClr w14:val="tx1"/>
            </w14:solidFill>
          </w14:textFill>
        </w:rPr>
        <w:t>）公里之间（含界值）时，公路运输费</w:t>
      </w:r>
      <w:r>
        <w:rPr>
          <w:rFonts w:ascii="宋体" w:hAnsi="宋体" w:cs="宋体"/>
          <w:color w:val="000000" w:themeColor="text1"/>
          <w:sz w:val="24"/>
          <w:highlight w:val="none"/>
          <w14:textFill>
            <w14:solidFill>
              <w14:schemeClr w14:val="tx1"/>
            </w14:solidFill>
          </w14:textFill>
        </w:rPr>
        <w:t>用不作调整；小于（Z-</w:t>
      </w:r>
      <w:r>
        <w:rPr>
          <w:rFonts w:ascii="宋体" w:hAnsi="宋体" w:cs="宋体"/>
          <w:color w:val="000000" w:themeColor="text1"/>
          <w:sz w:val="24"/>
          <w:highlight w:val="none"/>
          <w:u w:val="single"/>
          <w14:textFill>
            <w14:solidFill>
              <w14:schemeClr w14:val="tx1"/>
            </w14:solidFill>
          </w14:textFill>
        </w:rPr>
        <w:t>k</w:t>
      </w:r>
      <w:r>
        <w:rPr>
          <w:rFonts w:ascii="宋体" w:hAnsi="宋体" w:cs="宋体"/>
          <w:color w:val="000000" w:themeColor="text1"/>
          <w:sz w:val="24"/>
          <w:highlight w:val="none"/>
          <w14:textFill>
            <w14:solidFill>
              <w14:schemeClr w14:val="tx1"/>
            </w14:solidFill>
          </w14:textFill>
        </w:rPr>
        <w:t>）公里时，B=</w:t>
      </w:r>
      <w:r>
        <w:rPr>
          <w:rFonts w:ascii="宋体" w:hAnsi="宋体" w:cs="宋体"/>
          <w:color w:val="000000" w:themeColor="text1"/>
          <w:sz w:val="24"/>
          <w:highlight w:val="none"/>
          <w:u w:val="single"/>
          <w14:textFill>
            <w14:solidFill>
              <w14:schemeClr w14:val="tx1"/>
            </w14:solidFill>
          </w14:textFill>
        </w:rPr>
        <w:t>-k</w:t>
      </w:r>
      <w:r>
        <w:rPr>
          <w:rFonts w:ascii="宋体" w:hAnsi="宋体" w:cs="宋体"/>
          <w:color w:val="000000" w:themeColor="text1"/>
          <w:sz w:val="24"/>
          <w:highlight w:val="none"/>
          <w14:textFill>
            <w14:solidFill>
              <w14:schemeClr w14:val="tx1"/>
            </w14:solidFill>
          </w14:textFill>
        </w:rPr>
        <w:t>；大于</w:t>
      </w:r>
      <w:r>
        <w:rPr>
          <w:rFonts w:ascii="宋体" w:hAnsi="宋体" w:cs="宋体"/>
          <w:color w:val="000000" w:themeColor="text1"/>
          <w:spacing w:val="-1"/>
          <w:sz w:val="24"/>
          <w:highlight w:val="none"/>
          <w14:textFill>
            <w14:solidFill>
              <w14:schemeClr w14:val="tx1"/>
            </w14:solidFill>
          </w14:textFill>
        </w:rPr>
        <w:t>（Z+</w:t>
      </w:r>
      <w:r>
        <w:rPr>
          <w:rFonts w:ascii="宋体" w:hAnsi="宋体" w:cs="宋体"/>
          <w:color w:val="000000" w:themeColor="text1"/>
          <w:spacing w:val="-1"/>
          <w:sz w:val="24"/>
          <w:highlight w:val="none"/>
          <w:u w:val="single"/>
          <w14:textFill>
            <w14:solidFill>
              <w14:schemeClr w14:val="tx1"/>
            </w14:solidFill>
          </w14:textFill>
        </w:rPr>
        <w:t>k</w:t>
      </w:r>
      <w:r>
        <w:rPr>
          <w:rFonts w:ascii="宋体" w:hAnsi="宋体" w:cs="宋体"/>
          <w:color w:val="000000" w:themeColor="text1"/>
          <w:spacing w:val="-1"/>
          <w:sz w:val="24"/>
          <w:highlight w:val="none"/>
          <w14:textFill>
            <w14:solidFill>
              <w14:schemeClr w14:val="tx1"/>
            </w14:solidFill>
          </w14:textFill>
        </w:rPr>
        <w:t>）公里时，B=</w:t>
      </w:r>
      <w:r>
        <w:rPr>
          <w:rFonts w:ascii="宋体" w:hAnsi="宋体" w:cs="宋体"/>
          <w:color w:val="000000" w:themeColor="text1"/>
          <w:spacing w:val="-1"/>
          <w:sz w:val="24"/>
          <w:highlight w:val="none"/>
          <w:u w:val="single"/>
          <w14:textFill>
            <w14:solidFill>
              <w14:schemeClr w14:val="tx1"/>
            </w14:solidFill>
          </w14:textFill>
        </w:rPr>
        <w:t>k</w:t>
      </w:r>
      <w:r>
        <w:rPr>
          <w:rFonts w:ascii="宋体" w:hAnsi="宋体" w:cs="宋体"/>
          <w:color w:val="000000" w:themeColor="text1"/>
          <w:spacing w:val="-1"/>
          <w:sz w:val="24"/>
          <w:highlight w:val="none"/>
          <w14:textFill>
            <w14:solidFill>
              <w14:schemeClr w14:val="tx1"/>
            </w14:solidFill>
          </w14:textFill>
        </w:rPr>
        <w:t>；</w:t>
      </w:r>
    </w:p>
    <w:p w14:paraId="0DA322A7">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(3)运输运距以公里为单位，运输数量以</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m</w:t>
      </w:r>
      <w:r>
        <w:rPr>
          <w:rFonts w:ascii="宋体" w:hAnsi="宋体" w:cs="宋体"/>
          <w:color w:val="000000" w:themeColor="text1"/>
          <w:spacing w:val="-3"/>
          <w:position w:val="14"/>
          <w:sz w:val="13"/>
          <w:szCs w:val="13"/>
          <w:highlight w:val="none"/>
          <w14:textFill>
            <w14:solidFill>
              <w14:schemeClr w14:val="tx1"/>
            </w14:solidFill>
          </w14:textFill>
        </w:rPr>
        <w:t>3</w:t>
      </w:r>
      <w:r>
        <w:rPr>
          <w:rFonts w:ascii="宋体" w:hAnsi="宋体" w:cs="宋体"/>
          <w:color w:val="000000" w:themeColor="text1"/>
          <w:spacing w:val="-17"/>
          <w:position w:val="14"/>
          <w:sz w:val="13"/>
          <w:szCs w:val="13"/>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为单位；k</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一般取值</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30；</w:t>
      </w:r>
    </w:p>
    <w:p w14:paraId="090D1E43">
      <w:pPr>
        <w:spacing w:line="360" w:lineRule="auto"/>
        <w:ind w:left="530"/>
        <w:rPr>
          <w:rFonts w:hint="eastAsia" w:ascii="宋体" w:hAnsi="宋体" w:cs="宋体"/>
          <w:color w:val="000000" w:themeColor="text1"/>
          <w:sz w:val="24"/>
          <w:highlight w:val="none"/>
          <w14:textFill>
            <w14:solidFill>
              <w14:schemeClr w14:val="tx1"/>
            </w14:solidFill>
          </w14:textFill>
        </w:rPr>
      </w:pPr>
      <w:bookmarkStart w:id="270" w:name="bookmark325"/>
      <w:bookmarkEnd w:id="270"/>
      <w:bookmarkStart w:id="271" w:name="bookmark324"/>
      <w:bookmarkEnd w:id="271"/>
      <w:r>
        <w:rPr>
          <w:rFonts w:ascii="宋体" w:hAnsi="宋体" w:cs="宋体"/>
          <w:color w:val="000000" w:themeColor="text1"/>
          <w:spacing w:val="-2"/>
          <w:sz w:val="24"/>
          <w:highlight w:val="none"/>
          <w14:textFill>
            <w14:solidFill>
              <w14:schemeClr w14:val="tx1"/>
            </w14:solidFill>
          </w14:textFill>
        </w:rPr>
        <w:t>(4)采用铁路运输，铁路运输单价及运输费用调整同水路运输；</w:t>
      </w:r>
    </w:p>
    <w:p w14:paraId="4A764A48">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(5)可补偿的实际运距费用按其对应数量计算最多不超过</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10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元/m</w:t>
      </w:r>
      <w:r>
        <w:rPr>
          <w:rFonts w:ascii="宋体" w:hAnsi="宋体" w:cs="宋体"/>
          <w:color w:val="000000" w:themeColor="text1"/>
          <w:spacing w:val="-2"/>
          <w:position w:val="12"/>
          <w:sz w:val="12"/>
          <w:szCs w:val="12"/>
          <w:highlight w:val="none"/>
          <w14:textFill>
            <w14:solidFill>
              <w14:schemeClr w14:val="tx1"/>
            </w14:solidFill>
          </w14:textFill>
        </w:rPr>
        <w:t>3</w:t>
      </w:r>
      <w:r>
        <w:rPr>
          <w:rFonts w:ascii="宋体" w:hAnsi="宋体" w:cs="宋体"/>
          <w:color w:val="000000" w:themeColor="text1"/>
          <w:spacing w:val="-2"/>
          <w:sz w:val="24"/>
          <w:highlight w:val="none"/>
          <w14:textFill>
            <w14:solidFill>
              <w14:schemeClr w14:val="tx1"/>
            </w14:solidFill>
          </w14:textFill>
        </w:rPr>
        <w:t>。</w:t>
      </w:r>
    </w:p>
    <w:p w14:paraId="20DBF86D">
      <w:pPr>
        <w:spacing w:line="360" w:lineRule="auto"/>
        <w:ind w:left="7" w:right="6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3、按以上原则计算的调整费用为包干费用，</w:t>
      </w:r>
      <w:r>
        <w:rPr>
          <w:rFonts w:ascii="宋体" w:hAnsi="宋体" w:cs="宋体"/>
          <w:color w:val="000000" w:themeColor="text1"/>
          <w:spacing w:val="1"/>
          <w:sz w:val="24"/>
          <w:highlight w:val="none"/>
          <w14:textFill>
            <w14:solidFill>
              <w14:schemeClr w14:val="tx1"/>
            </w14:solidFill>
          </w14:textFill>
        </w:rPr>
        <w:t>不再考虑路桥费、装卸费、转运、仓</w:t>
      </w:r>
      <w:r>
        <w:rPr>
          <w:rFonts w:ascii="宋体" w:hAnsi="宋体" w:cs="宋体"/>
          <w:color w:val="000000" w:themeColor="text1"/>
          <w:spacing w:val="-2"/>
          <w:sz w:val="24"/>
          <w:highlight w:val="none"/>
          <w14:textFill>
            <w14:solidFill>
              <w14:schemeClr w14:val="tx1"/>
            </w14:solidFill>
          </w14:textFill>
        </w:rPr>
        <w:t>储、管理费。</w:t>
      </w:r>
    </w:p>
    <w:p w14:paraId="67BAC7B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16.1.5</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税费增减</w:t>
      </w:r>
    </w:p>
    <w:p w14:paraId="286E480E">
      <w:pPr>
        <w:spacing w:line="360" w:lineRule="auto"/>
        <w:ind w:left="51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由材料价差调整所产生的增值税增减额由发包人承担，其他税费由承</w:t>
      </w:r>
      <w:r>
        <w:rPr>
          <w:rFonts w:ascii="宋体" w:hAnsi="宋体" w:cs="宋体"/>
          <w:color w:val="000000" w:themeColor="text1"/>
          <w:spacing w:val="-2"/>
          <w:sz w:val="24"/>
          <w:highlight w:val="none"/>
          <w14:textFill>
            <w14:solidFill>
              <w14:schemeClr w14:val="tx1"/>
            </w14:solidFill>
          </w14:textFill>
        </w:rPr>
        <w:t>包人承担。</w:t>
      </w:r>
    </w:p>
    <w:p w14:paraId="7B48025A">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72" w:name="_Toc28116"/>
      <w:bookmarkStart w:id="273" w:name="_Toc27871"/>
      <w:r>
        <w:rPr>
          <w:rFonts w:ascii="宋体" w:hAnsi="宋体" w:cs="宋体"/>
          <w:color w:val="000000" w:themeColor="text1"/>
          <w:spacing w:val="-2"/>
          <w:sz w:val="24"/>
          <w:highlight w:val="none"/>
          <w14:textFill>
            <w14:solidFill>
              <w14:schemeClr w14:val="tx1"/>
            </w14:solidFill>
          </w14:textFill>
        </w:rPr>
        <w:t>16.2 法律变化引起的价格调整</w:t>
      </w:r>
      <w:bookmarkEnd w:id="272"/>
      <w:bookmarkEnd w:id="273"/>
    </w:p>
    <w:p w14:paraId="3249699B">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7C585E9E">
      <w:pPr>
        <w:spacing w:line="360" w:lineRule="auto"/>
        <w:ind w:left="6" w:right="61" w:firstLine="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（1）除合同另有约定外，如果在投标文件递交截止日</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28</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天之后，国家或省颁布的</w:t>
      </w:r>
      <w:r>
        <w:rPr>
          <w:rFonts w:ascii="宋体" w:hAnsi="宋体" w:cs="宋体"/>
          <w:color w:val="000000" w:themeColor="text1"/>
          <w:spacing w:val="-4"/>
          <w:sz w:val="24"/>
          <w:highlight w:val="none"/>
          <w14:textFill>
            <w14:solidFill>
              <w14:schemeClr w14:val="tx1"/>
            </w14:solidFill>
          </w14:textFill>
        </w:rPr>
        <w:t>法律、法规出现修改或变更，因采用上述法律、法规使承包人在履行合同中发生第</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16.1</w:t>
      </w:r>
      <w:r>
        <w:rPr>
          <w:rFonts w:ascii="宋体" w:hAnsi="宋体" w:cs="宋体"/>
          <w:color w:val="000000" w:themeColor="text1"/>
          <w:spacing w:val="-1"/>
          <w:sz w:val="24"/>
          <w:highlight w:val="none"/>
          <w14:textFill>
            <w14:solidFill>
              <w14:schemeClr w14:val="tx1"/>
            </w14:solidFill>
          </w14:textFill>
        </w:rPr>
        <w:t>款规定的价格调整以外的费用增加或减少的</w:t>
      </w:r>
      <w:r>
        <w:rPr>
          <w:rFonts w:ascii="宋体" w:hAnsi="宋体" w:cs="宋体"/>
          <w:color w:val="000000" w:themeColor="text1"/>
          <w:spacing w:val="-2"/>
          <w:sz w:val="24"/>
          <w:highlight w:val="none"/>
          <w14:textFill>
            <w14:solidFill>
              <w14:schemeClr w14:val="tx1"/>
            </w14:solidFill>
          </w14:textFill>
        </w:rPr>
        <w:t>，相关增减费用由监理人与承包人协商后，</w:t>
      </w:r>
      <w:r>
        <w:rPr>
          <w:rFonts w:ascii="宋体" w:hAnsi="宋体" w:cs="宋体"/>
          <w:color w:val="000000" w:themeColor="text1"/>
          <w:spacing w:val="-1"/>
          <w:sz w:val="24"/>
          <w:highlight w:val="none"/>
          <w14:textFill>
            <w14:solidFill>
              <w14:schemeClr w14:val="tx1"/>
            </w14:solidFill>
          </w14:textFill>
        </w:rPr>
        <w:t>报发包人审核审批。</w:t>
      </w:r>
    </w:p>
    <w:p w14:paraId="73B9D253">
      <w:pPr>
        <w:spacing w:line="360" w:lineRule="auto"/>
        <w:ind w:left="10" w:right="61"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（2）在工程实施过程中，所引用的国家标准和规范如果有修改或新颁，应由发包</w:t>
      </w:r>
      <w:r>
        <w:rPr>
          <w:rFonts w:ascii="宋体" w:hAnsi="宋体" w:cs="宋体"/>
          <w:color w:val="000000" w:themeColor="text1"/>
          <w:spacing w:val="-2"/>
          <w:sz w:val="24"/>
          <w:highlight w:val="none"/>
          <w14:textFill>
            <w14:solidFill>
              <w14:schemeClr w14:val="tx1"/>
            </w14:solidFill>
          </w14:textFill>
        </w:rPr>
        <w:t>人决定是否采用新标准或新规范，承包人应在监理人的监督下按发包人的决定执行。采</w:t>
      </w:r>
      <w:r>
        <w:rPr>
          <w:rFonts w:ascii="宋体" w:hAnsi="宋体" w:cs="宋体"/>
          <w:color w:val="000000" w:themeColor="text1"/>
          <w:sz w:val="24"/>
          <w:highlight w:val="none"/>
          <w14:textFill>
            <w14:solidFill>
              <w14:schemeClr w14:val="tx1"/>
            </w14:solidFill>
          </w14:textFill>
        </w:rPr>
        <w:t>用新标准、新规范（相对于招标文件）所增</w:t>
      </w:r>
      <w:r>
        <w:rPr>
          <w:rFonts w:ascii="宋体" w:hAnsi="宋体" w:cs="宋体"/>
          <w:color w:val="000000" w:themeColor="text1"/>
          <w:spacing w:val="-1"/>
          <w:sz w:val="24"/>
          <w:highlight w:val="none"/>
          <w14:textFill>
            <w14:solidFill>
              <w14:schemeClr w14:val="tx1"/>
            </w14:solidFill>
          </w14:textFill>
        </w:rPr>
        <w:t>加的相应费用由发包人承担。</w:t>
      </w:r>
    </w:p>
    <w:p w14:paraId="788569C4">
      <w:pPr>
        <w:spacing w:line="360" w:lineRule="auto"/>
        <w:ind w:left="9"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（3）合同执行期间，如发生税务政策调整，则执行新的税务政策，按以下公式调</w:t>
      </w:r>
      <w:r>
        <w:rPr>
          <w:rFonts w:ascii="宋体" w:hAnsi="宋体" w:cs="宋体"/>
          <w:color w:val="000000" w:themeColor="text1"/>
          <w:spacing w:val="-7"/>
          <w:sz w:val="24"/>
          <w:highlight w:val="none"/>
          <w14:textFill>
            <w14:solidFill>
              <w14:schemeClr w14:val="tx1"/>
            </w14:solidFill>
          </w14:textFill>
        </w:rPr>
        <w:t>整剩余合同价款，并签订补充协议。调整后合同价=原合同价/(1+原税率）*</w:t>
      </w:r>
      <w:r>
        <w:rPr>
          <w:rFonts w:ascii="宋体" w:hAnsi="宋体" w:cs="宋体"/>
          <w:color w:val="000000" w:themeColor="text1"/>
          <w:spacing w:val="-8"/>
          <w:sz w:val="24"/>
          <w:highlight w:val="none"/>
          <w14:textFill>
            <w14:solidFill>
              <w14:schemeClr w14:val="tx1"/>
            </w14:solidFill>
          </w14:textFill>
        </w:rPr>
        <w:t>（1+新税率</w:t>
      </w:r>
      <w:r>
        <w:rPr>
          <w:rFonts w:ascii="宋体" w:hAnsi="宋体" w:cs="宋体"/>
          <w:color w:val="000000" w:themeColor="text1"/>
          <w:spacing w:val="-53"/>
          <w:w w:val="85"/>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因承包人提供发票不及时或有误导致工程款不能</w:t>
      </w:r>
      <w:r>
        <w:rPr>
          <w:rFonts w:ascii="宋体" w:hAnsi="宋体" w:cs="宋体"/>
          <w:color w:val="000000" w:themeColor="text1"/>
          <w:spacing w:val="-1"/>
          <w:sz w:val="24"/>
          <w:highlight w:val="none"/>
          <w14:textFill>
            <w14:solidFill>
              <w14:schemeClr w14:val="tx1"/>
            </w14:solidFill>
          </w14:textFill>
        </w:rPr>
        <w:t>支付的责任由承包人承担。</w:t>
      </w:r>
    </w:p>
    <w:p w14:paraId="698C77C7">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本条补充第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16.3</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16.5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w:t>
      </w:r>
    </w:p>
    <w:p w14:paraId="4BC1DBDD">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74" w:name="_Toc29125"/>
      <w:bookmarkStart w:id="275" w:name="_Toc10592"/>
      <w:r>
        <w:rPr>
          <w:rFonts w:ascii="宋体" w:hAnsi="宋体" w:cs="宋体"/>
          <w:color w:val="000000" w:themeColor="text1"/>
          <w:spacing w:val="-2"/>
          <w:sz w:val="24"/>
          <w:highlight w:val="none"/>
          <w14:textFill>
            <w14:solidFill>
              <w14:schemeClr w14:val="tx1"/>
            </w14:solidFill>
          </w14:textFill>
        </w:rPr>
        <w:t>16.3 执行国家和行业标准</w:t>
      </w:r>
      <w:bookmarkEnd w:id="274"/>
      <w:bookmarkEnd w:id="275"/>
    </w:p>
    <w:p w14:paraId="3717C1C5">
      <w:pPr>
        <w:spacing w:line="360" w:lineRule="auto"/>
        <w:ind w:left="10" w:right="61"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除非发包人和监理人专门批准，如果本工程技术规范和图纸标准低于国家和行业标</w:t>
      </w:r>
      <w:r>
        <w:rPr>
          <w:rFonts w:ascii="宋体" w:hAnsi="宋体" w:cs="宋体"/>
          <w:color w:val="000000" w:themeColor="text1"/>
          <w:sz w:val="24"/>
          <w:highlight w:val="none"/>
          <w14:textFill>
            <w14:solidFill>
              <w14:schemeClr w14:val="tx1"/>
            </w14:solidFill>
          </w14:textFill>
        </w:rPr>
        <w:t>准，则应按国家和行业标准执行，承包人不能因此</w:t>
      </w:r>
      <w:r>
        <w:rPr>
          <w:rFonts w:ascii="宋体" w:hAnsi="宋体" w:cs="宋体"/>
          <w:color w:val="000000" w:themeColor="text1"/>
          <w:spacing w:val="-1"/>
          <w:sz w:val="24"/>
          <w:highlight w:val="none"/>
          <w14:textFill>
            <w14:solidFill>
              <w14:schemeClr w14:val="tx1"/>
            </w14:solidFill>
          </w14:textFill>
        </w:rPr>
        <w:t>提出增加费用的要求和索赔。</w:t>
      </w:r>
    </w:p>
    <w:p w14:paraId="52A11250">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76" w:name="_Toc13428"/>
      <w:bookmarkStart w:id="277" w:name="_Toc4338"/>
      <w:r>
        <w:rPr>
          <w:rFonts w:ascii="宋体" w:hAnsi="宋体" w:cs="宋体"/>
          <w:color w:val="000000" w:themeColor="text1"/>
          <w:spacing w:val="-2"/>
          <w:sz w:val="24"/>
          <w:highlight w:val="none"/>
          <w14:textFill>
            <w14:solidFill>
              <w14:schemeClr w14:val="tx1"/>
            </w14:solidFill>
          </w14:textFill>
        </w:rPr>
        <w:t>16.4 工期拖期的价格调整</w:t>
      </w:r>
      <w:bookmarkEnd w:id="276"/>
      <w:bookmarkEnd w:id="277"/>
    </w:p>
    <w:p w14:paraId="3C685BA9">
      <w:pPr>
        <w:spacing w:line="360" w:lineRule="auto"/>
        <w:ind w:left="8" w:right="61" w:firstLine="50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由于承包人原因未能在投标函中写明的工期内</w:t>
      </w:r>
      <w:r>
        <w:rPr>
          <w:rFonts w:ascii="宋体" w:hAnsi="宋体" w:cs="宋体"/>
          <w:color w:val="000000" w:themeColor="text1"/>
          <w:spacing w:val="-3"/>
          <w:sz w:val="24"/>
          <w:highlight w:val="none"/>
          <w14:textFill>
            <w14:solidFill>
              <w14:schemeClr w14:val="tx1"/>
            </w14:solidFill>
          </w14:textFill>
        </w:rPr>
        <w:t>完成本合同工程，在超出合同工期以</w:t>
      </w:r>
      <w:r>
        <w:rPr>
          <w:rFonts w:ascii="宋体" w:hAnsi="宋体" w:cs="宋体"/>
          <w:color w:val="000000" w:themeColor="text1"/>
          <w:spacing w:val="-2"/>
          <w:sz w:val="24"/>
          <w:highlight w:val="none"/>
          <w14:textFill>
            <w14:solidFill>
              <w14:schemeClr w14:val="tx1"/>
            </w14:solidFill>
          </w14:textFill>
        </w:rPr>
        <w:t>后施工的工程，承包人不能因此提出调整合同单价（总额价）要求。即使某种延期符合</w:t>
      </w:r>
      <w:r>
        <w:rPr>
          <w:rFonts w:ascii="宋体" w:hAnsi="宋体" w:cs="宋体"/>
          <w:color w:val="000000" w:themeColor="text1"/>
          <w:sz w:val="24"/>
          <w:highlight w:val="none"/>
          <w14:textFill>
            <w14:solidFill>
              <w14:schemeClr w14:val="tx1"/>
            </w14:solidFill>
          </w14:textFill>
        </w:rPr>
        <w:t>第</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11.4</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条及本合同条款相关规定，在该延长的合同工期到期以后施工的工程，承包人</w:t>
      </w:r>
      <w:r>
        <w:rPr>
          <w:rFonts w:ascii="宋体" w:hAnsi="宋体" w:cs="宋体"/>
          <w:color w:val="000000" w:themeColor="text1"/>
          <w:spacing w:val="-1"/>
          <w:sz w:val="24"/>
          <w:highlight w:val="none"/>
          <w14:textFill>
            <w14:solidFill>
              <w14:schemeClr w14:val="tx1"/>
            </w14:solidFill>
          </w14:textFill>
        </w:rPr>
        <w:t>也不能因此提出调整合同单价（总额价）要求。</w:t>
      </w:r>
    </w:p>
    <w:p w14:paraId="2E252997">
      <w:pPr>
        <w:spacing w:line="360" w:lineRule="auto"/>
        <w:ind w:left="505"/>
        <w:outlineLvl w:val="2"/>
        <w:rPr>
          <w:rFonts w:hint="eastAsia" w:ascii="宋体" w:hAnsi="宋体" w:cs="宋体"/>
          <w:color w:val="000000" w:themeColor="text1"/>
          <w:sz w:val="12"/>
          <w:szCs w:val="12"/>
          <w:highlight w:val="none"/>
          <w14:textFill>
            <w14:solidFill>
              <w14:schemeClr w14:val="tx1"/>
            </w14:solidFill>
          </w14:textFill>
        </w:rPr>
      </w:pPr>
      <w:bookmarkStart w:id="278" w:name="_Toc30996"/>
      <w:bookmarkStart w:id="279" w:name="_Toc29994"/>
      <w:r>
        <w:rPr>
          <w:rFonts w:ascii="宋体" w:hAnsi="宋体" w:cs="宋体"/>
          <w:color w:val="000000" w:themeColor="text1"/>
          <w:spacing w:val="-3"/>
          <w:sz w:val="24"/>
          <w:highlight w:val="none"/>
          <w14:textFill>
            <w14:solidFill>
              <w14:schemeClr w14:val="tx1"/>
            </w14:solidFill>
          </w14:textFill>
        </w:rPr>
        <w:t>16.5</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其他原因引起的价格调整</w:t>
      </w:r>
      <w:bookmarkEnd w:id="278"/>
      <w:bookmarkEnd w:id="279"/>
    </w:p>
    <w:p w14:paraId="0CC35D02">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16.5.1</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应急抢险工程</w:t>
      </w:r>
    </w:p>
    <w:p w14:paraId="0A262DCB">
      <w:pPr>
        <w:pStyle w:val="3"/>
        <w:spacing w:line="360" w:lineRule="auto"/>
        <w:ind w:firstLine="472" w:firstLineChars="200"/>
        <w:rPr>
          <w:rFonts w:hint="eastAsia" w:ascii="宋体" w:hAnsi="宋体" w:cs="宋体"/>
          <w:color w:val="000000" w:themeColor="text1"/>
          <w:spacing w:val="-2"/>
          <w:sz w:val="24"/>
          <w:highlight w:val="none"/>
          <w14:textFill>
            <w14:solidFill>
              <w14:schemeClr w14:val="tx1"/>
            </w14:solidFill>
          </w14:textFill>
        </w:rPr>
      </w:pPr>
      <w:bookmarkStart w:id="280" w:name="bookmark326"/>
      <w:bookmarkEnd w:id="280"/>
      <w:r>
        <w:rPr>
          <w:rFonts w:ascii="宋体" w:hAnsi="宋体" w:cs="宋体"/>
          <w:color w:val="000000" w:themeColor="text1"/>
          <w:spacing w:val="-2"/>
          <w:sz w:val="24"/>
          <w:highlight w:val="none"/>
          <w14:textFill>
            <w14:solidFill>
              <w14:schemeClr w14:val="tx1"/>
            </w14:solidFill>
          </w14:textFill>
        </w:rPr>
        <w:t>因自然灾害、地质灾害以及其他突发事件引发，导致高速公路及沿线</w:t>
      </w:r>
      <w:r>
        <w:rPr>
          <w:rFonts w:ascii="宋体" w:hAnsi="宋体" w:cs="宋体"/>
          <w:color w:val="000000" w:themeColor="text1"/>
          <w:spacing w:val="-3"/>
          <w:sz w:val="24"/>
          <w:highlight w:val="none"/>
          <w14:textFill>
            <w14:solidFill>
              <w14:schemeClr w14:val="tx1"/>
            </w14:solidFill>
          </w14:textFill>
        </w:rPr>
        <w:t>设施受损，正</w:t>
      </w:r>
      <w:r>
        <w:rPr>
          <w:rFonts w:ascii="宋体" w:hAnsi="宋体" w:cs="宋体"/>
          <w:color w:val="000000" w:themeColor="text1"/>
          <w:spacing w:val="-2"/>
          <w:sz w:val="24"/>
          <w:highlight w:val="none"/>
          <w14:textFill>
            <w14:solidFill>
              <w14:schemeClr w14:val="tx1"/>
            </w14:solidFill>
          </w14:textFill>
        </w:rPr>
        <w:t>在发生严重危害或即将产生严重危害，必须迅速采取措施的工程或因应对突发事件需要</w:t>
      </w:r>
      <w:r>
        <w:rPr>
          <w:rFonts w:ascii="宋体" w:hAnsi="宋体" w:cs="宋体"/>
          <w:color w:val="000000" w:themeColor="text1"/>
          <w:spacing w:val="-1"/>
          <w:sz w:val="24"/>
          <w:highlight w:val="none"/>
          <w14:textFill>
            <w14:solidFill>
              <w14:schemeClr w14:val="tx1"/>
            </w14:solidFill>
          </w14:textFill>
        </w:rPr>
        <w:t>在短期内启动并尽快完成的抢险修复工程，</w:t>
      </w:r>
      <w:r>
        <w:rPr>
          <w:rFonts w:ascii="宋体" w:hAnsi="宋体" w:cs="宋体"/>
          <w:color w:val="000000" w:themeColor="text1"/>
          <w:spacing w:val="-2"/>
          <w:sz w:val="24"/>
          <w:highlight w:val="none"/>
          <w14:textFill>
            <w14:solidFill>
              <w14:schemeClr w14:val="tx1"/>
            </w14:solidFill>
          </w14:textFill>
        </w:rPr>
        <w:t>经发包人和监理人确认后，按应急抢险工程进行处理。应急抢险工程的变更作价按</w:t>
      </w:r>
      <w:r>
        <w:rPr>
          <w:rFonts w:ascii="宋体" w:hAnsi="宋体" w:cs="宋体"/>
          <w:color w:val="000000" w:themeColor="text1"/>
          <w:spacing w:val="-2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15.4.4</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款约定执行。</w:t>
      </w:r>
    </w:p>
    <w:p w14:paraId="1D3740BC">
      <w:pPr>
        <w:pStyle w:val="3"/>
        <w:spacing w:line="360" w:lineRule="auto"/>
        <w:ind w:firstLine="460"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16.5.2</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施工图设计和合同清单工程数量出现“差、错、漏、碰</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”的，经勘误后，按</w:t>
      </w:r>
      <w:r>
        <w:rPr>
          <w:rFonts w:ascii="宋体" w:hAnsi="宋体" w:cs="宋体"/>
          <w:color w:val="000000" w:themeColor="text1"/>
          <w:spacing w:val="-1"/>
          <w:sz w:val="24"/>
          <w:highlight w:val="none"/>
          <w14:textFill>
            <w14:solidFill>
              <w14:schemeClr w14:val="tx1"/>
            </w14:solidFill>
          </w14:textFill>
        </w:rPr>
        <w:t>合同条款及计量支付规则约定的计量原则，作变更处理。</w:t>
      </w:r>
    </w:p>
    <w:p w14:paraId="29828F89">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16.5.3</w:t>
      </w:r>
      <w:r>
        <w:rPr>
          <w:rFonts w:ascii="宋体" w:hAnsi="宋体" w:cs="宋体"/>
          <w:color w:val="000000" w:themeColor="text1"/>
          <w:spacing w:val="-1"/>
          <w:sz w:val="24"/>
          <w:highlight w:val="none"/>
          <w:u w:val="single"/>
          <w14:textFill>
            <w14:solidFill>
              <w14:schemeClr w14:val="tx1"/>
            </w14:solidFill>
          </w14:textFill>
        </w:rPr>
        <w:t xml:space="preserve">       </w:t>
      </w:r>
      <w:r>
        <w:rPr>
          <w:rFonts w:hint="eastAsia" w:ascii="宋体" w:hAnsi="宋体" w:cs="宋体"/>
          <w:color w:val="000000" w:themeColor="text1"/>
          <w:spacing w:val="-1"/>
          <w:sz w:val="24"/>
          <w:highlight w:val="none"/>
          <w:u w:val="single"/>
          <w14:textFill>
            <w14:solidFill>
              <w14:schemeClr w14:val="tx1"/>
            </w14:solidFill>
          </w14:textFill>
        </w:rPr>
        <w:t>/</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（其他可调整价格的情形）。</w:t>
      </w:r>
    </w:p>
    <w:p w14:paraId="2C4D31CD">
      <w:pPr>
        <w:spacing w:line="360" w:lineRule="auto"/>
        <w:ind w:left="505"/>
        <w:outlineLvl w:val="1"/>
        <w:rPr>
          <w:rFonts w:hint="eastAsia" w:ascii="宋体" w:hAnsi="宋体" w:cs="宋体"/>
          <w:color w:val="000000" w:themeColor="text1"/>
          <w:sz w:val="24"/>
          <w:highlight w:val="none"/>
          <w14:textFill>
            <w14:solidFill>
              <w14:schemeClr w14:val="tx1"/>
            </w14:solidFill>
          </w14:textFill>
        </w:rPr>
      </w:pPr>
      <w:bookmarkStart w:id="281" w:name="_Toc23704"/>
      <w:bookmarkStart w:id="282" w:name="_Toc24879"/>
      <w:r>
        <w:rPr>
          <w:rFonts w:ascii="宋体" w:hAnsi="宋体" w:cs="宋体"/>
          <w:b/>
          <w:bCs/>
          <w:color w:val="000000" w:themeColor="text1"/>
          <w:spacing w:val="-5"/>
          <w:sz w:val="24"/>
          <w:highlight w:val="none"/>
          <w14:textFill>
            <w14:solidFill>
              <w14:schemeClr w14:val="tx1"/>
            </w14:solidFill>
          </w14:textFill>
        </w:rPr>
        <w:t>17.</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b/>
          <w:bCs/>
          <w:color w:val="000000" w:themeColor="text1"/>
          <w:spacing w:val="-5"/>
          <w:sz w:val="24"/>
          <w:highlight w:val="none"/>
          <w14:textFill>
            <w14:solidFill>
              <w14:schemeClr w14:val="tx1"/>
            </w14:solidFill>
          </w14:textFill>
        </w:rPr>
        <w:t>计量与支付</w:t>
      </w:r>
      <w:bookmarkEnd w:id="281"/>
      <w:bookmarkEnd w:id="282"/>
    </w:p>
    <w:p w14:paraId="41E36A72">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83" w:name="_Toc22216"/>
      <w:bookmarkStart w:id="284" w:name="_Toc22421"/>
      <w:r>
        <w:rPr>
          <w:rFonts w:ascii="宋体" w:hAnsi="宋体" w:cs="宋体"/>
          <w:color w:val="000000" w:themeColor="text1"/>
          <w:spacing w:val="-7"/>
          <w:sz w:val="24"/>
          <w:highlight w:val="none"/>
          <w14:textFill>
            <w14:solidFill>
              <w14:schemeClr w14:val="tx1"/>
            </w14:solidFill>
          </w14:textFill>
        </w:rPr>
        <w:t>17.1</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7"/>
          <w:sz w:val="24"/>
          <w:highlight w:val="none"/>
          <w14:textFill>
            <w14:solidFill>
              <w14:schemeClr w14:val="tx1"/>
            </w14:solidFill>
          </w14:textFill>
        </w:rPr>
        <w:t>计量</w:t>
      </w:r>
      <w:bookmarkEnd w:id="283"/>
      <w:bookmarkEnd w:id="284"/>
    </w:p>
    <w:p w14:paraId="5A1D9933">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17.1.5</w:t>
      </w:r>
      <w:r>
        <w:rPr>
          <w:rFonts w:ascii="宋体" w:hAnsi="宋体" w:cs="宋体"/>
          <w:color w:val="000000" w:themeColor="text1"/>
          <w:spacing w:val="-3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总价子目的计量</w:t>
      </w:r>
    </w:p>
    <w:p w14:paraId="4BD2B8BD">
      <w:pPr>
        <w:spacing w:line="360" w:lineRule="auto"/>
        <w:ind w:left="9"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本项目工程量清单中要求承包人以“总额</w:t>
      </w:r>
      <w:r>
        <w:rPr>
          <w:rFonts w:ascii="宋体" w:hAnsi="宋体" w:cs="宋体"/>
          <w:color w:val="000000" w:themeColor="text1"/>
          <w:spacing w:val="-7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”方式报价的子目，各子目的支付原则和</w:t>
      </w:r>
      <w:r>
        <w:rPr>
          <w:rFonts w:ascii="宋体" w:hAnsi="宋体" w:cs="宋体"/>
          <w:color w:val="000000" w:themeColor="text1"/>
          <w:spacing w:val="-1"/>
          <w:sz w:val="24"/>
          <w:highlight w:val="none"/>
          <w14:textFill>
            <w14:solidFill>
              <w14:schemeClr w14:val="tx1"/>
            </w14:solidFill>
          </w14:textFill>
        </w:rPr>
        <w:t>支付进度按本合同文件工程量清单计量规则中的规定执行。</w:t>
      </w:r>
    </w:p>
    <w:p w14:paraId="77BE760C">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本款补充第</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17.1.6-17.1.8</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w:t>
      </w:r>
    </w:p>
    <w:p w14:paraId="1DF02588">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17.1.6</w:t>
      </w:r>
      <w:r>
        <w:rPr>
          <w:rFonts w:ascii="宋体" w:hAnsi="宋体" w:cs="宋体"/>
          <w:color w:val="000000" w:themeColor="text1"/>
          <w:spacing w:val="-3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变更工程的暂定计量和支付</w:t>
      </w:r>
    </w:p>
    <w:p w14:paraId="58CB5D0B">
      <w:pPr>
        <w:spacing w:line="360" w:lineRule="auto"/>
        <w:ind w:left="8" w:right="1"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（1）需报发包人上级主管部门审批的变更工程项目，在发包人审核完成而尚未获</w:t>
      </w:r>
      <w:r>
        <w:rPr>
          <w:rFonts w:ascii="宋体" w:hAnsi="宋体" w:cs="宋体"/>
          <w:color w:val="000000" w:themeColor="text1"/>
          <w:spacing w:val="-2"/>
          <w:sz w:val="24"/>
          <w:highlight w:val="none"/>
          <w14:textFill>
            <w14:solidFill>
              <w14:schemeClr w14:val="tx1"/>
            </w14:solidFill>
          </w14:textFill>
        </w:rPr>
        <w:t>得上级主管部门审批时，可采用暂定计量，暂定计量金额不超过发包人审核后的合同变</w:t>
      </w:r>
      <w:r>
        <w:rPr>
          <w:rFonts w:ascii="宋体" w:hAnsi="宋体" w:cs="宋体"/>
          <w:color w:val="000000" w:themeColor="text1"/>
          <w:sz w:val="24"/>
          <w:highlight w:val="none"/>
          <w14:textFill>
            <w14:solidFill>
              <w14:schemeClr w14:val="tx1"/>
            </w14:solidFill>
          </w14:textFill>
        </w:rPr>
        <w:t>更金额的</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85%。待上级主管部门审批后按审批结果进行实际</w:t>
      </w:r>
      <w:r>
        <w:rPr>
          <w:rFonts w:ascii="宋体" w:hAnsi="宋体" w:cs="宋体"/>
          <w:color w:val="000000" w:themeColor="text1"/>
          <w:spacing w:val="-1"/>
          <w:sz w:val="24"/>
          <w:highlight w:val="none"/>
          <w14:textFill>
            <w14:solidFill>
              <w14:schemeClr w14:val="tx1"/>
            </w14:solidFill>
          </w14:textFill>
        </w:rPr>
        <w:t>计量，并扣回已暂计量的金</w:t>
      </w:r>
      <w:r>
        <w:rPr>
          <w:rFonts w:ascii="宋体" w:hAnsi="宋体" w:cs="宋体"/>
          <w:color w:val="000000" w:themeColor="text1"/>
          <w:spacing w:val="-5"/>
          <w:sz w:val="24"/>
          <w:highlight w:val="none"/>
          <w14:textFill>
            <w14:solidFill>
              <w14:schemeClr w14:val="tx1"/>
            </w14:solidFill>
          </w14:textFill>
        </w:rPr>
        <w:t>额。</w:t>
      </w:r>
    </w:p>
    <w:p w14:paraId="3BDA7147">
      <w:pPr>
        <w:spacing w:line="360" w:lineRule="auto"/>
        <w:ind w:left="10" w:right="1" w:firstLine="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（2）第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20.1.3（1）目中变更工程，在承包人已根据合同规定向保险人报案但发包</w:t>
      </w:r>
      <w:r>
        <w:rPr>
          <w:rFonts w:ascii="宋体" w:hAnsi="宋体" w:cs="宋体"/>
          <w:color w:val="000000" w:themeColor="text1"/>
          <w:spacing w:val="-2"/>
          <w:sz w:val="24"/>
          <w:highlight w:val="none"/>
          <w14:textFill>
            <w14:solidFill>
              <w14:schemeClr w14:val="tx1"/>
            </w14:solidFill>
          </w14:textFill>
        </w:rPr>
        <w:t>人尚未收到保险人支付的赔付金时，可采用暂定计量，暂定计量金额不超过发包人审核</w:t>
      </w:r>
      <w:r>
        <w:rPr>
          <w:rFonts w:ascii="宋体" w:hAnsi="宋体" w:cs="宋体"/>
          <w:color w:val="000000" w:themeColor="text1"/>
          <w:spacing w:val="1"/>
          <w:sz w:val="24"/>
          <w:highlight w:val="none"/>
          <w14:textFill>
            <w14:solidFill>
              <w14:schemeClr w14:val="tx1"/>
            </w14:solidFill>
          </w14:textFill>
        </w:rPr>
        <w:t>后变更金额的80%。发包人收到赔付金后进行实际计量，并扣回已暂定计量的金额。</w:t>
      </w:r>
    </w:p>
    <w:p w14:paraId="608FA1C1">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17.1.7</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路面备料款的计量和支付</w:t>
      </w:r>
    </w:p>
    <w:p w14:paraId="5F020C61">
      <w:pPr>
        <w:spacing w:line="360" w:lineRule="auto"/>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发包人将对承包人的路面碎石、机制砂备料款进行暂定计量，具体操作办法</w:t>
      </w:r>
      <w:r>
        <w:rPr>
          <w:rFonts w:ascii="宋体" w:hAnsi="宋体" w:cs="宋体"/>
          <w:color w:val="000000" w:themeColor="text1"/>
          <w:spacing w:val="-3"/>
          <w:sz w:val="24"/>
          <w:highlight w:val="none"/>
          <w14:textFill>
            <w14:solidFill>
              <w14:schemeClr w14:val="tx1"/>
            </w14:solidFill>
          </w14:textFill>
        </w:rPr>
        <w:t>如下：</w:t>
      </w:r>
    </w:p>
    <w:p w14:paraId="3D7DB3E7">
      <w:pPr>
        <w:spacing w:line="360" w:lineRule="auto"/>
        <w:ind w:left="9" w:right="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（1）计量数量：以承包人实际进场并经监理人和发包人代表验收确认数量的项目</w:t>
      </w:r>
      <w:r>
        <w:rPr>
          <w:rFonts w:ascii="宋体" w:hAnsi="宋体" w:cs="宋体"/>
          <w:color w:val="000000" w:themeColor="text1"/>
          <w:spacing w:val="-1"/>
          <w:sz w:val="24"/>
          <w:highlight w:val="none"/>
          <w14:textFill>
            <w14:solidFill>
              <w14:schemeClr w14:val="tx1"/>
            </w14:solidFill>
          </w14:textFill>
        </w:rPr>
        <w:t>专用合同条款数据表约定的比例计；</w:t>
      </w:r>
    </w:p>
    <w:p w14:paraId="195A7F60">
      <w:pPr>
        <w:spacing w:line="360" w:lineRule="auto"/>
        <w:ind w:left="19"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（2）计量单价：本合同段招标最高投标限价清单预算采用的相应规格材料预算价</w:t>
      </w:r>
      <w:r>
        <w:rPr>
          <w:rFonts w:ascii="宋体" w:hAnsi="宋体" w:cs="宋体"/>
          <w:color w:val="000000" w:themeColor="text1"/>
          <w:spacing w:val="-6"/>
          <w:sz w:val="24"/>
          <w:highlight w:val="none"/>
          <w14:textFill>
            <w14:solidFill>
              <w14:schemeClr w14:val="tx1"/>
            </w14:solidFill>
          </w14:textFill>
        </w:rPr>
        <w:t>（不含税</w:t>
      </w:r>
      <w:r>
        <w:rPr>
          <w:rFonts w:ascii="宋体" w:hAnsi="宋体" w:cs="宋体"/>
          <w:color w:val="000000" w:themeColor="text1"/>
          <w:spacing w:val="1"/>
          <w:sz w:val="24"/>
          <w:highlight w:val="none"/>
          <w14:textFill>
            <w14:solidFill>
              <w14:schemeClr w14:val="tx1"/>
            </w14:solidFill>
          </w14:textFill>
        </w:rPr>
        <w:t>）；</w:t>
      </w:r>
    </w:p>
    <w:p w14:paraId="28659DC8">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（3）计量方式：每月计量一次；</w:t>
      </w:r>
    </w:p>
    <w:p w14:paraId="66899626">
      <w:pPr>
        <w:spacing w:line="360" w:lineRule="auto"/>
        <w:ind w:left="9" w:right="1"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（4）暂定计量备料款的扣回：承包人所备的碎石、机制砂材料已用于路面施工并</w:t>
      </w:r>
      <w:r>
        <w:rPr>
          <w:rFonts w:ascii="宋体" w:hAnsi="宋体" w:cs="宋体"/>
          <w:color w:val="000000" w:themeColor="text1"/>
          <w:spacing w:val="-1"/>
          <w:sz w:val="24"/>
          <w:highlight w:val="none"/>
          <w14:textFill>
            <w14:solidFill>
              <w14:schemeClr w14:val="tx1"/>
            </w14:solidFill>
          </w14:textFill>
        </w:rPr>
        <w:t>得到正常计量后，发包人将在计量当期扣回对应的暂定计量备料款。</w:t>
      </w:r>
    </w:p>
    <w:p w14:paraId="7ADB93D0">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17.1.8</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过程结算的计量和支付</w:t>
      </w:r>
    </w:p>
    <w:p w14:paraId="01F0662A">
      <w:pPr>
        <w:spacing w:line="360" w:lineRule="auto"/>
        <w:ind w:left="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发包人制定过程结算制度并明确有关过程结算的计量支付规则，未按要求完成过程</w:t>
      </w:r>
      <w:r>
        <w:rPr>
          <w:rFonts w:ascii="宋体" w:hAnsi="宋体" w:cs="宋体"/>
          <w:color w:val="000000" w:themeColor="text1"/>
          <w:spacing w:val="-1"/>
          <w:sz w:val="24"/>
          <w:highlight w:val="none"/>
          <w14:textFill>
            <w14:solidFill>
              <w14:schemeClr w14:val="tx1"/>
            </w14:solidFill>
          </w14:textFill>
        </w:rPr>
        <w:t>结算的费用项，最高支付金额不宜超过建设单</w:t>
      </w:r>
      <w:r>
        <w:rPr>
          <w:rFonts w:ascii="宋体" w:hAnsi="宋体" w:cs="宋体"/>
          <w:color w:val="000000" w:themeColor="text1"/>
          <w:spacing w:val="-2"/>
          <w:sz w:val="24"/>
          <w:highlight w:val="none"/>
          <w14:textFill>
            <w14:solidFill>
              <w14:schemeClr w14:val="tx1"/>
            </w14:solidFill>
          </w14:textFill>
        </w:rPr>
        <w:t>位审核确认的 97%，过程结算完成后方可</w:t>
      </w:r>
      <w:r>
        <w:rPr>
          <w:rFonts w:ascii="宋体" w:hAnsi="宋体" w:cs="宋体"/>
          <w:color w:val="000000" w:themeColor="text1"/>
          <w:spacing w:val="-5"/>
          <w:sz w:val="24"/>
          <w:highlight w:val="none"/>
          <w14:textFill>
            <w14:solidFill>
              <w14:schemeClr w14:val="tx1"/>
            </w14:solidFill>
          </w14:textFill>
        </w:rPr>
        <w:t>支付余下金额。完工结算率低于</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30%的，在后续计量支付中可暂扣工程进度款一定比例，</w:t>
      </w:r>
      <w:r>
        <w:rPr>
          <w:rFonts w:ascii="宋体" w:hAnsi="宋体" w:cs="宋体"/>
          <w:color w:val="000000" w:themeColor="text1"/>
          <w:spacing w:val="-1"/>
          <w:sz w:val="24"/>
          <w:highlight w:val="none"/>
          <w14:textFill>
            <w14:solidFill>
              <w14:schemeClr w14:val="tx1"/>
            </w14:solidFill>
          </w14:textFill>
        </w:rPr>
        <w:t>具体在过程结算条款中明确。</w:t>
      </w:r>
    </w:p>
    <w:p w14:paraId="4B8F7357">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85" w:name="_Toc2292"/>
      <w:bookmarkStart w:id="286" w:name="_Toc32242"/>
      <w:r>
        <w:rPr>
          <w:rFonts w:ascii="宋体" w:hAnsi="宋体" w:cs="宋体"/>
          <w:color w:val="000000" w:themeColor="text1"/>
          <w:spacing w:val="-6"/>
          <w:sz w:val="24"/>
          <w:highlight w:val="none"/>
          <w14:textFill>
            <w14:solidFill>
              <w14:schemeClr w14:val="tx1"/>
            </w14:solidFill>
          </w14:textFill>
        </w:rPr>
        <w:t>17.2</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预付款</w:t>
      </w:r>
      <w:bookmarkEnd w:id="285"/>
      <w:bookmarkEnd w:id="286"/>
    </w:p>
    <w:p w14:paraId="18818C19">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17.2.3 预付款的扣回与还清</w:t>
      </w:r>
    </w:p>
    <w:p w14:paraId="294BB9BB">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本款</w:t>
      </w:r>
      <w:r>
        <w:rPr>
          <w:rFonts w:hint="eastAsia" w:ascii="宋体" w:hAnsi="宋体" w:cs="宋体"/>
          <w:color w:val="000000" w:themeColor="text1"/>
          <w:spacing w:val="-1"/>
          <w:sz w:val="24"/>
          <w:highlight w:val="none"/>
          <w:lang w:val="en-US" w:eastAsia="zh-CN"/>
          <w14:textFill>
            <w14:solidFill>
              <w14:schemeClr w14:val="tx1"/>
            </w14:solidFill>
          </w14:textFill>
        </w:rPr>
        <w:t>修改为</w:t>
      </w:r>
      <w:r>
        <w:rPr>
          <w:rFonts w:ascii="宋体" w:hAnsi="宋体" w:cs="宋体"/>
          <w:color w:val="000000" w:themeColor="text1"/>
          <w:spacing w:val="-1"/>
          <w:sz w:val="24"/>
          <w:highlight w:val="none"/>
          <w14:textFill>
            <w14:solidFill>
              <w14:schemeClr w14:val="tx1"/>
            </w14:solidFill>
          </w14:textFill>
        </w:rPr>
        <w:t>：</w:t>
      </w:r>
    </w:p>
    <w:p w14:paraId="4D95C76B">
      <w:pPr>
        <w:spacing w:line="360" w:lineRule="auto"/>
        <w:ind w:left="8" w:right="61" w:firstLine="483"/>
        <w:rPr>
          <w:rFonts w:hint="eastAsia" w:ascii="宋体" w:hAnsi="宋体" w:eastAsia="宋体" w:cs="宋体"/>
          <w:color w:val="000000" w:themeColor="text1"/>
          <w:spacing w:val="-3"/>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预付款</w:t>
      </w:r>
      <w:r>
        <w:rPr>
          <w:rFonts w:hint="eastAsia" w:ascii="宋体" w:hAnsi="宋体" w:eastAsia="宋体" w:cs="宋体"/>
          <w:color w:val="000000" w:themeColor="text1"/>
          <w:spacing w:val="-3"/>
          <w:sz w:val="24"/>
          <w:highlight w:val="none"/>
          <w:lang w:val="en-US" w:eastAsia="zh-CN"/>
          <w14:textFill>
            <w14:solidFill>
              <w14:schemeClr w14:val="tx1"/>
            </w14:solidFill>
          </w14:textFill>
        </w:rPr>
        <w:t>原则上</w:t>
      </w:r>
      <w:r>
        <w:rPr>
          <w:rFonts w:hint="eastAsia" w:ascii="宋体" w:hAnsi="宋体" w:eastAsia="宋体" w:cs="宋体"/>
          <w:color w:val="000000" w:themeColor="text1"/>
          <w:spacing w:val="-3"/>
          <w:sz w:val="24"/>
          <w:highlight w:val="none"/>
          <w14:textFill>
            <w14:solidFill>
              <w14:schemeClr w14:val="tx1"/>
            </w14:solidFill>
          </w14:textFill>
        </w:rPr>
        <w:t>在第一期进度款中全额扣回。</w:t>
      </w:r>
      <w:r>
        <w:rPr>
          <w:rFonts w:ascii="宋体" w:hAnsi="宋体" w:eastAsia="宋体" w:cs="宋体"/>
          <w:color w:val="000000" w:themeColor="text1"/>
          <w:spacing w:val="-3"/>
          <w:sz w:val="24"/>
          <w:highlight w:val="none"/>
          <w14:textFill>
            <w14:solidFill>
              <w14:schemeClr w14:val="tx1"/>
            </w14:solidFill>
          </w14:textFill>
        </w:rPr>
        <w:t xml:space="preserve"> 如有需要，发包人可根据实际情况制定更符合工程需要的预付款月扣款比例。</w:t>
      </w:r>
    </w:p>
    <w:p w14:paraId="47CAE077">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87" w:name="_Toc4545"/>
      <w:bookmarkStart w:id="288" w:name="_Toc5375"/>
      <w:r>
        <w:rPr>
          <w:rFonts w:ascii="宋体" w:hAnsi="宋体" w:cs="宋体"/>
          <w:color w:val="000000" w:themeColor="text1"/>
          <w:spacing w:val="-3"/>
          <w:sz w:val="24"/>
          <w:highlight w:val="none"/>
          <w14:textFill>
            <w14:solidFill>
              <w14:schemeClr w14:val="tx1"/>
            </w14:solidFill>
          </w14:textFill>
        </w:rPr>
        <w:t>17.3 工程进度付款</w:t>
      </w:r>
      <w:bookmarkEnd w:id="287"/>
      <w:bookmarkEnd w:id="288"/>
    </w:p>
    <w:p w14:paraId="0426118C">
      <w:pPr>
        <w:spacing w:line="360" w:lineRule="auto"/>
        <w:ind w:left="506"/>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17.3.1</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付款周期</w:t>
      </w:r>
    </w:p>
    <w:p w14:paraId="00220FFF">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65013DEF">
      <w:pPr>
        <w:spacing w:line="360" w:lineRule="auto"/>
        <w:ind w:left="8"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发包人根据工程进度需要，可在一个计量周期内实行“一次计量、两次支付</w:t>
      </w:r>
      <w:r>
        <w:rPr>
          <w:rFonts w:ascii="宋体" w:hAnsi="宋体" w:cs="宋体"/>
          <w:color w:val="000000" w:themeColor="text1"/>
          <w:spacing w:val="-7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”的方</w:t>
      </w:r>
      <w:r>
        <w:rPr>
          <w:rFonts w:ascii="宋体" w:hAnsi="宋体" w:cs="宋体"/>
          <w:color w:val="000000" w:themeColor="text1"/>
          <w:sz w:val="24"/>
          <w:highlight w:val="none"/>
          <w14:textFill>
            <w14:solidFill>
              <w14:schemeClr w14:val="tx1"/>
            </w14:solidFill>
          </w14:textFill>
        </w:rPr>
        <w:t>式，即在承包人上报月计量报表经监理人审核后，发包人暂</w:t>
      </w:r>
      <w:r>
        <w:rPr>
          <w:rFonts w:ascii="宋体" w:hAnsi="宋体" w:cs="宋体"/>
          <w:color w:val="000000" w:themeColor="text1"/>
          <w:spacing w:val="-1"/>
          <w:sz w:val="24"/>
          <w:highlight w:val="none"/>
          <w14:textFill>
            <w14:solidFill>
              <w14:schemeClr w14:val="tx1"/>
            </w14:solidFill>
          </w14:textFill>
        </w:rPr>
        <w:t>按当期计量金额的</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50%进行</w:t>
      </w:r>
      <w:r>
        <w:rPr>
          <w:rFonts w:ascii="宋体" w:hAnsi="宋体" w:cs="宋体"/>
          <w:color w:val="000000" w:themeColor="text1"/>
          <w:spacing w:val="-2"/>
          <w:sz w:val="24"/>
          <w:highlight w:val="none"/>
          <w14:textFill>
            <w14:solidFill>
              <w14:schemeClr w14:val="tx1"/>
            </w14:solidFill>
          </w14:textFill>
        </w:rPr>
        <w:t>第一次支付，待月计量报表审核流程结束后，发包人根据审批的付款证书进行第二次支</w:t>
      </w:r>
      <w:r>
        <w:rPr>
          <w:rFonts w:ascii="宋体" w:hAnsi="宋体" w:cs="宋体"/>
          <w:color w:val="000000" w:themeColor="text1"/>
          <w:spacing w:val="4"/>
          <w:sz w:val="24"/>
          <w:highlight w:val="none"/>
          <w14:textFill>
            <w14:solidFill>
              <w14:schemeClr w14:val="tx1"/>
            </w14:solidFill>
          </w14:textFill>
        </w:rPr>
        <w:t>付，并扣回第一次的暂定支付金额。</w:t>
      </w:r>
      <w:r>
        <w:rPr>
          <w:rFonts w:ascii="宋体" w:hAnsi="宋体" w:cs="宋体"/>
          <w:color w:val="000000" w:themeColor="text1"/>
          <w:spacing w:val="-7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p>
    <w:p w14:paraId="1B2AA0D0">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w:t>
      </w:r>
      <w:r>
        <w:rPr>
          <w:rFonts w:ascii="宋体" w:hAnsi="宋体" w:cs="宋体"/>
          <w:color w:val="000000" w:themeColor="text1"/>
          <w:spacing w:val="-21"/>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17.3.5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项细化如下:</w:t>
      </w:r>
    </w:p>
    <w:p w14:paraId="39371C87">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17.3.5</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农民工工资保证金</w:t>
      </w:r>
    </w:p>
    <w:p w14:paraId="21A105F2">
      <w:pPr>
        <w:spacing w:line="360" w:lineRule="auto"/>
        <w:ind w:left="8" w:right="61" w:firstLine="481"/>
        <w:rPr>
          <w:rFonts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按广东省交通运输厅转发人力资源社会保障部等部门《工程建设领域农民工工资保</w:t>
      </w:r>
      <w:r>
        <w:rPr>
          <w:rFonts w:ascii="宋体" w:hAnsi="宋体" w:cs="宋体"/>
          <w:color w:val="000000" w:themeColor="text1"/>
          <w:spacing w:val="-1"/>
          <w:sz w:val="24"/>
          <w:highlight w:val="none"/>
          <w14:textFill>
            <w14:solidFill>
              <w14:schemeClr w14:val="tx1"/>
            </w14:solidFill>
          </w14:textFill>
        </w:rPr>
        <w:t>证金规定》的通知执行。</w:t>
      </w:r>
    </w:p>
    <w:p w14:paraId="4C9D0EA2">
      <w:pPr>
        <w:spacing w:line="360" w:lineRule="auto"/>
        <w:ind w:left="8" w:right="61" w:firstLine="481"/>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增加“17.3.6”条款</w:t>
      </w:r>
    </w:p>
    <w:p w14:paraId="23EDEBCD">
      <w:pPr>
        <w:spacing w:line="360" w:lineRule="auto"/>
        <w:ind w:left="8" w:right="61" w:firstLine="481"/>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lang w:val="en-US" w:eastAsia="zh-CN"/>
          <w14:textFill>
            <w14:solidFill>
              <w14:schemeClr w14:val="tx1"/>
            </w14:solidFill>
          </w14:textFill>
        </w:rPr>
        <w:t>17.3.6</w:t>
      </w:r>
      <w:r>
        <w:rPr>
          <w:rFonts w:hint="eastAsia" w:ascii="宋体" w:hAnsi="宋体" w:eastAsia="宋体" w:cs="宋体"/>
          <w:color w:val="000000" w:themeColor="text1"/>
          <w:spacing w:val="-2"/>
          <w:sz w:val="24"/>
          <w:highlight w:val="none"/>
          <w14:textFill>
            <w14:solidFill>
              <w14:schemeClr w14:val="tx1"/>
            </w14:solidFill>
          </w14:textFill>
        </w:rPr>
        <w:t>进度款的支付比例</w:t>
      </w:r>
    </w:p>
    <w:p w14:paraId="37A5AD12">
      <w:pPr>
        <w:spacing w:line="360" w:lineRule="auto"/>
        <w:ind w:left="8" w:right="61" w:firstLine="481"/>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承包人按要求提交进度款申请材料（含施工过程资料），经发包人审核后，根据上级资金到位情况，按照完成清单内工程量的不超过85%支付，具体支付金额以实际核定后为准。工程进度款支付原则上不低于已完成工程价款的80%，双方确认，本合同中发包人向承包人支付的任何一期工程进度款，均以县级财政部门安排的相应额度资金为拨付前提。若财政部门当期实际安排给发包人的本项目资金额度不足以支付经审核确认的进度款总额的80%，则发包人按实际到账资金额度支付。剩余未支付部分自动转入下一付款周期，与下一期进度款一并申请支付，以此类推，且不视为发包人违约。进度款还需经发包人上级主管部门审批确认后方能支付，承包人应予以配合。</w:t>
      </w:r>
    </w:p>
    <w:p w14:paraId="72F1F14A">
      <w:pPr>
        <w:spacing w:line="360" w:lineRule="auto"/>
        <w:ind w:left="505"/>
        <w:outlineLvl w:val="2"/>
        <w:rPr>
          <w:rFonts w:hint="eastAsia" w:ascii="宋体" w:hAnsi="宋体" w:cs="宋体"/>
          <w:color w:val="000000" w:themeColor="text1"/>
          <w:sz w:val="12"/>
          <w:szCs w:val="12"/>
          <w:highlight w:val="none"/>
          <w14:textFill>
            <w14:solidFill>
              <w14:schemeClr w14:val="tx1"/>
            </w14:solidFill>
          </w14:textFill>
        </w:rPr>
      </w:pPr>
      <w:bookmarkStart w:id="289" w:name="_Toc15062"/>
      <w:bookmarkStart w:id="290" w:name="_Toc5855"/>
      <w:r>
        <w:rPr>
          <w:rFonts w:ascii="宋体" w:hAnsi="宋体" w:cs="宋体"/>
          <w:color w:val="000000" w:themeColor="text1"/>
          <w:spacing w:val="-3"/>
          <w:sz w:val="24"/>
          <w:highlight w:val="none"/>
          <w14:textFill>
            <w14:solidFill>
              <w14:schemeClr w14:val="tx1"/>
            </w14:solidFill>
          </w14:textFill>
        </w:rPr>
        <w:t>17.4 质量保证金</w:t>
      </w:r>
      <w:bookmarkEnd w:id="289"/>
      <w:bookmarkEnd w:id="290"/>
    </w:p>
    <w:p w14:paraId="782792F3">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第</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17.4.2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项细化为：</w:t>
      </w:r>
    </w:p>
    <w:p w14:paraId="27531F98">
      <w:pPr>
        <w:spacing w:line="360" w:lineRule="auto"/>
        <w:ind w:left="8"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项目完成竣工决算审查备案和竣工决算审计，且发包人和承包人最终确定结算金额后</w:t>
      </w:r>
      <w:r>
        <w:rPr>
          <w:rFonts w:ascii="宋体" w:hAnsi="宋体" w:cs="宋体"/>
          <w:color w:val="000000" w:themeColor="text1"/>
          <w:spacing w:val="-3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30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天内，发包人退还剩余质量保证金的</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80%给承包人。通过竣工验收后</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30</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天内，发包人将质量保证金的余额一次性退还给承包人。若承包人在项目竣工验收时工程质量评</w:t>
      </w:r>
      <w:r>
        <w:rPr>
          <w:rFonts w:ascii="宋体" w:hAnsi="宋体" w:cs="宋体"/>
          <w:color w:val="000000" w:themeColor="text1"/>
          <w:sz w:val="24"/>
          <w:highlight w:val="none"/>
          <w14:textFill>
            <w14:solidFill>
              <w14:schemeClr w14:val="tx1"/>
            </w14:solidFill>
          </w14:textFill>
        </w:rPr>
        <w:t>分未达优良等级，发包人全额扣回承包人在施工过程中所获</w:t>
      </w:r>
      <w:r>
        <w:rPr>
          <w:rFonts w:ascii="宋体" w:hAnsi="宋体" w:cs="宋体"/>
          <w:color w:val="000000" w:themeColor="text1"/>
          <w:spacing w:val="-1"/>
          <w:sz w:val="24"/>
          <w:highlight w:val="none"/>
          <w14:textFill>
            <w14:solidFill>
              <w14:schemeClr w14:val="tx1"/>
            </w14:solidFill>
          </w14:textFill>
        </w:rPr>
        <w:t>得的全部优质优价价款。</w:t>
      </w:r>
    </w:p>
    <w:p w14:paraId="5F4796BB">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91" w:name="_Toc28820"/>
      <w:bookmarkStart w:id="292" w:name="_Toc11290"/>
      <w:r>
        <w:rPr>
          <w:rFonts w:ascii="宋体" w:hAnsi="宋体" w:cs="宋体"/>
          <w:color w:val="000000" w:themeColor="text1"/>
          <w:spacing w:val="-5"/>
          <w:sz w:val="24"/>
          <w:highlight w:val="none"/>
          <w14:textFill>
            <w14:solidFill>
              <w14:schemeClr w14:val="tx1"/>
            </w14:solidFill>
          </w14:textFill>
        </w:rPr>
        <w:t>17.6</w:t>
      </w:r>
      <w:r>
        <w:rPr>
          <w:rFonts w:ascii="宋体" w:hAnsi="宋体" w:cs="宋体"/>
          <w:color w:val="000000" w:themeColor="text1"/>
          <w:spacing w:val="12"/>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最终结清</w:t>
      </w:r>
      <w:bookmarkEnd w:id="291"/>
      <w:bookmarkEnd w:id="292"/>
    </w:p>
    <w:p w14:paraId="1D1212DB">
      <w:pPr>
        <w:spacing w:line="360" w:lineRule="auto"/>
        <w:ind w:left="506"/>
        <w:rPr>
          <w:rFonts w:hint="eastAsia" w:ascii="宋体" w:hAnsi="宋体" w:cs="宋体"/>
          <w:color w:val="000000" w:themeColor="text1"/>
          <w:sz w:val="24"/>
          <w:highlight w:val="none"/>
          <w14:textFill>
            <w14:solidFill>
              <w14:schemeClr w14:val="tx1"/>
            </w14:solidFill>
          </w14:textFill>
        </w:rPr>
      </w:pPr>
      <w:bookmarkStart w:id="293" w:name="bookmark328"/>
      <w:bookmarkEnd w:id="293"/>
      <w:bookmarkStart w:id="294" w:name="bookmark327"/>
      <w:bookmarkEnd w:id="294"/>
      <w:r>
        <w:rPr>
          <w:rFonts w:ascii="宋体" w:hAnsi="宋体" w:cs="宋体"/>
          <w:color w:val="000000" w:themeColor="text1"/>
          <w:spacing w:val="-2"/>
          <w:sz w:val="24"/>
          <w:highlight w:val="none"/>
          <w14:textFill>
            <w14:solidFill>
              <w14:schemeClr w14:val="tx1"/>
            </w14:solidFill>
          </w14:textFill>
        </w:rPr>
        <w:t>17.6.1 最终结清申请单</w:t>
      </w:r>
    </w:p>
    <w:p w14:paraId="63F0205C">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17.6.1 最终结清申请单 本项(1)目约定为：</w:t>
      </w:r>
    </w:p>
    <w:p w14:paraId="128EF412">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交（竣）工检测合格后，发包人在收到承包人的结算申请后15天内组织开展项目结算现场核查，现场核查后承包人应按交通运输部及广东省交通运输厅关于交通基本建设项目竣工决算编制和省级造价信息化平台的有关规定，30天内编制相应的工程结算文件，报监理人审核，发包人确认。</w:t>
      </w:r>
    </w:p>
    <w:p w14:paraId="6EA833AB">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ascii="宋体" w:hAnsi="宋体" w:eastAsia="宋体" w:cs="宋体"/>
          <w:color w:val="000000" w:themeColor="text1"/>
          <w:spacing w:val="-2"/>
          <w:sz w:val="24"/>
          <w:highlight w:val="none"/>
          <w14:textFill>
            <w14:solidFill>
              <w14:schemeClr w14:val="tx1"/>
            </w14:solidFill>
          </w14:textFill>
        </w:rPr>
        <w:t>如</w:t>
      </w:r>
      <w:r>
        <w:rPr>
          <w:rFonts w:hint="eastAsia" w:ascii="宋体" w:hAnsi="宋体" w:eastAsia="宋体" w:cs="宋体"/>
          <w:color w:val="000000" w:themeColor="text1"/>
          <w:spacing w:val="-2"/>
          <w:sz w:val="24"/>
          <w:highlight w:val="none"/>
          <w14:textFill>
            <w14:solidFill>
              <w14:schemeClr w14:val="tx1"/>
            </w14:solidFill>
          </w14:textFill>
        </w:rPr>
        <w:t>承包人未及时编制工程结算</w:t>
      </w:r>
      <w:r>
        <w:rPr>
          <w:rFonts w:ascii="宋体" w:hAnsi="宋体" w:eastAsia="宋体" w:cs="宋体"/>
          <w:color w:val="000000" w:themeColor="text1"/>
          <w:spacing w:val="-2"/>
          <w:sz w:val="24"/>
          <w:highlight w:val="none"/>
          <w14:textFill>
            <w14:solidFill>
              <w14:schemeClr w14:val="tx1"/>
            </w14:solidFill>
          </w14:textFill>
        </w:rPr>
        <w:t>资料</w:t>
      </w:r>
      <w:r>
        <w:rPr>
          <w:rFonts w:hint="eastAsia" w:ascii="宋体" w:hAnsi="宋体" w:eastAsia="宋体" w:cs="宋体"/>
          <w:color w:val="000000" w:themeColor="text1"/>
          <w:spacing w:val="-2"/>
          <w:sz w:val="24"/>
          <w:highlight w:val="none"/>
          <w14:textFill>
            <w14:solidFill>
              <w14:schemeClr w14:val="tx1"/>
            </w14:solidFill>
          </w14:textFill>
        </w:rPr>
        <w:t>或编制工程结算</w:t>
      </w:r>
      <w:r>
        <w:rPr>
          <w:rFonts w:ascii="宋体" w:hAnsi="宋体" w:eastAsia="宋体" w:cs="宋体"/>
          <w:color w:val="000000" w:themeColor="text1"/>
          <w:spacing w:val="-2"/>
          <w:sz w:val="24"/>
          <w:highlight w:val="none"/>
          <w14:textFill>
            <w14:solidFill>
              <w14:schemeClr w14:val="tx1"/>
            </w14:solidFill>
          </w14:textFill>
        </w:rPr>
        <w:t>资料</w:t>
      </w:r>
      <w:r>
        <w:rPr>
          <w:rFonts w:hint="eastAsia" w:ascii="宋体" w:hAnsi="宋体" w:eastAsia="宋体" w:cs="宋体"/>
          <w:color w:val="000000" w:themeColor="text1"/>
          <w:spacing w:val="-2"/>
          <w:sz w:val="24"/>
          <w:highlight w:val="none"/>
          <w14:textFill>
            <w14:solidFill>
              <w14:schemeClr w14:val="tx1"/>
            </w14:solidFill>
          </w14:textFill>
        </w:rPr>
        <w:t>不符合要求，经发包人书面催促后14日内未作出书面答复的，</w:t>
      </w:r>
      <w:r>
        <w:rPr>
          <w:rFonts w:ascii="宋体" w:hAnsi="宋体" w:eastAsia="宋体" w:cs="宋体"/>
          <w:color w:val="000000" w:themeColor="text1"/>
          <w:spacing w:val="-2"/>
          <w:sz w:val="24"/>
          <w:highlight w:val="none"/>
          <w14:textFill>
            <w14:solidFill>
              <w14:schemeClr w14:val="tx1"/>
            </w14:solidFill>
          </w14:textFill>
        </w:rPr>
        <w:t>发包人有权指定单位或相关部门</w:t>
      </w:r>
      <w:r>
        <w:rPr>
          <w:rFonts w:hint="eastAsia" w:ascii="宋体" w:hAnsi="宋体" w:eastAsia="宋体" w:cs="宋体"/>
          <w:color w:val="000000" w:themeColor="text1"/>
          <w:spacing w:val="-2"/>
          <w:sz w:val="24"/>
          <w:highlight w:val="none"/>
          <w14:textFill>
            <w14:solidFill>
              <w14:schemeClr w14:val="tx1"/>
            </w14:solidFill>
          </w14:textFill>
        </w:rPr>
        <w:t>根据已有资料编制结算文件并书面通知承包人，承包人应当认可</w:t>
      </w:r>
      <w:r>
        <w:rPr>
          <w:rFonts w:ascii="宋体" w:hAnsi="宋体" w:eastAsia="宋体" w:cs="宋体"/>
          <w:color w:val="000000" w:themeColor="text1"/>
          <w:spacing w:val="-2"/>
          <w:sz w:val="24"/>
          <w:highlight w:val="none"/>
          <w14:textFill>
            <w14:solidFill>
              <w14:schemeClr w14:val="tx1"/>
            </w14:solidFill>
          </w14:textFill>
        </w:rPr>
        <w:t>，</w:t>
      </w:r>
      <w:r>
        <w:rPr>
          <w:rFonts w:hint="eastAsia" w:ascii="宋体" w:hAnsi="宋体" w:eastAsia="宋体" w:cs="宋体"/>
          <w:color w:val="000000" w:themeColor="text1"/>
          <w:spacing w:val="-2"/>
          <w:sz w:val="24"/>
          <w:highlight w:val="none"/>
          <w14:textFill>
            <w14:solidFill>
              <w14:schemeClr w14:val="tx1"/>
            </w14:solidFill>
          </w14:textFill>
        </w:rPr>
        <w:t>同时编制结算文件</w:t>
      </w:r>
      <w:r>
        <w:rPr>
          <w:rFonts w:ascii="宋体" w:hAnsi="宋体" w:eastAsia="宋体" w:cs="宋体"/>
          <w:color w:val="000000" w:themeColor="text1"/>
          <w:spacing w:val="-2"/>
          <w:sz w:val="24"/>
          <w:highlight w:val="none"/>
          <w14:textFill>
            <w14:solidFill>
              <w14:schemeClr w14:val="tx1"/>
            </w14:solidFill>
          </w14:textFill>
        </w:rPr>
        <w:t>所发生费用由承包人承担。</w:t>
      </w:r>
    </w:p>
    <w:p w14:paraId="761790C1">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工程结算文件报县财政投资评审中心或发包人委托的第三方机构初步审定，并出具评审结果通知，如承包人对初步审定结果存在异议的，应在收到结果后15日内以书面形式提出，并在30日内重新书面提交补充资料，由原评审机构进行复审，复审结果作为最终结算依据。逾期未书面提交异议或补充资料，视为认可审定结果。</w:t>
      </w:r>
    </w:p>
    <w:p w14:paraId="268912FF">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本项目为政府财政投资工程，最终结算金额以财政投资评审中心或审计部门审定的结果为准。工程结算文件经审定后，若承包单位开具合法有效的工程质量保证金保函，可以支付至审定结算款的 100%。最终结清申请单中的总金额应认为是代表了根据合同规定应付给承包人的全部款项的最后结算。</w:t>
      </w:r>
    </w:p>
    <w:p w14:paraId="7971B116">
      <w:pPr>
        <w:spacing w:line="360" w:lineRule="auto"/>
        <w:ind w:left="8" w:right="61" w:firstLine="483"/>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在工程结算书（报告）经财政评审中心评审、交通行业主管部门审查及政府审计部门审计后，发包人将按以下审查意见作为调整承包人最终合同费用的依据，承包人需无条件接受：财政评审中心、行业主管部门和审计部门对不同内容进行核减的，综合财政评审中心、行业主管部门和审计部门的意见进行调整。</w:t>
      </w:r>
    </w:p>
    <w:p w14:paraId="7562DEF6">
      <w:pPr>
        <w:spacing w:line="360" w:lineRule="auto"/>
        <w:ind w:left="8"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b/>
          <w:bCs/>
          <w:color w:val="000000" w:themeColor="text1"/>
          <w:spacing w:val="-8"/>
          <w:sz w:val="24"/>
          <w:highlight w:val="none"/>
          <w14:textFill>
            <w14:solidFill>
              <w14:schemeClr w14:val="tx1"/>
            </w14:solidFill>
          </w14:textFill>
        </w:rPr>
        <w:t>18.</w:t>
      </w:r>
      <w:r>
        <w:rPr>
          <w:rFonts w:ascii="宋体" w:hAnsi="宋体" w:cs="宋体"/>
          <w:color w:val="000000" w:themeColor="text1"/>
          <w:spacing w:val="17"/>
          <w:sz w:val="24"/>
          <w:highlight w:val="none"/>
          <w14:textFill>
            <w14:solidFill>
              <w14:schemeClr w14:val="tx1"/>
            </w14:solidFill>
          </w14:textFill>
        </w:rPr>
        <w:t xml:space="preserve"> </w:t>
      </w:r>
      <w:r>
        <w:rPr>
          <w:rFonts w:ascii="宋体" w:hAnsi="宋体" w:cs="宋体"/>
          <w:b/>
          <w:bCs/>
          <w:color w:val="000000" w:themeColor="text1"/>
          <w:spacing w:val="-8"/>
          <w:sz w:val="24"/>
          <w:highlight w:val="none"/>
          <w14:textFill>
            <w14:solidFill>
              <w14:schemeClr w14:val="tx1"/>
            </w14:solidFill>
          </w14:textFill>
        </w:rPr>
        <w:t>交工验收</w:t>
      </w:r>
    </w:p>
    <w:p w14:paraId="5BEBE02C">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95" w:name="_Toc26680"/>
      <w:bookmarkStart w:id="296" w:name="_Toc11753"/>
      <w:r>
        <w:rPr>
          <w:rFonts w:ascii="宋体" w:hAnsi="宋体" w:cs="宋体"/>
          <w:color w:val="000000" w:themeColor="text1"/>
          <w:spacing w:val="-6"/>
          <w:sz w:val="24"/>
          <w:highlight w:val="none"/>
          <w14:textFill>
            <w14:solidFill>
              <w14:schemeClr w14:val="tx1"/>
            </w14:solidFill>
          </w14:textFill>
        </w:rPr>
        <w:t>18.3</w:t>
      </w:r>
      <w:r>
        <w:rPr>
          <w:rFonts w:ascii="宋体" w:hAnsi="宋体" w:cs="宋体"/>
          <w:color w:val="000000" w:themeColor="text1"/>
          <w:spacing w:val="-52"/>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验收</w:t>
      </w:r>
      <w:bookmarkEnd w:id="295"/>
      <w:bookmarkEnd w:id="296"/>
    </w:p>
    <w:p w14:paraId="1730274B">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第</w:t>
      </w:r>
      <w:r>
        <w:rPr>
          <w:rFonts w:ascii="宋体" w:hAnsi="宋体" w:cs="宋体"/>
          <w:color w:val="000000" w:themeColor="text1"/>
          <w:spacing w:val="-2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18.3.2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项补充：</w:t>
      </w:r>
    </w:p>
    <w:p w14:paraId="4AA11307">
      <w:pPr>
        <w:spacing w:line="360" w:lineRule="auto"/>
        <w:ind w:left="8" w:right="61"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交工验收由发包人主持，由发包人、监理人、质监、设计、施工、运营、管理养护等有关部门代表组成交工验收小组，对本项目的工程质量进行评定，并写出交工验收报</w:t>
      </w:r>
      <w:r>
        <w:rPr>
          <w:rFonts w:ascii="宋体" w:hAnsi="宋体" w:cs="宋体"/>
          <w:color w:val="000000" w:themeColor="text1"/>
          <w:spacing w:val="-1"/>
          <w:sz w:val="24"/>
          <w:highlight w:val="none"/>
          <w14:textFill>
            <w14:solidFill>
              <w14:schemeClr w14:val="tx1"/>
            </w14:solidFill>
          </w14:textFill>
        </w:rPr>
        <w:t>告报交通主管部门备案。项目交工验收报告上报</w:t>
      </w:r>
      <w:r>
        <w:rPr>
          <w:rFonts w:ascii="宋体" w:hAnsi="宋体" w:cs="宋体"/>
          <w:color w:val="000000" w:themeColor="text1"/>
          <w:spacing w:val="-2"/>
          <w:sz w:val="24"/>
          <w:highlight w:val="none"/>
          <w14:textFill>
            <w14:solidFill>
              <w14:schemeClr w14:val="tx1"/>
            </w14:solidFill>
          </w14:textFill>
        </w:rPr>
        <w:t>备案前 14 天，项目必须依法依规提供完整的专项验收工作报告，包括但不限于：涉航、防雷、消防、安全性评价、工程质量</w:t>
      </w:r>
      <w:r>
        <w:rPr>
          <w:rFonts w:ascii="宋体" w:hAnsi="宋体" w:cs="宋体"/>
          <w:color w:val="000000" w:themeColor="text1"/>
          <w:sz w:val="24"/>
          <w:highlight w:val="none"/>
          <w14:textFill>
            <w14:solidFill>
              <w14:schemeClr w14:val="tx1"/>
            </w14:solidFill>
          </w14:textFill>
        </w:rPr>
        <w:t>检测报告等。承包人应按发包人的要求提交竣工资料，</w:t>
      </w:r>
      <w:r>
        <w:rPr>
          <w:rFonts w:ascii="宋体" w:hAnsi="宋体" w:cs="宋体"/>
          <w:color w:val="000000" w:themeColor="text1"/>
          <w:spacing w:val="-1"/>
          <w:sz w:val="24"/>
          <w:highlight w:val="none"/>
          <w14:textFill>
            <w14:solidFill>
              <w14:schemeClr w14:val="tx1"/>
            </w14:solidFill>
          </w14:textFill>
        </w:rPr>
        <w:t>完成交工验收准备工作。</w:t>
      </w:r>
    </w:p>
    <w:p w14:paraId="7005A566">
      <w:pPr>
        <w:spacing w:line="360" w:lineRule="auto"/>
        <w:ind w:left="8"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交工验收是建设项目投产使用前的重要的、关键的工作，建设项目各参建单位要切实提高站位，压实主体责任，坚决扭转项目交工验收工作总结流于形式、质量差等突出问题，严格按照《广东省交通运输厅关于进一步加强公路建设项目交工验收工作管理的</w:t>
      </w:r>
      <w:r>
        <w:rPr>
          <w:rFonts w:ascii="宋体" w:hAnsi="宋体" w:cs="宋体"/>
          <w:color w:val="000000" w:themeColor="text1"/>
          <w:spacing w:val="-6"/>
          <w:sz w:val="24"/>
          <w:highlight w:val="none"/>
          <w14:textFill>
            <w14:solidFill>
              <w14:schemeClr w14:val="tx1"/>
            </w14:solidFill>
          </w14:textFill>
        </w:rPr>
        <w:t>通知》的规定执行，要结合本项目实际认真扎实做好总结工作，总结材料力求简明</w:t>
      </w:r>
      <w:r>
        <w:rPr>
          <w:rFonts w:ascii="宋体" w:hAnsi="宋体" w:cs="宋体"/>
          <w:color w:val="000000" w:themeColor="text1"/>
          <w:spacing w:val="-7"/>
          <w:sz w:val="24"/>
          <w:highlight w:val="none"/>
          <w14:textFill>
            <w14:solidFill>
              <w14:schemeClr w14:val="tx1"/>
            </w14:solidFill>
          </w14:textFill>
        </w:rPr>
        <w:t>扼要，</w:t>
      </w:r>
      <w:r>
        <w:rPr>
          <w:rFonts w:ascii="宋体" w:hAnsi="宋体" w:cs="宋体"/>
          <w:color w:val="000000" w:themeColor="text1"/>
          <w:spacing w:val="-1"/>
          <w:sz w:val="24"/>
          <w:highlight w:val="none"/>
          <w14:textFill>
            <w14:solidFill>
              <w14:schemeClr w14:val="tx1"/>
            </w14:solidFill>
          </w14:textFill>
        </w:rPr>
        <w:t>文字精炼，重点突出，必要时辅以图表等辅助材料。</w:t>
      </w:r>
    </w:p>
    <w:p w14:paraId="77F63581">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97" w:name="_Toc28120"/>
      <w:bookmarkStart w:id="298" w:name="_Toc29493"/>
      <w:r>
        <w:rPr>
          <w:rFonts w:ascii="宋体" w:hAnsi="宋体" w:cs="宋体"/>
          <w:color w:val="000000" w:themeColor="text1"/>
          <w:spacing w:val="-4"/>
          <w:sz w:val="24"/>
          <w:highlight w:val="none"/>
          <w14:textFill>
            <w14:solidFill>
              <w14:schemeClr w14:val="tx1"/>
            </w14:solidFill>
          </w14:textFill>
        </w:rPr>
        <w:t>18.9 竣工文件</w:t>
      </w:r>
      <w:bookmarkEnd w:id="297"/>
      <w:bookmarkEnd w:id="298"/>
    </w:p>
    <w:p w14:paraId="5B97943A">
      <w:pPr>
        <w:spacing w:line="276"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18.9 竣工文件</w:t>
      </w:r>
    </w:p>
    <w:p w14:paraId="21E19CE5">
      <w:pPr>
        <w:spacing w:line="360" w:lineRule="auto"/>
        <w:ind w:left="8" w:firstLine="484"/>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在本款后增加以下内容：</w:t>
      </w:r>
    </w:p>
    <w:p w14:paraId="62C9A2DC">
      <w:pPr>
        <w:spacing w:line="360" w:lineRule="auto"/>
        <w:ind w:left="8" w:firstLine="484"/>
        <w:rPr>
          <w:rFonts w:hint="eastAsia" w:ascii="宋体" w:hAnsi="宋体" w:eastAsia="宋体" w:cs="宋体"/>
          <w:color w:val="000000" w:themeColor="text1"/>
          <w:spacing w:val="-2"/>
          <w:sz w:val="24"/>
          <w:highlight w:val="none"/>
          <w14:textFill>
            <w14:solidFill>
              <w14:schemeClr w14:val="tx1"/>
            </w14:solidFill>
          </w14:textFill>
        </w:rPr>
      </w:pPr>
      <w:r>
        <w:rPr>
          <w:rFonts w:hint="eastAsia" w:ascii="宋体" w:hAnsi="宋体" w:eastAsia="宋体" w:cs="宋体"/>
          <w:color w:val="000000" w:themeColor="text1"/>
          <w:spacing w:val="-2"/>
          <w:sz w:val="24"/>
          <w:highlight w:val="none"/>
          <w14:textFill>
            <w14:solidFill>
              <w14:schemeClr w14:val="tx1"/>
            </w14:solidFill>
          </w14:textFill>
        </w:rPr>
        <w:t>在工程实施过程中及在项目完工后，承包人应按照《广东省交通运输厅关于公路建设项目档案的管理办法》和发包人要求开展竣工文件材料的编制、收集、整理、立卷、归档及信息化平台上传等工作。</w:t>
      </w:r>
      <w:r>
        <w:rPr>
          <w:rFonts w:ascii="宋体" w:hAnsi="宋体" w:eastAsia="宋体" w:cs="宋体"/>
          <w:color w:val="000000" w:themeColor="text1"/>
          <w:spacing w:val="-2"/>
          <w:sz w:val="24"/>
          <w:highlight w:val="none"/>
          <w14:textFill>
            <w14:solidFill>
              <w14:schemeClr w14:val="tx1"/>
            </w14:solidFill>
          </w14:textFill>
        </w:rPr>
        <w:t>全过程收集、整理</w:t>
      </w:r>
      <w:r>
        <w:rPr>
          <w:rFonts w:hint="eastAsia" w:ascii="宋体" w:hAnsi="宋体" w:eastAsia="宋体" w:cs="宋体"/>
          <w:color w:val="000000" w:themeColor="text1"/>
          <w:spacing w:val="-2"/>
          <w:sz w:val="24"/>
          <w:highlight w:val="none"/>
          <w14:textFill>
            <w14:solidFill>
              <w14:schemeClr w14:val="tx1"/>
            </w14:solidFill>
          </w14:textFill>
        </w:rPr>
        <w:t>包括不限于施工记录、质量检测报告、材料合格证明、隐蔽工程验收记录、变更设计文件、竣工图纸、影像资料（以上均包含纸质版及电子版）等所有必要文件</w:t>
      </w:r>
      <w:r>
        <w:rPr>
          <w:rFonts w:ascii="宋体" w:hAnsi="宋体" w:eastAsia="宋体" w:cs="宋体"/>
          <w:color w:val="000000" w:themeColor="text1"/>
          <w:spacing w:val="-2"/>
          <w:sz w:val="24"/>
          <w:highlight w:val="none"/>
          <w14:textFill>
            <w14:solidFill>
              <w14:schemeClr w14:val="tx1"/>
            </w14:solidFill>
          </w14:textFill>
        </w:rPr>
        <w:t>资料</w:t>
      </w:r>
      <w:r>
        <w:rPr>
          <w:rFonts w:hint="eastAsia" w:ascii="宋体" w:hAnsi="宋体" w:eastAsia="宋体" w:cs="宋体"/>
          <w:color w:val="000000" w:themeColor="text1"/>
          <w:spacing w:val="-2"/>
          <w:sz w:val="24"/>
          <w:highlight w:val="none"/>
          <w14:textFill>
            <w14:solidFill>
              <w14:schemeClr w14:val="tx1"/>
            </w14:solidFill>
          </w14:textFill>
        </w:rPr>
        <w:t>。</w:t>
      </w:r>
      <w:r>
        <w:rPr>
          <w:rFonts w:ascii="宋体" w:hAnsi="宋体" w:eastAsia="宋体" w:cs="宋体"/>
          <w:color w:val="000000" w:themeColor="text1"/>
          <w:spacing w:val="-2"/>
          <w:sz w:val="24"/>
          <w:highlight w:val="none"/>
          <w14:textFill>
            <w14:solidFill>
              <w14:schemeClr w14:val="tx1"/>
            </w14:solidFill>
          </w14:textFill>
        </w:rPr>
        <w:t>承包人在完成</w:t>
      </w:r>
      <w:r>
        <w:rPr>
          <w:rFonts w:hint="eastAsia" w:ascii="宋体" w:hAnsi="宋体" w:eastAsia="宋体" w:cs="宋体"/>
          <w:color w:val="000000" w:themeColor="text1"/>
          <w:spacing w:val="-2"/>
          <w:sz w:val="24"/>
          <w:highlight w:val="none"/>
          <w14:textFill>
            <w14:solidFill>
              <w14:schemeClr w14:val="tx1"/>
            </w14:solidFill>
          </w14:textFill>
        </w:rPr>
        <w:t>上述工程内业资料</w:t>
      </w:r>
      <w:r>
        <w:rPr>
          <w:rFonts w:ascii="宋体" w:hAnsi="宋体" w:eastAsia="宋体" w:cs="宋体"/>
          <w:color w:val="000000" w:themeColor="text1"/>
          <w:spacing w:val="-2"/>
          <w:sz w:val="24"/>
          <w:highlight w:val="none"/>
          <w14:textFill>
            <w14:solidFill>
              <w14:schemeClr w14:val="tx1"/>
            </w14:solidFill>
          </w14:textFill>
        </w:rPr>
        <w:t>的同时，还应按《广东省交通运输厅关于印发广东省公路工程竣工决算文件编制指南的通知》、《交通运输部基本建设项目竣工财务决算编审规定》的规定，编制工程结算文件，报监理人审核，作为竣工文件的一部分。</w:t>
      </w:r>
    </w:p>
    <w:p w14:paraId="0B37D540">
      <w:pPr>
        <w:spacing w:line="360" w:lineRule="auto"/>
        <w:ind w:left="8" w:firstLine="484"/>
        <w:rPr>
          <w:rFonts w:ascii="宋体" w:hAnsi="宋体" w:eastAsia="宋体" w:cs="宋体"/>
          <w:color w:val="000000" w:themeColor="text1"/>
          <w:spacing w:val="-2"/>
          <w:sz w:val="24"/>
          <w:highlight w:val="none"/>
          <w14:textFill>
            <w14:solidFill>
              <w14:schemeClr w14:val="tx1"/>
            </w14:solidFill>
          </w14:textFill>
        </w:rPr>
      </w:pPr>
      <w:r>
        <w:rPr>
          <w:rFonts w:ascii="宋体" w:hAnsi="宋体" w:eastAsia="宋体" w:cs="宋体"/>
          <w:color w:val="000000" w:themeColor="text1"/>
          <w:spacing w:val="-2"/>
          <w:sz w:val="24"/>
          <w:highlight w:val="none"/>
          <w14:textFill>
            <w14:solidFill>
              <w14:schemeClr w14:val="tx1"/>
            </w14:solidFill>
          </w14:textFill>
        </w:rPr>
        <w:t>如</w:t>
      </w:r>
      <w:r>
        <w:rPr>
          <w:rFonts w:hint="eastAsia" w:ascii="宋体" w:hAnsi="宋体" w:eastAsia="宋体" w:cs="宋体"/>
          <w:color w:val="000000" w:themeColor="text1"/>
          <w:spacing w:val="-2"/>
          <w:sz w:val="24"/>
          <w:highlight w:val="none"/>
          <w14:textFill>
            <w14:solidFill>
              <w14:schemeClr w14:val="tx1"/>
            </w14:solidFill>
          </w14:textFill>
        </w:rPr>
        <w:t>承包人未及时编制项目内业资料或编制内业资料不符合要求，</w:t>
      </w:r>
      <w:r>
        <w:rPr>
          <w:rFonts w:ascii="宋体" w:hAnsi="宋体" w:eastAsia="宋体" w:cs="宋体"/>
          <w:color w:val="000000" w:themeColor="text1"/>
          <w:spacing w:val="-2"/>
          <w:sz w:val="24"/>
          <w:highlight w:val="none"/>
          <w14:textFill>
            <w14:solidFill>
              <w14:schemeClr w14:val="tx1"/>
            </w14:solidFill>
          </w14:textFill>
        </w:rPr>
        <w:t>发包人有权指定单位或相关部门进行整个项目的</w:t>
      </w:r>
      <w:r>
        <w:rPr>
          <w:rFonts w:hint="eastAsia" w:ascii="宋体" w:hAnsi="宋体" w:eastAsia="宋体" w:cs="宋体"/>
          <w:color w:val="000000" w:themeColor="text1"/>
          <w:spacing w:val="-2"/>
          <w:sz w:val="24"/>
          <w:highlight w:val="none"/>
          <w14:textFill>
            <w14:solidFill>
              <w14:schemeClr w14:val="tx1"/>
            </w14:solidFill>
          </w14:textFill>
        </w:rPr>
        <w:t>内业</w:t>
      </w:r>
      <w:r>
        <w:rPr>
          <w:rFonts w:ascii="宋体" w:hAnsi="宋体" w:eastAsia="宋体" w:cs="宋体"/>
          <w:color w:val="000000" w:themeColor="text1"/>
          <w:spacing w:val="-2"/>
          <w:sz w:val="24"/>
          <w:highlight w:val="none"/>
          <w14:textFill>
            <w14:solidFill>
              <w14:schemeClr w14:val="tx1"/>
            </w14:solidFill>
          </w14:textFill>
        </w:rPr>
        <w:t>资料统一编制，承包人应予以积极配合，所发生费用由承包人承担。</w:t>
      </w:r>
    </w:p>
    <w:p w14:paraId="4DF72B9F">
      <w:pPr>
        <w:spacing w:line="360" w:lineRule="auto"/>
        <w:ind w:left="8"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b/>
          <w:bCs/>
          <w:color w:val="000000" w:themeColor="text1"/>
          <w:spacing w:val="-4"/>
          <w:sz w:val="24"/>
          <w:highlight w:val="none"/>
          <w14:textFill>
            <w14:solidFill>
              <w14:schemeClr w14:val="tx1"/>
            </w14:solidFill>
          </w14:textFill>
        </w:rPr>
        <w:t>19.</w:t>
      </w:r>
      <w:r>
        <w:rPr>
          <w:rFonts w:ascii="宋体" w:hAnsi="宋体" w:cs="宋体"/>
          <w:color w:val="000000" w:themeColor="text1"/>
          <w:spacing w:val="-4"/>
          <w:sz w:val="24"/>
          <w:highlight w:val="none"/>
          <w14:textFill>
            <w14:solidFill>
              <w14:schemeClr w14:val="tx1"/>
            </w14:solidFill>
          </w14:textFill>
        </w:rPr>
        <w:t xml:space="preserve"> </w:t>
      </w:r>
      <w:r>
        <w:rPr>
          <w:rFonts w:ascii="宋体" w:hAnsi="宋体" w:cs="宋体"/>
          <w:b/>
          <w:bCs/>
          <w:color w:val="000000" w:themeColor="text1"/>
          <w:spacing w:val="-4"/>
          <w:sz w:val="24"/>
          <w:highlight w:val="none"/>
          <w14:textFill>
            <w14:solidFill>
              <w14:schemeClr w14:val="tx1"/>
            </w14:solidFill>
          </w14:textFill>
        </w:rPr>
        <w:t>缺陷责任与保修责任</w:t>
      </w:r>
    </w:p>
    <w:p w14:paraId="64C5A8E8">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299" w:name="_Toc15345"/>
      <w:bookmarkStart w:id="300" w:name="_Toc19300"/>
      <w:r>
        <w:rPr>
          <w:rFonts w:ascii="宋体" w:hAnsi="宋体" w:cs="宋体"/>
          <w:color w:val="000000" w:themeColor="text1"/>
          <w:spacing w:val="-4"/>
          <w:sz w:val="24"/>
          <w:highlight w:val="none"/>
          <w14:textFill>
            <w14:solidFill>
              <w14:schemeClr w14:val="tx1"/>
            </w14:solidFill>
          </w14:textFill>
        </w:rPr>
        <w:t>19.2 缺陷责任</w:t>
      </w:r>
      <w:bookmarkEnd w:id="299"/>
      <w:bookmarkEnd w:id="300"/>
    </w:p>
    <w:p w14:paraId="6AAEAC83">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在</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19.2.2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项后增加以下内容：</w:t>
      </w:r>
    </w:p>
    <w:p w14:paraId="2E5E068D">
      <w:pPr>
        <w:spacing w:line="360" w:lineRule="auto"/>
        <w:ind w:left="7" w:right="179"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承包人应在缺陷责任期内安排专人负责缺陷责任期的管理工作，并确保在接到发包</w:t>
      </w:r>
      <w:r>
        <w:rPr>
          <w:rFonts w:ascii="宋体" w:hAnsi="宋体" w:cs="宋体"/>
          <w:color w:val="000000" w:themeColor="text1"/>
          <w:spacing w:val="1"/>
          <w:sz w:val="24"/>
          <w:highlight w:val="none"/>
          <w14:textFill>
            <w14:solidFill>
              <w14:schemeClr w14:val="tx1"/>
            </w14:solidFill>
          </w14:textFill>
        </w:rPr>
        <w:t>人要求处理有关缺陷事项的通知后</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24</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小时内到达现场，到达现场后随</w:t>
      </w:r>
      <w:r>
        <w:rPr>
          <w:rFonts w:ascii="宋体" w:hAnsi="宋体" w:cs="宋体"/>
          <w:color w:val="000000" w:themeColor="text1"/>
          <w:sz w:val="24"/>
          <w:highlight w:val="none"/>
          <w14:textFill>
            <w14:solidFill>
              <w14:schemeClr w14:val="tx1"/>
            </w14:solidFill>
          </w14:textFill>
        </w:rPr>
        <w:t>即采取有效措施</w:t>
      </w:r>
      <w:r>
        <w:rPr>
          <w:rFonts w:ascii="宋体" w:hAnsi="宋体" w:cs="宋体"/>
          <w:color w:val="000000" w:themeColor="text1"/>
          <w:spacing w:val="-2"/>
          <w:sz w:val="24"/>
          <w:highlight w:val="none"/>
          <w14:textFill>
            <w14:solidFill>
              <w14:schemeClr w14:val="tx1"/>
            </w14:solidFill>
          </w14:textFill>
        </w:rPr>
        <w:t>解决工程遗留的缺陷或其他问题。承包人未履行本款规定的缺陷处治责任义务，视为承包人违约并按</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22.1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款约定处理。</w:t>
      </w:r>
    </w:p>
    <w:p w14:paraId="08F9727D">
      <w:pPr>
        <w:spacing w:line="360" w:lineRule="auto"/>
        <w:ind w:left="8" w:right="181" w:firstLine="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高速公路改扩建工程，采用分幅、分路段通车的，缺陷责任期以“分段通车</w:t>
      </w:r>
      <w:r>
        <w:rPr>
          <w:rFonts w:ascii="宋体" w:hAnsi="宋体" w:cs="宋体"/>
          <w:color w:val="000000" w:themeColor="text1"/>
          <w:spacing w:val="-7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”交工</w:t>
      </w:r>
      <w:r>
        <w:rPr>
          <w:rFonts w:ascii="宋体" w:hAnsi="宋体" w:cs="宋体"/>
          <w:color w:val="000000" w:themeColor="text1"/>
          <w:spacing w:val="-1"/>
          <w:sz w:val="24"/>
          <w:highlight w:val="none"/>
          <w14:textFill>
            <w14:solidFill>
              <w14:schemeClr w14:val="tx1"/>
            </w14:solidFill>
          </w14:textFill>
        </w:rPr>
        <w:t>证书明确的时间进行计算。</w:t>
      </w:r>
    </w:p>
    <w:p w14:paraId="6B81F053">
      <w:pPr>
        <w:spacing w:line="360" w:lineRule="auto"/>
        <w:ind w:left="505"/>
        <w:outlineLvl w:val="2"/>
        <w:rPr>
          <w:rFonts w:hint="eastAsia" w:ascii="宋体" w:hAnsi="宋体" w:cs="宋体"/>
          <w:color w:val="000000" w:themeColor="text1"/>
          <w:sz w:val="24"/>
          <w:highlight w:val="none"/>
          <w14:textFill>
            <w14:solidFill>
              <w14:schemeClr w14:val="tx1"/>
            </w14:solidFill>
          </w14:textFill>
        </w:rPr>
      </w:pPr>
      <w:bookmarkStart w:id="301" w:name="_Toc9808"/>
      <w:bookmarkStart w:id="302" w:name="_Toc21090"/>
      <w:r>
        <w:rPr>
          <w:rFonts w:ascii="宋体" w:hAnsi="宋体" w:cs="宋体"/>
          <w:color w:val="000000" w:themeColor="text1"/>
          <w:spacing w:val="-4"/>
          <w:sz w:val="24"/>
          <w:highlight w:val="none"/>
          <w14:textFill>
            <w14:solidFill>
              <w14:schemeClr w14:val="tx1"/>
            </w14:solidFill>
          </w14:textFill>
        </w:rPr>
        <w:t>19.7 保修责任</w:t>
      </w:r>
      <w:bookmarkEnd w:id="301"/>
      <w:bookmarkEnd w:id="302"/>
    </w:p>
    <w:p w14:paraId="41FF1D2E">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19.7（1）</w:t>
      </w:r>
      <w:r>
        <w:rPr>
          <w:rFonts w:ascii="宋体" w:hAnsi="宋体" w:cs="宋体"/>
          <w:color w:val="000000" w:themeColor="text1"/>
          <w:spacing w:val="-6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目补充内容详见项目专用合同条款数据表中约定。</w:t>
      </w:r>
    </w:p>
    <w:p w14:paraId="1F33C220">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303" w:name="_Toc21613"/>
      <w:bookmarkStart w:id="304" w:name="_Toc14198"/>
      <w:r>
        <w:rPr>
          <w:rFonts w:ascii="宋体" w:hAnsi="宋体" w:cs="宋体"/>
          <w:b/>
          <w:bCs/>
          <w:color w:val="000000" w:themeColor="text1"/>
          <w:spacing w:val="-7"/>
          <w:sz w:val="24"/>
          <w:highlight w:val="none"/>
          <w14:textFill>
            <w14:solidFill>
              <w14:schemeClr w14:val="tx1"/>
            </w14:solidFill>
          </w14:textFill>
        </w:rPr>
        <w:t>20.</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b/>
          <w:bCs/>
          <w:color w:val="000000" w:themeColor="text1"/>
          <w:spacing w:val="-7"/>
          <w:sz w:val="24"/>
          <w:highlight w:val="none"/>
          <w14:textFill>
            <w14:solidFill>
              <w14:schemeClr w14:val="tx1"/>
            </w14:solidFill>
          </w14:textFill>
        </w:rPr>
        <w:t>保险</w:t>
      </w:r>
      <w:bookmarkEnd w:id="303"/>
      <w:bookmarkEnd w:id="304"/>
    </w:p>
    <w:p w14:paraId="3895BEA5">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305" w:name="_Toc4504"/>
      <w:bookmarkStart w:id="306" w:name="_Toc20294"/>
      <w:r>
        <w:rPr>
          <w:rFonts w:ascii="宋体" w:hAnsi="宋体" w:cs="宋体"/>
          <w:color w:val="000000" w:themeColor="text1"/>
          <w:spacing w:val="-4"/>
          <w:sz w:val="24"/>
          <w:highlight w:val="none"/>
          <w14:textFill>
            <w14:solidFill>
              <w14:schemeClr w14:val="tx1"/>
            </w14:solidFill>
          </w14:textFill>
        </w:rPr>
        <w:t>20.1</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工程保险</w:t>
      </w:r>
      <w:bookmarkEnd w:id="305"/>
      <w:bookmarkEnd w:id="306"/>
    </w:p>
    <w:p w14:paraId="4383F2D3">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20.1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款修改为：</w:t>
      </w:r>
    </w:p>
    <w:p w14:paraId="5E2FF356">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20.1</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建筑工程一切险及第三者责任险</w:t>
      </w:r>
    </w:p>
    <w:p w14:paraId="36202F62">
      <w:pPr>
        <w:spacing w:line="360" w:lineRule="auto"/>
        <w:ind w:left="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20.1.1 建筑工程一切险的投保内容</w:t>
      </w:r>
      <w:r>
        <w:rPr>
          <w:rFonts w:ascii="宋体" w:hAnsi="宋体" w:cs="宋体"/>
          <w:color w:val="000000" w:themeColor="text1"/>
          <w:spacing w:val="1"/>
          <w:sz w:val="24"/>
          <w:highlight w:val="none"/>
          <w14:textFill>
            <w14:solidFill>
              <w14:schemeClr w14:val="tx1"/>
            </w14:solidFill>
          </w14:textFill>
        </w:rPr>
        <w:t>：为本合同工程的永久工程、临时工程和设备</w:t>
      </w:r>
      <w:r>
        <w:rPr>
          <w:rFonts w:ascii="宋体" w:hAnsi="宋体" w:cs="宋体"/>
          <w:color w:val="000000" w:themeColor="text1"/>
          <w:spacing w:val="-3"/>
          <w:sz w:val="24"/>
          <w:highlight w:val="none"/>
          <w14:textFill>
            <w14:solidFill>
              <w14:schemeClr w14:val="tx1"/>
            </w14:solidFill>
          </w14:textFill>
        </w:rPr>
        <w:t>及已运至施工工地用于永久工程的材料和设备所投的保险。第三者责任系指在保险期内，</w:t>
      </w:r>
      <w:r>
        <w:rPr>
          <w:rFonts w:ascii="宋体" w:hAnsi="宋体" w:cs="宋体"/>
          <w:color w:val="000000" w:themeColor="text1"/>
          <w:spacing w:val="-2"/>
          <w:sz w:val="24"/>
          <w:highlight w:val="none"/>
          <w14:textFill>
            <w14:solidFill>
              <w14:schemeClr w14:val="tx1"/>
            </w14:solidFill>
          </w14:textFill>
        </w:rPr>
        <w:t>对因工程意外事故造成的、依法应由被保险人负责的工地上及毗邻地区的第三者人身伤亡、疾病或财产损失（本工程除外</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以及被保险人因此而支付的诉讼费用和事先经保</w:t>
      </w:r>
      <w:r>
        <w:rPr>
          <w:rFonts w:ascii="宋体" w:hAnsi="宋体" w:cs="宋体"/>
          <w:color w:val="000000" w:themeColor="text1"/>
          <w:spacing w:val="-1"/>
          <w:sz w:val="24"/>
          <w:highlight w:val="none"/>
          <w14:textFill>
            <w14:solidFill>
              <w14:schemeClr w14:val="tx1"/>
            </w14:solidFill>
          </w14:textFill>
        </w:rPr>
        <w:t>险人书面同意支付的其他费用等赔偿责任。</w:t>
      </w:r>
    </w:p>
    <w:p w14:paraId="6D94DF44">
      <w:pPr>
        <w:spacing w:line="360" w:lineRule="auto"/>
        <w:ind w:left="28" w:right="181" w:firstLine="46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保险计算基数：</w:t>
      </w:r>
      <w:r>
        <w:rPr>
          <w:rFonts w:ascii="宋体" w:hAnsi="宋体" w:cs="宋体"/>
          <w:color w:val="000000" w:themeColor="text1"/>
          <w:spacing w:val="-2"/>
          <w:sz w:val="24"/>
          <w:highlight w:val="none"/>
          <w:u w:val="single"/>
          <w14:textFill>
            <w14:solidFill>
              <w14:schemeClr w14:val="tx1"/>
            </w14:solidFill>
          </w14:textFill>
        </w:rPr>
        <w:t>以工程量清单各章费用之和（扣除建筑工程一切险及第三者责任险</w:t>
      </w:r>
      <w:r>
        <w:rPr>
          <w:rFonts w:ascii="宋体" w:hAnsi="宋体" w:cs="宋体"/>
          <w:color w:val="000000" w:themeColor="text1"/>
          <w:sz w:val="24"/>
          <w:highlight w:val="none"/>
          <w:u w:val="single"/>
          <w14:textFill>
            <w14:solidFill>
              <w14:schemeClr w14:val="tx1"/>
            </w14:solidFill>
          </w14:textFill>
        </w:rPr>
        <w:t>的保险费、安全生产费、机电工程设备购置费以及临时用地费）为基数。</w:t>
      </w:r>
    </w:p>
    <w:p w14:paraId="05F33C66">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保险费率：在项目专用合同条款数据表中约定。</w:t>
      </w:r>
    </w:p>
    <w:p w14:paraId="3A24A646">
      <w:pPr>
        <w:spacing w:line="360" w:lineRule="auto"/>
        <w:ind w:left="23" w:right="181" w:firstLine="465"/>
        <w:rPr>
          <w:rFonts w:hint="eastAsia" w:ascii="宋体" w:hAnsi="宋体" w:cs="宋体"/>
          <w:color w:val="000000" w:themeColor="text1"/>
          <w:spacing w:val="-5"/>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保险期限：开工日起直至本合同工程签发缺陷责任期终止证书止（即合同工期＋缺</w:t>
      </w:r>
      <w:r>
        <w:rPr>
          <w:rFonts w:ascii="宋体" w:hAnsi="宋体" w:cs="宋体"/>
          <w:color w:val="000000" w:themeColor="text1"/>
          <w:spacing w:val="-5"/>
          <w:sz w:val="24"/>
          <w:highlight w:val="none"/>
          <w14:textFill>
            <w14:solidFill>
              <w14:schemeClr w14:val="tx1"/>
            </w14:solidFill>
          </w14:textFill>
        </w:rPr>
        <w:t>陷责任期）。</w:t>
      </w:r>
    </w:p>
    <w:p w14:paraId="2469F9E7">
      <w:pPr>
        <w:spacing w:line="360" w:lineRule="auto"/>
        <w:ind w:left="7" w:right="61" w:firstLine="48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发包人或承包人应以发包人和承包人的共同名义投保建筑工程一切险及第三者责</w:t>
      </w:r>
      <w:r>
        <w:rPr>
          <w:rFonts w:ascii="宋体" w:hAnsi="宋体" w:cs="宋体"/>
          <w:color w:val="000000" w:themeColor="text1"/>
          <w:spacing w:val="-2"/>
          <w:sz w:val="24"/>
          <w:highlight w:val="none"/>
          <w14:textFill>
            <w14:solidFill>
              <w14:schemeClr w14:val="tx1"/>
            </w14:solidFill>
          </w14:textFill>
        </w:rPr>
        <w:t>任险。建筑工程一切险及第三者责任险的保险费由承包人报价时按项目专用合同条款数</w:t>
      </w:r>
      <w:r>
        <w:rPr>
          <w:rFonts w:ascii="宋体" w:hAnsi="宋体" w:cs="宋体"/>
          <w:color w:val="000000" w:themeColor="text1"/>
          <w:spacing w:val="-3"/>
          <w:sz w:val="24"/>
          <w:highlight w:val="none"/>
          <w14:textFill>
            <w14:solidFill>
              <w14:schemeClr w14:val="tx1"/>
            </w14:solidFill>
          </w14:textFill>
        </w:rPr>
        <w:t>据表规定的费率计算并列入工程量清单</w:t>
      </w:r>
      <w:r>
        <w:rPr>
          <w:rFonts w:ascii="宋体" w:hAnsi="宋体" w:cs="宋体"/>
          <w:color w:val="000000" w:themeColor="text1"/>
          <w:spacing w:val="-1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100</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章内。不论实际投保费用是高于或低于按上</w:t>
      </w:r>
      <w:r>
        <w:rPr>
          <w:rFonts w:ascii="宋体" w:hAnsi="宋体" w:cs="宋体"/>
          <w:color w:val="000000" w:themeColor="text1"/>
          <w:spacing w:val="-2"/>
          <w:sz w:val="24"/>
          <w:highlight w:val="none"/>
          <w14:textFill>
            <w14:solidFill>
              <w14:schemeClr w14:val="tx1"/>
            </w14:solidFill>
          </w14:textFill>
        </w:rPr>
        <w:t>述办法计算的保费，发包人都不作调整。上述保险费，将由发包人从承包人的应付款中代扣，统一向保险公司支付；或先由承包人支付，在接到保险公司的保险单并经监理人签证后，发包人将按照保险单的费用直接向承包人支付，但不得高于投标文件该项所报</w:t>
      </w:r>
      <w:r>
        <w:rPr>
          <w:rFonts w:ascii="宋体" w:hAnsi="宋体" w:cs="宋体"/>
          <w:color w:val="000000" w:themeColor="text1"/>
          <w:spacing w:val="-3"/>
          <w:sz w:val="24"/>
          <w:highlight w:val="none"/>
          <w14:textFill>
            <w14:solidFill>
              <w14:schemeClr w14:val="tx1"/>
            </w14:solidFill>
          </w14:textFill>
        </w:rPr>
        <w:t>总额价。</w:t>
      </w:r>
    </w:p>
    <w:p w14:paraId="61D85415">
      <w:pPr>
        <w:spacing w:line="360" w:lineRule="auto"/>
        <w:ind w:left="14" w:firstLine="47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20.1.2 保险标的出险后，承包人应自行向保险人报案、登记、索赔并报告发包人，</w:t>
      </w:r>
      <w:r>
        <w:rPr>
          <w:rFonts w:ascii="宋体" w:hAnsi="宋体" w:cs="宋体"/>
          <w:color w:val="000000" w:themeColor="text1"/>
          <w:spacing w:val="-1"/>
          <w:sz w:val="24"/>
          <w:highlight w:val="none"/>
          <w14:textFill>
            <w14:solidFill>
              <w14:schemeClr w14:val="tx1"/>
            </w14:solidFill>
          </w14:textFill>
        </w:rPr>
        <w:t>并做好资料整理、工程损失计算等。上述工作所产生的费用由承包人承担。</w:t>
      </w:r>
    </w:p>
    <w:p w14:paraId="01A80729">
      <w:pPr>
        <w:spacing w:line="360" w:lineRule="auto"/>
        <w:ind w:left="27" w:right="61" w:firstLine="46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20.1.3 因保险事故产生的修复、索</w:t>
      </w:r>
      <w:r>
        <w:rPr>
          <w:rFonts w:ascii="宋体" w:hAnsi="宋体" w:cs="宋体"/>
          <w:color w:val="000000" w:themeColor="text1"/>
          <w:spacing w:val="1"/>
          <w:sz w:val="24"/>
          <w:highlight w:val="none"/>
          <w14:textFill>
            <w14:solidFill>
              <w14:schemeClr w14:val="tx1"/>
            </w14:solidFill>
          </w14:textFill>
        </w:rPr>
        <w:t>赔等责任由承包人承担。若承包人放弃索赔或</w:t>
      </w:r>
      <w:r>
        <w:rPr>
          <w:rFonts w:ascii="宋体" w:hAnsi="宋体" w:cs="宋体"/>
          <w:color w:val="000000" w:themeColor="text1"/>
          <w:spacing w:val="-1"/>
          <w:sz w:val="24"/>
          <w:highlight w:val="none"/>
          <w14:textFill>
            <w14:solidFill>
              <w14:schemeClr w14:val="tx1"/>
            </w14:solidFill>
          </w14:textFill>
        </w:rPr>
        <w:t>因自身原因延误索赔，发包人保留索赔的权利，保险索赔所得费用归发包人所有。</w:t>
      </w:r>
    </w:p>
    <w:p w14:paraId="2770C12E">
      <w:pPr>
        <w:spacing w:line="360" w:lineRule="auto"/>
        <w:ind w:left="14" w:right="61" w:firstLine="47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保险人已确认的应支付保险赔付金由保险人全额支付给</w:t>
      </w:r>
      <w:r>
        <w:rPr>
          <w:rFonts w:ascii="宋体" w:hAnsi="宋体" w:cs="宋体"/>
          <w:color w:val="000000" w:themeColor="text1"/>
          <w:spacing w:val="1"/>
          <w:sz w:val="24"/>
          <w:highlight w:val="none"/>
          <w14:textFill>
            <w14:solidFill>
              <w14:schemeClr w14:val="tx1"/>
            </w14:solidFill>
          </w14:textFill>
        </w:rPr>
        <w:t>发包人， 发包人按以下规</w:t>
      </w:r>
      <w:r>
        <w:rPr>
          <w:rFonts w:ascii="宋体" w:hAnsi="宋体" w:cs="宋体"/>
          <w:color w:val="000000" w:themeColor="text1"/>
          <w:spacing w:val="-3"/>
          <w:sz w:val="24"/>
          <w:highlight w:val="none"/>
          <w14:textFill>
            <w14:solidFill>
              <w14:schemeClr w14:val="tx1"/>
            </w14:solidFill>
          </w14:textFill>
        </w:rPr>
        <w:t>定处置赔偿金</w:t>
      </w:r>
    </w:p>
    <w:p w14:paraId="6C93A678">
      <w:pPr>
        <w:spacing w:line="360" w:lineRule="auto"/>
        <w:ind w:firstLine="654" w:firstLineChars="3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1"/>
          <w:sz w:val="24"/>
          <w:highlight w:val="none"/>
          <w14:textFill>
            <w14:solidFill>
              <w14:schemeClr w14:val="tx1"/>
            </w14:solidFill>
          </w14:textFill>
        </w:rPr>
        <w:t>（1</w:t>
      </w:r>
      <w:r>
        <w:rPr>
          <w:rFonts w:ascii="宋体" w:hAnsi="宋体" w:cs="宋体"/>
          <w:color w:val="000000" w:themeColor="text1"/>
          <w:sz w:val="24"/>
          <w:highlight w:val="none"/>
          <w14:textFill>
            <w14:solidFill>
              <w14:schemeClr w14:val="tx1"/>
            </w14:solidFill>
          </w14:textFill>
        </w:rPr>
        <w:t>）</w:t>
      </w:r>
      <w:r>
        <w:rPr>
          <w:rFonts w:ascii="宋体" w:hAnsi="宋体" w:cs="宋体"/>
          <w:color w:val="000000" w:themeColor="text1"/>
          <w:spacing w:val="4"/>
          <w:sz w:val="24"/>
          <w:highlight w:val="none"/>
          <w:u w:val="single"/>
          <w14:textFill>
            <w14:solidFill>
              <w14:schemeClr w14:val="tx1"/>
            </w14:solidFill>
          </w14:textFill>
        </w:rPr>
        <w:t xml:space="preserve">                          </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w:t>
      </w:r>
    </w:p>
    <w:p w14:paraId="6FDDF3E8">
      <w:pPr>
        <w:spacing w:line="360" w:lineRule="auto"/>
        <w:ind w:firstLine="654" w:firstLineChars="3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w:t>
      </w:r>
      <w:r>
        <w:rPr>
          <w:rFonts w:ascii="宋体" w:hAnsi="宋体" w:cs="宋体"/>
          <w:color w:val="000000" w:themeColor="text1"/>
          <w:spacing w:val="4"/>
          <w:sz w:val="24"/>
          <w:highlight w:val="none"/>
          <w:u w:val="single"/>
          <w14:textFill>
            <w14:solidFill>
              <w14:schemeClr w14:val="tx1"/>
            </w14:solidFill>
          </w14:textFill>
        </w:rPr>
        <w:t xml:space="preserve">                          </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w:t>
      </w:r>
    </w:p>
    <w:p w14:paraId="513A437A">
      <w:pPr>
        <w:spacing w:line="360" w:lineRule="auto"/>
        <w:ind w:left="8" w:right="6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如承包人不履行索赔主体责任或发包人认为承包人履行索赔主体责任不尽责的，发包人有权不再支付根据第</w:t>
      </w:r>
      <w:r>
        <w:rPr>
          <w:rFonts w:ascii="宋体" w:hAnsi="宋体" w:cs="宋体"/>
          <w:color w:val="000000" w:themeColor="text1"/>
          <w:spacing w:val="-30"/>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17.1.6（2）</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目已予以暂定计量后剩余的变更费用，同时</w:t>
      </w:r>
      <w:r>
        <w:rPr>
          <w:rFonts w:ascii="宋体" w:hAnsi="宋体" w:cs="宋体"/>
          <w:color w:val="000000" w:themeColor="text1"/>
          <w:spacing w:val="-3"/>
          <w:sz w:val="24"/>
          <w:highlight w:val="none"/>
          <w14:textFill>
            <w14:solidFill>
              <w14:schemeClr w14:val="tx1"/>
            </w14:solidFill>
          </w14:textFill>
        </w:rPr>
        <w:t>视为</w:t>
      </w:r>
      <w:r>
        <w:rPr>
          <w:rFonts w:ascii="宋体" w:hAnsi="宋体" w:cs="宋体"/>
          <w:color w:val="000000" w:themeColor="text1"/>
          <w:spacing w:val="-1"/>
          <w:sz w:val="24"/>
          <w:highlight w:val="none"/>
          <w14:textFill>
            <w14:solidFill>
              <w14:schemeClr w14:val="tx1"/>
            </w14:solidFill>
          </w14:textFill>
        </w:rPr>
        <w:t>承包人违约并处以违约金。</w:t>
      </w:r>
    </w:p>
    <w:p w14:paraId="2F938C70">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307" w:name="_Toc5633"/>
      <w:bookmarkStart w:id="308" w:name="_Toc21277"/>
      <w:r>
        <w:rPr>
          <w:rFonts w:ascii="宋体" w:hAnsi="宋体" w:cs="宋体"/>
          <w:color w:val="000000" w:themeColor="text1"/>
          <w:spacing w:val="-1"/>
          <w:sz w:val="24"/>
          <w:highlight w:val="none"/>
          <w14:textFill>
            <w14:solidFill>
              <w14:schemeClr w14:val="tx1"/>
            </w14:solidFill>
          </w14:textFill>
        </w:rPr>
        <w:t>20.2.1 承包人员工伤事故的保险</w:t>
      </w:r>
      <w:bookmarkEnd w:id="307"/>
      <w:bookmarkEnd w:id="308"/>
    </w:p>
    <w:p w14:paraId="1D5D4673">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本项补充：</w:t>
      </w:r>
    </w:p>
    <w:p w14:paraId="468C1E87">
      <w:pPr>
        <w:spacing w:line="360" w:lineRule="auto"/>
        <w:ind w:left="9" w:right="61"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为促进承包人加强安全生产，预防和减少工伤事故，承包人应按《广东省人力资源</w:t>
      </w:r>
      <w:r>
        <w:rPr>
          <w:rFonts w:ascii="宋体" w:hAnsi="宋体" w:cs="宋体"/>
          <w:color w:val="000000" w:themeColor="text1"/>
          <w:spacing w:val="5"/>
          <w:sz w:val="24"/>
          <w:highlight w:val="none"/>
          <w14:textFill>
            <w14:solidFill>
              <w14:schemeClr w14:val="tx1"/>
            </w14:solidFill>
          </w14:textFill>
        </w:rPr>
        <w:t>和社会保障厅广东省财政厅国家税务总局广东省税务局关于印发广东省工</w:t>
      </w:r>
      <w:r>
        <w:rPr>
          <w:rFonts w:ascii="宋体" w:hAnsi="宋体" w:cs="宋体"/>
          <w:color w:val="000000" w:themeColor="text1"/>
          <w:spacing w:val="4"/>
          <w:sz w:val="24"/>
          <w:highlight w:val="none"/>
          <w14:textFill>
            <w14:solidFill>
              <w14:schemeClr w14:val="tx1"/>
            </w14:solidFill>
          </w14:textFill>
        </w:rPr>
        <w:t>伤保险基金</w:t>
      </w:r>
      <w:r>
        <w:rPr>
          <w:rFonts w:ascii="宋体" w:hAnsi="宋体" w:cs="宋体"/>
          <w:color w:val="000000" w:themeColor="text1"/>
          <w:spacing w:val="-3"/>
          <w:sz w:val="24"/>
          <w:highlight w:val="none"/>
          <w14:textFill>
            <w14:solidFill>
              <w14:schemeClr w14:val="tx1"/>
            </w14:solidFill>
          </w14:textFill>
        </w:rPr>
        <w:t>省级统筹实施方案的通知》（粤人社规〔2019〕20</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号）等相</w:t>
      </w:r>
      <w:r>
        <w:rPr>
          <w:rFonts w:ascii="宋体" w:hAnsi="宋体" w:cs="宋体"/>
          <w:color w:val="000000" w:themeColor="text1"/>
          <w:spacing w:val="-4"/>
          <w:sz w:val="24"/>
          <w:highlight w:val="none"/>
          <w14:textFill>
            <w14:solidFill>
              <w14:schemeClr w14:val="tx1"/>
            </w14:solidFill>
          </w14:textFill>
        </w:rPr>
        <w:t>关规定参加工伤保险，为其</w:t>
      </w:r>
      <w:r>
        <w:rPr>
          <w:rFonts w:ascii="宋体" w:hAnsi="宋体" w:cs="宋体"/>
          <w:color w:val="000000" w:themeColor="text1"/>
          <w:sz w:val="24"/>
          <w:highlight w:val="none"/>
          <w14:textFill>
            <w14:solidFill>
              <w14:schemeClr w14:val="tx1"/>
            </w14:solidFill>
          </w14:textFill>
        </w:rPr>
        <w:t>履行合同所雇用的全部人员缴纳工伤保险费，并要求</w:t>
      </w:r>
      <w:r>
        <w:rPr>
          <w:rFonts w:ascii="宋体" w:hAnsi="宋体" w:cs="宋体"/>
          <w:color w:val="000000" w:themeColor="text1"/>
          <w:spacing w:val="-1"/>
          <w:sz w:val="24"/>
          <w:highlight w:val="none"/>
          <w14:textFill>
            <w14:solidFill>
              <w14:schemeClr w14:val="tx1"/>
            </w14:solidFill>
          </w14:textFill>
        </w:rPr>
        <w:t>其分包人也进行此项保险。</w:t>
      </w:r>
    </w:p>
    <w:p w14:paraId="1994EDD8">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309" w:name="_Toc17522"/>
      <w:bookmarkStart w:id="310" w:name="_Toc23992"/>
      <w:r>
        <w:rPr>
          <w:rFonts w:ascii="宋体" w:hAnsi="宋体" w:cs="宋体"/>
          <w:color w:val="000000" w:themeColor="text1"/>
          <w:spacing w:val="-2"/>
          <w:sz w:val="24"/>
          <w:highlight w:val="none"/>
          <w14:textFill>
            <w14:solidFill>
              <w14:schemeClr w14:val="tx1"/>
            </w14:solidFill>
          </w14:textFill>
        </w:rPr>
        <w:t>20.4 第三者责任险</w:t>
      </w:r>
      <w:bookmarkEnd w:id="309"/>
      <w:bookmarkEnd w:id="310"/>
    </w:p>
    <w:p w14:paraId="02B24227">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20.4.2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项补充：</w:t>
      </w:r>
    </w:p>
    <w:p w14:paraId="4B9B12F3">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第三者责任险的购买、报险、索赔等，参照第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20.1</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款约定</w:t>
      </w:r>
      <w:r>
        <w:rPr>
          <w:rFonts w:ascii="宋体" w:hAnsi="宋体" w:cs="宋体"/>
          <w:color w:val="000000" w:themeColor="text1"/>
          <w:spacing w:val="-2"/>
          <w:sz w:val="24"/>
          <w:highlight w:val="none"/>
          <w14:textFill>
            <w14:solidFill>
              <w14:schemeClr w14:val="tx1"/>
            </w14:solidFill>
          </w14:textFill>
        </w:rPr>
        <w:t>执行。</w:t>
      </w:r>
    </w:p>
    <w:p w14:paraId="7C0EE9A6">
      <w:pPr>
        <w:pStyle w:val="3"/>
        <w:spacing w:line="360" w:lineRule="auto"/>
        <w:ind w:firstLine="456"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第三者责任险保险费，将由发包人从承包人</w:t>
      </w:r>
      <w:r>
        <w:rPr>
          <w:rFonts w:ascii="宋体" w:hAnsi="宋体" w:cs="宋体"/>
          <w:color w:val="000000" w:themeColor="text1"/>
          <w:spacing w:val="-7"/>
          <w:sz w:val="24"/>
          <w:highlight w:val="none"/>
          <w14:textFill>
            <w14:solidFill>
              <w14:schemeClr w14:val="tx1"/>
            </w14:solidFill>
          </w14:textFill>
        </w:rPr>
        <w:t>的应付款中代扣，统一向保险公司支付；</w:t>
      </w:r>
      <w:r>
        <w:rPr>
          <w:rFonts w:ascii="宋体" w:hAnsi="宋体" w:cs="宋体"/>
          <w:color w:val="000000" w:themeColor="text1"/>
          <w:spacing w:val="-2"/>
          <w:sz w:val="24"/>
          <w:highlight w:val="none"/>
          <w14:textFill>
            <w14:solidFill>
              <w14:schemeClr w14:val="tx1"/>
            </w14:solidFill>
          </w14:textFill>
        </w:rPr>
        <w:t>或先由承包人支付，在接到保险公司的保险单并经监理人签证后，发包人将按照保险单的费用直接向承包人支付，但不得高于对应的承包人投标报价。具体在项目专用</w:t>
      </w:r>
      <w:r>
        <w:rPr>
          <w:rFonts w:ascii="宋体" w:hAnsi="宋体" w:cs="宋体"/>
          <w:color w:val="000000" w:themeColor="text1"/>
          <w:spacing w:val="-3"/>
          <w:sz w:val="24"/>
          <w:highlight w:val="none"/>
          <w14:textFill>
            <w14:solidFill>
              <w14:schemeClr w14:val="tx1"/>
            </w14:solidFill>
          </w14:textFill>
        </w:rPr>
        <w:t>合同条</w:t>
      </w:r>
      <w:r>
        <w:rPr>
          <w:rFonts w:ascii="宋体" w:hAnsi="宋体" w:cs="宋体"/>
          <w:color w:val="000000" w:themeColor="text1"/>
          <w:spacing w:val="-2"/>
          <w:sz w:val="24"/>
          <w:highlight w:val="none"/>
          <w14:textFill>
            <w14:solidFill>
              <w14:schemeClr w14:val="tx1"/>
            </w14:solidFill>
          </w14:textFill>
        </w:rPr>
        <w:t>款数据表中约定。</w:t>
      </w:r>
    </w:p>
    <w:p w14:paraId="3A9C4336">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311" w:name="_Toc7643"/>
      <w:bookmarkStart w:id="312" w:name="_Toc11697"/>
      <w:r>
        <w:rPr>
          <w:rFonts w:ascii="宋体" w:hAnsi="宋体" w:cs="宋体"/>
          <w:color w:val="000000" w:themeColor="text1"/>
          <w:spacing w:val="-1"/>
          <w:sz w:val="24"/>
          <w:highlight w:val="none"/>
          <w14:textFill>
            <w14:solidFill>
              <w14:schemeClr w14:val="tx1"/>
            </w14:solidFill>
          </w14:textFill>
        </w:rPr>
        <w:t>20.6.4 保险金不足的补偿</w:t>
      </w:r>
      <w:bookmarkEnd w:id="311"/>
      <w:bookmarkEnd w:id="312"/>
    </w:p>
    <w:p w14:paraId="7AB5EFEE">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 20.6.4</w:t>
      </w:r>
      <w:r>
        <w:rPr>
          <w:rFonts w:ascii="宋体" w:hAnsi="宋体" w:cs="宋体"/>
          <w:color w:val="000000" w:themeColor="text1"/>
          <w:spacing w:val="15"/>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项修改为：</w:t>
      </w:r>
    </w:p>
    <w:p w14:paraId="5FABE436">
      <w:pPr>
        <w:spacing w:line="360" w:lineRule="auto"/>
        <w:ind w:left="9"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从保险人处获得的赔偿额不足以补偿损失的（包括免赔额和超过赔偿限额的部分</w:t>
      </w:r>
      <w:r>
        <w:rPr>
          <w:rFonts w:ascii="宋体" w:hAnsi="宋体" w:cs="宋体"/>
          <w:color w:val="000000" w:themeColor="text1"/>
          <w:spacing w:val="-61"/>
          <w:w w:val="97"/>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其差额由承包人自行承担。</w:t>
      </w:r>
    </w:p>
    <w:p w14:paraId="06F31500">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313" w:name="_Toc9930"/>
      <w:bookmarkStart w:id="314" w:name="_Toc23961"/>
      <w:r>
        <w:rPr>
          <w:rFonts w:ascii="宋体" w:hAnsi="宋体" w:cs="宋体"/>
          <w:color w:val="000000" w:themeColor="text1"/>
          <w:spacing w:val="-2"/>
          <w:sz w:val="24"/>
          <w:highlight w:val="none"/>
          <w14:textFill>
            <w14:solidFill>
              <w14:schemeClr w14:val="tx1"/>
            </w14:solidFill>
          </w14:textFill>
        </w:rPr>
        <w:t>21.不可抗力</w:t>
      </w:r>
      <w:bookmarkEnd w:id="313"/>
      <w:bookmarkEnd w:id="314"/>
    </w:p>
    <w:p w14:paraId="33B5E1F2">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21.1 不可抗力的确认</w:t>
      </w:r>
    </w:p>
    <w:p w14:paraId="3932051D">
      <w:pPr>
        <w:spacing w:line="360" w:lineRule="auto"/>
        <w:ind w:left="491" w:right="10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21.1.1</w:t>
      </w:r>
      <w:r>
        <w:rPr>
          <w:rFonts w:ascii="宋体" w:hAnsi="宋体" w:cs="宋体"/>
          <w:color w:val="000000" w:themeColor="text1"/>
          <w:spacing w:val="6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(6)不可抗力的其他情形：</w:t>
      </w:r>
      <w:r>
        <w:rPr>
          <w:rFonts w:ascii="宋体" w:hAnsi="宋体" w:cs="宋体"/>
          <w:color w:val="000000" w:themeColor="text1"/>
          <w:spacing w:val="-2"/>
          <w:sz w:val="24"/>
          <w:highlight w:val="none"/>
          <w:u w:val="single"/>
          <w14:textFill>
            <w14:solidFill>
              <w14:schemeClr w14:val="tx1"/>
            </w14:solidFill>
          </w14:textFill>
        </w:rPr>
        <w:t xml:space="preserve">   详见项目专用合同条款数据表    </w:t>
      </w:r>
      <w:r>
        <w:rPr>
          <w:rFonts w:ascii="宋体" w:hAnsi="宋体" w:cs="宋体"/>
          <w:color w:val="000000" w:themeColor="text1"/>
          <w:spacing w:val="-2"/>
          <w:sz w:val="24"/>
          <w:highlight w:val="none"/>
          <w14:textFill>
            <w14:solidFill>
              <w14:schemeClr w14:val="tx1"/>
            </w14:solidFill>
          </w14:textFill>
        </w:rPr>
        <w:t>21.3</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不可抗力后果及其处理</w:t>
      </w:r>
    </w:p>
    <w:p w14:paraId="4658BBF1">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21.3.1 不可抗力造成损害的责任</w:t>
      </w:r>
    </w:p>
    <w:p w14:paraId="30DAB7A5">
      <w:pPr>
        <w:spacing w:line="360" w:lineRule="auto"/>
        <w:ind w:left="8"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本款补充如下内容：本款中凡是约定由发包人承担损失和赔偿责任的，均按照第</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20</w:t>
      </w:r>
      <w:r>
        <w:rPr>
          <w:rFonts w:ascii="宋体" w:hAnsi="宋体" w:cs="宋体"/>
          <w:color w:val="000000" w:themeColor="text1"/>
          <w:spacing w:val="-2"/>
          <w:sz w:val="24"/>
          <w:highlight w:val="none"/>
          <w14:textFill>
            <w14:solidFill>
              <w14:schemeClr w14:val="tx1"/>
            </w14:solidFill>
          </w14:textFill>
        </w:rPr>
        <w:t>条的约定，属保险范围内的均由承保人承担。如保险金不足以补偿上述损失（包括免赔</w:t>
      </w:r>
      <w:r>
        <w:rPr>
          <w:rFonts w:ascii="宋体" w:hAnsi="宋体" w:cs="宋体"/>
          <w:color w:val="000000" w:themeColor="text1"/>
          <w:spacing w:val="-1"/>
          <w:sz w:val="24"/>
          <w:highlight w:val="none"/>
          <w14:textFill>
            <w14:solidFill>
              <w14:schemeClr w14:val="tx1"/>
            </w14:solidFill>
          </w14:textFill>
        </w:rPr>
        <w:t>额和超过赔偿限额的部分</w:t>
      </w:r>
      <w:r>
        <w:rPr>
          <w:rFonts w:ascii="宋体" w:hAnsi="宋体" w:cs="宋体"/>
          <w:color w:val="000000" w:themeColor="text1"/>
          <w:spacing w:val="12"/>
          <w:sz w:val="24"/>
          <w:highlight w:val="none"/>
          <w14:textFill>
            <w14:solidFill>
              <w14:schemeClr w14:val="tx1"/>
            </w14:solidFill>
          </w14:textFill>
        </w:rPr>
        <w:t>），</w:t>
      </w:r>
      <w:r>
        <w:rPr>
          <w:rFonts w:ascii="宋体" w:hAnsi="宋体" w:cs="宋体"/>
          <w:color w:val="000000" w:themeColor="text1"/>
          <w:spacing w:val="-1"/>
          <w:sz w:val="24"/>
          <w:highlight w:val="none"/>
          <w14:textFill>
            <w14:solidFill>
              <w14:schemeClr w14:val="tx1"/>
            </w14:solidFill>
          </w14:textFill>
        </w:rPr>
        <w:t>则按照第</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21.3.1 不可抗力造成损害的责任的分摊原则执</w:t>
      </w:r>
      <w:r>
        <w:rPr>
          <w:rFonts w:ascii="宋体" w:hAnsi="宋体" w:cs="宋体"/>
          <w:color w:val="000000" w:themeColor="text1"/>
          <w:spacing w:val="-5"/>
          <w:sz w:val="24"/>
          <w:highlight w:val="none"/>
          <w14:textFill>
            <w14:solidFill>
              <w14:schemeClr w14:val="tx1"/>
            </w14:solidFill>
          </w14:textFill>
        </w:rPr>
        <w:t>行。</w:t>
      </w:r>
    </w:p>
    <w:p w14:paraId="5CB1AD1F">
      <w:pPr>
        <w:spacing w:line="360" w:lineRule="auto"/>
        <w:ind w:left="493"/>
        <w:outlineLvl w:val="1"/>
        <w:rPr>
          <w:rFonts w:hint="eastAsia" w:ascii="宋体" w:hAnsi="宋体" w:cs="宋体"/>
          <w:color w:val="000000" w:themeColor="text1"/>
          <w:sz w:val="24"/>
          <w:highlight w:val="none"/>
          <w14:textFill>
            <w14:solidFill>
              <w14:schemeClr w14:val="tx1"/>
            </w14:solidFill>
          </w14:textFill>
        </w:rPr>
      </w:pPr>
      <w:bookmarkStart w:id="315" w:name="_Toc32223"/>
      <w:bookmarkStart w:id="316" w:name="_Toc21800"/>
      <w:r>
        <w:rPr>
          <w:rFonts w:ascii="宋体" w:hAnsi="宋体" w:cs="宋体"/>
          <w:b/>
          <w:bCs/>
          <w:color w:val="000000" w:themeColor="text1"/>
          <w:spacing w:val="-7"/>
          <w:sz w:val="24"/>
          <w:highlight w:val="none"/>
          <w14:textFill>
            <w14:solidFill>
              <w14:schemeClr w14:val="tx1"/>
            </w14:solidFill>
          </w14:textFill>
        </w:rPr>
        <w:t>22.</w:t>
      </w:r>
      <w:r>
        <w:rPr>
          <w:rFonts w:ascii="宋体" w:hAnsi="宋体" w:cs="宋体"/>
          <w:color w:val="000000" w:themeColor="text1"/>
          <w:spacing w:val="13"/>
          <w:sz w:val="24"/>
          <w:highlight w:val="none"/>
          <w14:textFill>
            <w14:solidFill>
              <w14:schemeClr w14:val="tx1"/>
            </w14:solidFill>
          </w14:textFill>
        </w:rPr>
        <w:t xml:space="preserve"> </w:t>
      </w:r>
      <w:r>
        <w:rPr>
          <w:rFonts w:ascii="宋体" w:hAnsi="宋体" w:cs="宋体"/>
          <w:b/>
          <w:bCs/>
          <w:color w:val="000000" w:themeColor="text1"/>
          <w:spacing w:val="-7"/>
          <w:sz w:val="24"/>
          <w:highlight w:val="none"/>
          <w14:textFill>
            <w14:solidFill>
              <w14:schemeClr w14:val="tx1"/>
            </w14:solidFill>
          </w14:textFill>
        </w:rPr>
        <w:t>违约</w:t>
      </w:r>
      <w:bookmarkEnd w:id="315"/>
      <w:bookmarkEnd w:id="316"/>
    </w:p>
    <w:p w14:paraId="04955348">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317" w:name="_Toc29753"/>
      <w:bookmarkStart w:id="318" w:name="_Toc11837"/>
      <w:r>
        <w:rPr>
          <w:rFonts w:ascii="宋体" w:hAnsi="宋体" w:cs="宋体"/>
          <w:color w:val="000000" w:themeColor="text1"/>
          <w:spacing w:val="-2"/>
          <w:sz w:val="24"/>
          <w:highlight w:val="none"/>
          <w14:textFill>
            <w14:solidFill>
              <w14:schemeClr w14:val="tx1"/>
            </w14:solidFill>
          </w14:textFill>
        </w:rPr>
        <w:t>22.1 承包人违约</w:t>
      </w:r>
      <w:bookmarkEnd w:id="317"/>
      <w:bookmarkEnd w:id="318"/>
    </w:p>
    <w:p w14:paraId="5932E7EE">
      <w:pPr>
        <w:spacing w:line="360" w:lineRule="auto"/>
        <w:ind w:left="12" w:right="2"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22.1.1(4)目补充为：承包人未能按合同进度计划及时</w:t>
      </w:r>
      <w:r>
        <w:rPr>
          <w:rFonts w:ascii="宋体" w:hAnsi="宋体" w:cs="宋体"/>
          <w:color w:val="000000" w:themeColor="text1"/>
          <w:spacing w:val="-1"/>
          <w:sz w:val="24"/>
          <w:highlight w:val="none"/>
          <w14:textFill>
            <w14:solidFill>
              <w14:schemeClr w14:val="tx1"/>
            </w14:solidFill>
          </w14:textFill>
        </w:rPr>
        <w:t>完成合同约定的工作，或</w:t>
      </w:r>
      <w:r>
        <w:rPr>
          <w:rFonts w:ascii="宋体" w:hAnsi="宋体" w:cs="宋体"/>
          <w:color w:val="000000" w:themeColor="text1"/>
          <w:spacing w:val="-5"/>
          <w:sz w:val="24"/>
          <w:highlight w:val="none"/>
          <w14:textFill>
            <w14:solidFill>
              <w14:schemeClr w14:val="tx1"/>
            </w14:solidFill>
          </w14:textFill>
        </w:rPr>
        <w:t>未切实履行第4.1.7</w:t>
      </w:r>
      <w:r>
        <w:rPr>
          <w:rFonts w:ascii="宋体" w:hAnsi="宋体" w:cs="宋体"/>
          <w:color w:val="000000" w:themeColor="text1"/>
          <w:spacing w:val="-3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款的约定，导致发生工程阻工、停工，已造成或预期造成工期延误；</w:t>
      </w:r>
    </w:p>
    <w:p w14:paraId="356060CF">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22.1.2 对承包人违约的处理</w:t>
      </w:r>
    </w:p>
    <w:p w14:paraId="286A8850">
      <w:pPr>
        <w:spacing w:line="360" w:lineRule="auto"/>
        <w:ind w:left="48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将本款第(4)目修改如下：</w:t>
      </w:r>
    </w:p>
    <w:p w14:paraId="532E7FBC">
      <w:pPr>
        <w:spacing w:line="360" w:lineRule="auto"/>
        <w:ind w:left="8" w:right="61" w:firstLine="52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(4) 承包人发生第</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22.1.1</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项约定的违约情况时，无论</w:t>
      </w:r>
      <w:r>
        <w:rPr>
          <w:rFonts w:ascii="宋体" w:hAnsi="宋体" w:cs="宋体"/>
          <w:color w:val="000000" w:themeColor="text1"/>
          <w:spacing w:val="-1"/>
          <w:sz w:val="24"/>
          <w:highlight w:val="none"/>
          <w14:textFill>
            <w14:solidFill>
              <w14:schemeClr w14:val="tx1"/>
            </w14:solidFill>
          </w14:textFill>
        </w:rPr>
        <w:t>发包人是否解除合同，发包</w:t>
      </w:r>
      <w:r>
        <w:rPr>
          <w:rFonts w:ascii="宋体" w:hAnsi="宋体" w:cs="宋体"/>
          <w:color w:val="000000" w:themeColor="text1"/>
          <w:spacing w:val="-2"/>
          <w:sz w:val="24"/>
          <w:highlight w:val="none"/>
          <w14:textFill>
            <w14:solidFill>
              <w14:schemeClr w14:val="tx1"/>
            </w14:solidFill>
          </w14:textFill>
        </w:rPr>
        <w:t>人应按本合同附件的规定向承包人课以违约金，并由发包人将其违约行为上报上级交通</w:t>
      </w:r>
      <w:r>
        <w:rPr>
          <w:rFonts w:ascii="宋体" w:hAnsi="宋体" w:cs="宋体"/>
          <w:color w:val="000000" w:themeColor="text1"/>
          <w:spacing w:val="-1"/>
          <w:sz w:val="24"/>
          <w:highlight w:val="none"/>
          <w14:textFill>
            <w14:solidFill>
              <w14:schemeClr w14:val="tx1"/>
            </w14:solidFill>
          </w14:textFill>
        </w:rPr>
        <w:t>运输主管部门，作为不良记录纳入公路建设市场监督管理系统。</w:t>
      </w:r>
    </w:p>
    <w:p w14:paraId="15C701D3">
      <w:pPr>
        <w:spacing w:line="360" w:lineRule="auto"/>
        <w:ind w:left="487"/>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在本款下增加第(5)～第(</w:t>
      </w:r>
      <w:r>
        <w:rPr>
          <w:rFonts w:hint="eastAsia" w:ascii="宋体" w:hAnsi="宋体" w:eastAsia="宋体" w:cs="宋体"/>
          <w:color w:val="000000" w:themeColor="text1"/>
          <w:spacing w:val="-1"/>
          <w:sz w:val="24"/>
          <w:highlight w:val="none"/>
          <w:lang w:val="en-US" w:eastAsia="zh-CN"/>
          <w14:textFill>
            <w14:solidFill>
              <w14:schemeClr w14:val="tx1"/>
            </w14:solidFill>
          </w14:textFill>
        </w:rPr>
        <w:t>8</w:t>
      </w:r>
      <w:r>
        <w:rPr>
          <w:rFonts w:hint="eastAsia" w:ascii="宋体" w:hAnsi="宋体" w:eastAsia="宋体" w:cs="宋体"/>
          <w:color w:val="000000" w:themeColor="text1"/>
          <w:spacing w:val="-1"/>
          <w:sz w:val="24"/>
          <w:highlight w:val="none"/>
          <w14:textFill>
            <w14:solidFill>
              <w14:schemeClr w14:val="tx1"/>
            </w14:solidFill>
          </w14:textFill>
        </w:rPr>
        <w:t>)目如下：</w:t>
      </w:r>
    </w:p>
    <w:p w14:paraId="427525E2">
      <w:pPr>
        <w:spacing w:line="360" w:lineRule="auto"/>
        <w:ind w:left="13" w:right="60" w:firstLine="478"/>
        <w:rPr>
          <w:rFonts w:hint="eastAsia" w:ascii="宋体" w:hAnsi="宋体" w:eastAsia="宋体" w:cs="宋体"/>
          <w:color w:val="000000" w:themeColor="text1"/>
          <w:spacing w:val="3"/>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(5) 发包人按合同规定向承包人开出的任何违约金，除合同另有规定外，均从发包人应向承包人支付的工程款中直接扣除。除非合同另有规定，发包人向承包人开出的任何违约金将导致承包人最终的应得结算价款相应地减少 (除合同另有约定外) 。承包人必须完全接受上述条款。</w:t>
      </w:r>
    </w:p>
    <w:p w14:paraId="2684752B">
      <w:pPr>
        <w:spacing w:line="360" w:lineRule="auto"/>
        <w:ind w:left="13" w:right="60" w:firstLine="478"/>
        <w:rPr>
          <w:rFonts w:hint="eastAsia" w:ascii="宋体" w:hAnsi="宋体" w:eastAsia="宋体" w:cs="宋体"/>
          <w:color w:val="000000" w:themeColor="text1"/>
          <w:spacing w:val="3"/>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(6) 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760D7903">
      <w:pPr>
        <w:spacing w:line="360" w:lineRule="auto"/>
        <w:ind w:left="13" w:right="60" w:firstLine="478"/>
        <w:rPr>
          <w:rFonts w:hint="eastAsia" w:ascii="宋体" w:hAnsi="宋体" w:eastAsia="宋体" w:cs="宋体"/>
          <w:color w:val="000000" w:themeColor="text1"/>
          <w:spacing w:val="3"/>
          <w:sz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w:t>
      </w:r>
      <w:r>
        <w:rPr>
          <w:rFonts w:hint="eastAsia" w:ascii="宋体" w:hAnsi="宋体" w:eastAsia="宋体" w:cs="宋体"/>
          <w:color w:val="000000" w:themeColor="text1"/>
          <w:spacing w:val="3"/>
          <w:sz w:val="24"/>
          <w:highlight w:val="none"/>
          <w:lang w:val="en-US" w:eastAsia="zh-CN"/>
          <w14:textFill>
            <w14:solidFill>
              <w14:schemeClr w14:val="tx1"/>
            </w14:solidFill>
          </w14:textFill>
        </w:rPr>
        <w:t>7</w:t>
      </w:r>
      <w:r>
        <w:rPr>
          <w:rFonts w:hint="eastAsia" w:ascii="宋体" w:hAnsi="宋体" w:eastAsia="宋体" w:cs="宋体"/>
          <w:color w:val="000000" w:themeColor="text1"/>
          <w:spacing w:val="3"/>
          <w:sz w:val="24"/>
          <w:highlight w:val="none"/>
          <w14:textFill>
            <w14:solidFill>
              <w14:schemeClr w14:val="tx1"/>
            </w14:solidFill>
          </w14:textFill>
        </w:rPr>
        <w:t xml:space="preserve">) </w:t>
      </w:r>
      <w:r>
        <w:rPr>
          <w:rFonts w:hint="eastAsia" w:ascii="宋体" w:hAnsi="宋体" w:eastAsia="宋体" w:cs="宋体"/>
          <w:color w:val="000000" w:themeColor="text1"/>
          <w:spacing w:val="3"/>
          <w:sz w:val="24"/>
          <w:highlight w:val="none"/>
          <w:lang w:val="en-US" w:eastAsia="zh-CN"/>
          <w14:textFill>
            <w14:solidFill>
              <w14:schemeClr w14:val="tx1"/>
            </w14:solidFill>
          </w14:textFill>
        </w:rPr>
        <w:t>由于承包人的原因造成其所提供的施工服务或成果不合格的，返工费用由其承担。承包人提供的服务或成果不符合本合同规定的，甲方有权拒收。如承包人提供的服务或成果不符合合同约定、国家有关规范技术或行业标准要求的，承包人应在发包人指定的期限内整改合格。整改后仍不符合合同约定、国家有关规范技术或行业标准要求的，或侵犯他人权益的，发包人有权单方解除合同，同时发包人就承包人不配合进度申报、结算、整改、工程量核算、验收、退场等发包人所要求的一切应由承包人应予配合的情形的，发包人有权自行或委托第三方予以处理，承包人无条件接受处理结果并承担由此产生的全部费用，且除本合同约定的法律责任外，承包人应退还发包人超额支付的工程款，承包人还应赔偿发包人因此遭受的一切损失，包括由此产生的诉讼费、律师费、保全费、评估费、鉴定费、诉讼财产保全费（保险服务费）等相关费用损失。</w:t>
      </w:r>
    </w:p>
    <w:p w14:paraId="2C8BEB67">
      <w:pPr>
        <w:spacing w:line="360" w:lineRule="auto"/>
        <w:ind w:left="13" w:right="60" w:firstLine="478"/>
        <w:rPr>
          <w:rFonts w:hint="eastAsia" w:ascii="宋体" w:hAnsi="宋体" w:eastAsia="宋体" w:cs="宋体"/>
          <w:color w:val="000000" w:themeColor="text1"/>
          <w:spacing w:val="3"/>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w:t>
      </w:r>
      <w:r>
        <w:rPr>
          <w:rFonts w:hint="eastAsia" w:ascii="宋体" w:hAnsi="宋体" w:eastAsia="宋体" w:cs="宋体"/>
          <w:color w:val="000000" w:themeColor="text1"/>
          <w:spacing w:val="3"/>
          <w:sz w:val="24"/>
          <w:highlight w:val="none"/>
          <w:lang w:val="en-US" w:eastAsia="zh-CN"/>
          <w14:textFill>
            <w14:solidFill>
              <w14:schemeClr w14:val="tx1"/>
            </w14:solidFill>
          </w14:textFill>
        </w:rPr>
        <w:t>8</w:t>
      </w:r>
      <w:r>
        <w:rPr>
          <w:rFonts w:hint="eastAsia" w:ascii="宋体" w:hAnsi="宋体" w:eastAsia="宋体" w:cs="宋体"/>
          <w:color w:val="000000" w:themeColor="text1"/>
          <w:spacing w:val="3"/>
          <w:sz w:val="24"/>
          <w:highlight w:val="none"/>
          <w14:textFill>
            <w14:solidFill>
              <w14:schemeClr w14:val="tx1"/>
            </w14:solidFill>
          </w14:textFill>
        </w:rPr>
        <w:t>) 本项目所有承包人的违约金均由业主掌握使用，可部分或全部用于本项目的各项评比和奖励。</w:t>
      </w:r>
    </w:p>
    <w:p w14:paraId="4D9E0B0C">
      <w:pPr>
        <w:spacing w:line="360" w:lineRule="auto"/>
        <w:ind w:left="493"/>
        <w:outlineLvl w:val="2"/>
        <w:rPr>
          <w:rFonts w:hint="eastAsia" w:ascii="宋体" w:hAnsi="宋体" w:cs="宋体"/>
          <w:color w:val="000000" w:themeColor="text1"/>
          <w:sz w:val="24"/>
          <w:highlight w:val="none"/>
          <w14:textFill>
            <w14:solidFill>
              <w14:schemeClr w14:val="tx1"/>
            </w14:solidFill>
          </w14:textFill>
        </w:rPr>
      </w:pPr>
      <w:bookmarkStart w:id="319" w:name="_Toc27289"/>
      <w:bookmarkStart w:id="320" w:name="_Toc13219"/>
      <w:r>
        <w:rPr>
          <w:rFonts w:ascii="宋体" w:hAnsi="宋体" w:cs="宋体"/>
          <w:color w:val="000000" w:themeColor="text1"/>
          <w:spacing w:val="-3"/>
          <w:sz w:val="24"/>
          <w:highlight w:val="none"/>
          <w14:textFill>
            <w14:solidFill>
              <w14:schemeClr w14:val="tx1"/>
            </w14:solidFill>
          </w14:textFill>
        </w:rPr>
        <w:t>22.2</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发包人违约</w:t>
      </w:r>
      <w:bookmarkEnd w:id="319"/>
      <w:bookmarkEnd w:id="320"/>
    </w:p>
    <w:p w14:paraId="35D8D2EC">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本款细化为：</w:t>
      </w:r>
    </w:p>
    <w:p w14:paraId="7BB90DC9">
      <w:pPr>
        <w:spacing w:line="360" w:lineRule="auto"/>
        <w:ind w:left="13" w:right="60"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22.2.1</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如果发包人无合理的理由去阻挠或拒绝符</w:t>
      </w:r>
      <w:r>
        <w:rPr>
          <w:rFonts w:ascii="宋体" w:hAnsi="宋体" w:cs="宋体"/>
          <w:color w:val="000000" w:themeColor="text1"/>
          <w:spacing w:val="2"/>
          <w:sz w:val="24"/>
          <w:highlight w:val="none"/>
          <w14:textFill>
            <w14:solidFill>
              <w14:schemeClr w14:val="tx1"/>
            </w14:solidFill>
          </w14:textFill>
        </w:rPr>
        <w:t>合合同规定的付款证书颁发所需</w:t>
      </w:r>
      <w:r>
        <w:rPr>
          <w:rFonts w:ascii="宋体" w:hAnsi="宋体" w:cs="宋体"/>
          <w:color w:val="000000" w:themeColor="text1"/>
          <w:spacing w:val="-2"/>
          <w:sz w:val="24"/>
          <w:highlight w:val="none"/>
          <w14:textFill>
            <w14:solidFill>
              <w14:schemeClr w14:val="tx1"/>
            </w14:solidFill>
          </w14:textFill>
        </w:rPr>
        <w:t>的批准，则可视为发包人违约。承包人有权终止合同，并在通知发包人和将通知副本提</w:t>
      </w:r>
      <w:r>
        <w:rPr>
          <w:rFonts w:ascii="宋体" w:hAnsi="宋体" w:cs="宋体"/>
          <w:color w:val="000000" w:themeColor="text1"/>
          <w:spacing w:val="-3"/>
          <w:sz w:val="24"/>
          <w:highlight w:val="none"/>
          <w14:textFill>
            <w14:solidFill>
              <w14:schemeClr w14:val="tx1"/>
            </w14:solidFill>
          </w14:textFill>
        </w:rPr>
        <w:t>交监理人的</w:t>
      </w:r>
      <w:r>
        <w:rPr>
          <w:rFonts w:ascii="宋体" w:hAnsi="宋体" w:cs="宋体"/>
          <w:color w:val="000000" w:themeColor="text1"/>
          <w:spacing w:val="-3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28</w:t>
      </w:r>
      <w:r>
        <w:rPr>
          <w:rFonts w:ascii="宋体" w:hAnsi="宋体" w:cs="宋体"/>
          <w:color w:val="000000" w:themeColor="text1"/>
          <w:spacing w:val="-4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天后，合同终止生效。</w:t>
      </w:r>
    </w:p>
    <w:p w14:paraId="5B0CE4D5">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22.2.2</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如果合同因发包人违约而终止，承包人可要求发包人支付以下费用：</w:t>
      </w:r>
    </w:p>
    <w:p w14:paraId="3AF7508C">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(a)发包人需向承包人支付合同终止之日前已完成的全部工程费用。</w:t>
      </w:r>
    </w:p>
    <w:p w14:paraId="27441365">
      <w:pPr>
        <w:spacing w:line="360" w:lineRule="auto"/>
        <w:ind w:left="7" w:right="60" w:firstLine="52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(b)即将交付承包人的，或承包人依法有</w:t>
      </w:r>
      <w:r>
        <w:rPr>
          <w:rFonts w:ascii="宋体" w:hAnsi="宋体" w:cs="宋体"/>
          <w:color w:val="000000" w:themeColor="text1"/>
          <w:sz w:val="24"/>
          <w:highlight w:val="none"/>
          <w14:textFill>
            <w14:solidFill>
              <w14:schemeClr w14:val="tx1"/>
            </w14:solidFill>
          </w14:textFill>
        </w:rPr>
        <w:t>责任接收的为该工程合理订购的材料、工</w:t>
      </w:r>
      <w:r>
        <w:rPr>
          <w:rFonts w:ascii="宋体" w:hAnsi="宋体" w:cs="宋体"/>
          <w:color w:val="000000" w:themeColor="text1"/>
          <w:spacing w:val="-2"/>
          <w:sz w:val="24"/>
          <w:highlight w:val="none"/>
          <w14:textFill>
            <w14:solidFill>
              <w14:schemeClr w14:val="tx1"/>
            </w14:solidFill>
          </w14:textFill>
        </w:rPr>
        <w:t>程设备或货物的费用，发包人一经支付此项费用，该材料、工程设备或货物即成为发包人的财产。</w:t>
      </w:r>
    </w:p>
    <w:p w14:paraId="04F6490B">
      <w:pPr>
        <w:spacing w:line="360" w:lineRule="auto"/>
        <w:ind w:left="10" w:right="60" w:firstLine="52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(c)已合理开支的确定属于承包人为完成</w:t>
      </w:r>
      <w:r>
        <w:rPr>
          <w:rFonts w:ascii="宋体" w:hAnsi="宋体" w:cs="宋体"/>
          <w:color w:val="000000" w:themeColor="text1"/>
          <w:sz w:val="24"/>
          <w:highlight w:val="none"/>
          <w14:textFill>
            <w14:solidFill>
              <w14:schemeClr w14:val="tx1"/>
            </w14:solidFill>
          </w14:textFill>
        </w:rPr>
        <w:t>整个工程而合理发生的其他费用，而该费</w:t>
      </w:r>
      <w:r>
        <w:rPr>
          <w:rFonts w:ascii="宋体" w:hAnsi="宋体" w:cs="宋体"/>
          <w:color w:val="000000" w:themeColor="text1"/>
          <w:spacing w:val="-1"/>
          <w:sz w:val="24"/>
          <w:highlight w:val="none"/>
          <w14:textFill>
            <w14:solidFill>
              <w14:schemeClr w14:val="tx1"/>
            </w14:solidFill>
          </w14:textFill>
        </w:rPr>
        <w:t>用未在本条款的其他各项下支付。</w:t>
      </w:r>
    </w:p>
    <w:p w14:paraId="2194A9DF">
      <w:pPr>
        <w:spacing w:line="360" w:lineRule="auto"/>
        <w:ind w:left="53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(d)考虑已完工程的付款比例，给予适当人员、设备等的退场费</w:t>
      </w:r>
    </w:p>
    <w:p w14:paraId="5996D87B">
      <w:pPr>
        <w:spacing w:line="360" w:lineRule="auto"/>
        <w:ind w:left="31" w:right="60" w:firstLine="45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22.2.3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发包人除按本款规定支付上述费用</w:t>
      </w:r>
      <w:r>
        <w:rPr>
          <w:rFonts w:ascii="宋体" w:hAnsi="宋体" w:cs="宋体"/>
          <w:color w:val="000000" w:themeColor="text1"/>
          <w:spacing w:val="-4"/>
          <w:sz w:val="24"/>
          <w:highlight w:val="none"/>
          <w14:textFill>
            <w14:solidFill>
              <w14:schemeClr w14:val="tx1"/>
            </w14:solidFill>
          </w14:textFill>
        </w:rPr>
        <w:t>给承包人外，亦有权要求承包人偿还按合</w:t>
      </w:r>
      <w:r>
        <w:rPr>
          <w:rFonts w:ascii="宋体" w:hAnsi="宋体" w:cs="宋体"/>
          <w:color w:val="000000" w:themeColor="text1"/>
          <w:spacing w:val="-2"/>
          <w:sz w:val="24"/>
          <w:highlight w:val="none"/>
          <w14:textFill>
            <w14:solidFill>
              <w14:schemeClr w14:val="tx1"/>
            </w14:solidFill>
          </w14:textFill>
        </w:rPr>
        <w:t>同条款规定的或未结清的承包人欠发包人的各种款项。</w:t>
      </w:r>
    </w:p>
    <w:p w14:paraId="73371C5F">
      <w:pPr>
        <w:spacing w:line="360" w:lineRule="auto"/>
        <w:ind w:left="28" w:right="60" w:firstLine="46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22.2.4</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承包人（包括其分包人）出于追索本合同条</w:t>
      </w:r>
      <w:r>
        <w:rPr>
          <w:rFonts w:ascii="宋体" w:hAnsi="宋体" w:cs="宋体"/>
          <w:color w:val="000000" w:themeColor="text1"/>
          <w:spacing w:val="-4"/>
          <w:sz w:val="24"/>
          <w:highlight w:val="none"/>
          <w14:textFill>
            <w14:solidFill>
              <w14:schemeClr w14:val="tx1"/>
            </w14:solidFill>
          </w14:textFill>
        </w:rPr>
        <w:t>款以外的利益，以有违社会规范</w:t>
      </w:r>
      <w:r>
        <w:rPr>
          <w:rFonts w:ascii="宋体" w:hAnsi="宋体" w:cs="宋体"/>
          <w:color w:val="000000" w:themeColor="text1"/>
          <w:spacing w:val="-1"/>
          <w:sz w:val="24"/>
          <w:highlight w:val="none"/>
          <w14:textFill>
            <w14:solidFill>
              <w14:schemeClr w14:val="tx1"/>
            </w14:solidFill>
          </w14:textFill>
        </w:rPr>
        <w:t>的行为构成对发包人骚扰的，承包人须承担法律和经</w:t>
      </w:r>
      <w:r>
        <w:rPr>
          <w:rFonts w:ascii="宋体" w:hAnsi="宋体" w:cs="宋体"/>
          <w:color w:val="000000" w:themeColor="text1"/>
          <w:spacing w:val="-2"/>
          <w:sz w:val="24"/>
          <w:highlight w:val="none"/>
          <w14:textFill>
            <w14:solidFill>
              <w14:schemeClr w14:val="tx1"/>
            </w14:solidFill>
          </w14:textFill>
        </w:rPr>
        <w:t>济责任。</w:t>
      </w:r>
    </w:p>
    <w:p w14:paraId="26C1B24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增加第</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25</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条</w:t>
      </w:r>
    </w:p>
    <w:p w14:paraId="74D2295B">
      <w:pPr>
        <w:spacing w:line="360" w:lineRule="auto"/>
        <w:ind w:left="493"/>
        <w:outlineLvl w:val="2"/>
        <w:rPr>
          <w:rFonts w:hint="eastAsia" w:ascii="宋体" w:hAnsi="宋体" w:cs="宋体"/>
          <w:color w:val="000000" w:themeColor="text1"/>
          <w:sz w:val="12"/>
          <w:szCs w:val="12"/>
          <w:highlight w:val="none"/>
          <w14:textFill>
            <w14:solidFill>
              <w14:schemeClr w14:val="tx1"/>
            </w14:solidFill>
          </w14:textFill>
        </w:rPr>
      </w:pPr>
      <w:bookmarkStart w:id="321" w:name="_Toc7774"/>
      <w:bookmarkStart w:id="322" w:name="_Toc31212"/>
      <w:r>
        <w:rPr>
          <w:rFonts w:ascii="宋体" w:hAnsi="宋体" w:cs="宋体"/>
          <w:color w:val="000000" w:themeColor="text1"/>
          <w:spacing w:val="-1"/>
          <w:sz w:val="24"/>
          <w:highlight w:val="none"/>
          <w14:textFill>
            <w14:solidFill>
              <w14:schemeClr w14:val="tx1"/>
            </w14:solidFill>
          </w14:textFill>
        </w:rPr>
        <w:t>25 本项目需增加的专用合同条款</w:t>
      </w:r>
      <w:bookmarkEnd w:id="321"/>
      <w:bookmarkEnd w:id="322"/>
    </w:p>
    <w:p w14:paraId="2A020F90">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25.1</w:t>
      </w:r>
      <w:r>
        <w:rPr>
          <w:rFonts w:ascii="宋体" w:hAnsi="宋体" w:cs="宋体"/>
          <w:color w:val="000000" w:themeColor="text1"/>
          <w:spacing w:val="-51"/>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承包人退出机制</w:t>
      </w:r>
    </w:p>
    <w:p w14:paraId="6937A161">
      <w:pPr>
        <w:spacing w:line="360"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发包人对不能满足各阶段工作目标的承包人</w:t>
      </w:r>
      <w:r>
        <w:rPr>
          <w:rFonts w:ascii="宋体" w:hAnsi="宋体" w:cs="宋体"/>
          <w:color w:val="000000" w:themeColor="text1"/>
          <w:spacing w:val="-1"/>
          <w:sz w:val="24"/>
          <w:highlight w:val="none"/>
          <w14:textFill>
            <w14:solidFill>
              <w14:schemeClr w14:val="tx1"/>
            </w14:solidFill>
          </w14:textFill>
        </w:rPr>
        <w:t>实行强制退出本项目建设的办法。</w:t>
      </w:r>
    </w:p>
    <w:p w14:paraId="405BEB97">
      <w:pPr>
        <w:spacing w:line="360" w:lineRule="auto"/>
        <w:ind w:left="10" w:right="60" w:firstLine="481"/>
        <w:rPr>
          <w:color w:val="000000" w:themeColor="text1"/>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发包人将视承包人的实际施工能力情况，可按4.3</w:t>
      </w:r>
      <w:r>
        <w:rPr>
          <w:rFonts w:ascii="宋体" w:hAnsi="宋体" w:cs="宋体"/>
          <w:color w:val="000000" w:themeColor="text1"/>
          <w:spacing w:val="2"/>
          <w:sz w:val="24"/>
          <w:highlight w:val="none"/>
          <w14:textFill>
            <w14:solidFill>
              <w14:schemeClr w14:val="tx1"/>
            </w14:solidFill>
          </w14:textFill>
        </w:rPr>
        <w:t>.15、4.3.16</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款将该标段内剩余</w:t>
      </w:r>
      <w:r>
        <w:rPr>
          <w:rFonts w:ascii="宋体" w:hAnsi="宋体" w:cs="宋体"/>
          <w:color w:val="000000" w:themeColor="text1"/>
          <w:spacing w:val="-2"/>
          <w:sz w:val="24"/>
          <w:highlight w:val="none"/>
          <w14:textFill>
            <w14:solidFill>
              <w14:schemeClr w14:val="tx1"/>
            </w14:solidFill>
          </w14:textFill>
        </w:rPr>
        <w:t>工程的部分或全部进行特殊分包，强制部分或整体退出。由发包人在本项目选择履约情况好的承包人承接剩余工程或采用招标方式选择承包人。如承包人逾期不退场的，发包</w:t>
      </w:r>
      <w:bookmarkStart w:id="323" w:name="bookmark329"/>
      <w:bookmarkEnd w:id="323"/>
      <w:r>
        <w:rPr>
          <w:rFonts w:ascii="宋体" w:hAnsi="宋体" w:cs="宋体"/>
          <w:color w:val="000000" w:themeColor="text1"/>
          <w:spacing w:val="-1"/>
          <w:sz w:val="24"/>
          <w:highlight w:val="none"/>
          <w14:textFill>
            <w14:solidFill>
              <w14:schemeClr w14:val="tx1"/>
            </w14:solidFill>
          </w14:textFill>
        </w:rPr>
        <w:t>人有权委托第三方清理，所需费用由承包人承担。</w:t>
      </w:r>
    </w:p>
    <w:p w14:paraId="557696FB">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25.1.1</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部分退出</w:t>
      </w:r>
    </w:p>
    <w:p w14:paraId="1C035FC6">
      <w:pPr>
        <w:spacing w:line="360" w:lineRule="auto"/>
        <w:ind w:left="28" w:right="27" w:firstLine="47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（1）人员退出：承包人的主要管理人员和技术骨干</w:t>
      </w:r>
      <w:r>
        <w:rPr>
          <w:rFonts w:ascii="宋体" w:hAnsi="宋体" w:cs="宋体"/>
          <w:color w:val="000000" w:themeColor="text1"/>
          <w:sz w:val="24"/>
          <w:highlight w:val="none"/>
          <w14:textFill>
            <w14:solidFill>
              <w14:schemeClr w14:val="tx1"/>
            </w14:solidFill>
          </w14:textFill>
        </w:rPr>
        <w:t>如不满足要求的，按</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4.6.3</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项</w:t>
      </w:r>
      <w:r>
        <w:rPr>
          <w:rFonts w:ascii="宋体" w:hAnsi="宋体" w:cs="宋体"/>
          <w:color w:val="000000" w:themeColor="text1"/>
          <w:spacing w:val="-3"/>
          <w:sz w:val="24"/>
          <w:highlight w:val="none"/>
          <w14:textFill>
            <w14:solidFill>
              <w14:schemeClr w14:val="tx1"/>
            </w14:solidFill>
          </w14:textFill>
        </w:rPr>
        <w:t>的规定进行违约处理。</w:t>
      </w:r>
    </w:p>
    <w:p w14:paraId="4D308BF3">
      <w:pPr>
        <w:spacing w:line="360" w:lineRule="auto"/>
        <w:ind w:left="9" w:right="27"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（2）机械退出：机械设备达不到额定产能的 85</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%者退出，并按监理人或发包人的要求及时组织性能良好的同类型的机械进驻施工现场。</w:t>
      </w:r>
    </w:p>
    <w:p w14:paraId="420AD44C">
      <w:pPr>
        <w:spacing w:line="360" w:lineRule="auto"/>
        <w:ind w:left="8" w:right="27"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（3）专业队伍退出：在施工过程中累计发生两次生产安全事故或两次较大质量问</w:t>
      </w:r>
      <w:r>
        <w:rPr>
          <w:rFonts w:ascii="宋体" w:hAnsi="宋体" w:cs="宋体"/>
          <w:color w:val="000000" w:themeColor="text1"/>
          <w:spacing w:val="-2"/>
          <w:sz w:val="24"/>
          <w:highlight w:val="none"/>
          <w14:textFill>
            <w14:solidFill>
              <w14:schemeClr w14:val="tx1"/>
            </w14:solidFill>
          </w14:textFill>
        </w:rPr>
        <w:t>题者强制退出。</w:t>
      </w:r>
    </w:p>
    <w:p w14:paraId="72CF219E">
      <w:pPr>
        <w:spacing w:line="360" w:lineRule="auto"/>
        <w:ind w:left="8" w:right="27"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（4）工程进度达不到上述要求，承包人增加人员、设备仍达不到进度要求的，发</w:t>
      </w:r>
      <w:r>
        <w:rPr>
          <w:rFonts w:ascii="宋体" w:hAnsi="宋体" w:cs="宋体"/>
          <w:color w:val="000000" w:themeColor="text1"/>
          <w:spacing w:val="-1"/>
          <w:sz w:val="24"/>
          <w:highlight w:val="none"/>
          <w14:textFill>
            <w14:solidFill>
              <w14:schemeClr w14:val="tx1"/>
            </w14:solidFill>
          </w14:textFill>
        </w:rPr>
        <w:t>包人有权对相应分项工程进行强制分割处理。</w:t>
      </w:r>
    </w:p>
    <w:p w14:paraId="6B140970">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25.1.2</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整体退出</w:t>
      </w:r>
    </w:p>
    <w:p w14:paraId="14D6CE40">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（1）出现转包、非法分包；</w:t>
      </w:r>
    </w:p>
    <w:p w14:paraId="792253B2">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（2）出现重大安全责任，造成严重社会影响；</w:t>
      </w:r>
    </w:p>
    <w:p w14:paraId="09B75924">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（3）出现重大质量事故，严重影响工程质量和进度，造成严重社会影响；</w:t>
      </w:r>
    </w:p>
    <w:p w14:paraId="435776DA">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（4）由承包人自身原因导致使上述计划任务无法完成的；</w:t>
      </w:r>
    </w:p>
    <w:p w14:paraId="21632D2C">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整体退出的施工企业，发包人将建议交通主管部门降低其信用等级。</w:t>
      </w:r>
    </w:p>
    <w:p w14:paraId="4E97DD05">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25.1.3</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退出清算</w:t>
      </w:r>
    </w:p>
    <w:p w14:paraId="09C71739">
      <w:pPr>
        <w:spacing w:line="360" w:lineRule="auto"/>
        <w:ind w:left="12" w:right="27" w:firstLine="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（1）发包人对承包人整体退出本项目工程建设进行公示，并要求承包人对拖欠款</w:t>
      </w:r>
      <w:r>
        <w:rPr>
          <w:rFonts w:ascii="宋体" w:hAnsi="宋体" w:cs="宋体"/>
          <w:color w:val="000000" w:themeColor="text1"/>
          <w:spacing w:val="-2"/>
          <w:sz w:val="24"/>
          <w:highlight w:val="none"/>
          <w14:textFill>
            <w14:solidFill>
              <w14:schemeClr w14:val="tx1"/>
            </w14:solidFill>
          </w14:textFill>
        </w:rPr>
        <w:t>项的单位和个人及时清算。</w:t>
      </w:r>
    </w:p>
    <w:p w14:paraId="3963F556">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（2）发包人扣押履约担保、质量保证金、停止计量支付。</w:t>
      </w:r>
    </w:p>
    <w:p w14:paraId="7B34AB3B">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（3）承包人必须向发包人提交已完成工程的齐全的施工资料。</w:t>
      </w:r>
    </w:p>
    <w:p w14:paraId="53006264">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（4）清算后特殊分包单位的确定原则：</w:t>
      </w:r>
    </w:p>
    <w:p w14:paraId="0D75A5E0">
      <w:pPr>
        <w:spacing w:line="360" w:lineRule="auto"/>
        <w:ind w:left="9" w:right="27" w:firstLine="50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由发包人选择本项目实力较强、质量进度评比</w:t>
      </w:r>
      <w:r>
        <w:rPr>
          <w:rFonts w:ascii="宋体" w:hAnsi="宋体" w:cs="宋体"/>
          <w:color w:val="000000" w:themeColor="text1"/>
          <w:spacing w:val="-3"/>
          <w:sz w:val="24"/>
          <w:highlight w:val="none"/>
          <w14:textFill>
            <w14:solidFill>
              <w14:schemeClr w14:val="tx1"/>
            </w14:solidFill>
          </w14:textFill>
        </w:rPr>
        <w:t>排名靠前的承包单位或由发包人通过</w:t>
      </w:r>
      <w:r>
        <w:rPr>
          <w:rFonts w:ascii="宋体" w:hAnsi="宋体" w:cs="宋体"/>
          <w:color w:val="000000" w:themeColor="text1"/>
          <w:spacing w:val="-1"/>
          <w:sz w:val="24"/>
          <w:highlight w:val="none"/>
          <w14:textFill>
            <w14:solidFill>
              <w14:schemeClr w14:val="tx1"/>
            </w14:solidFill>
          </w14:textFill>
        </w:rPr>
        <w:t>合法方式选择分包单位；</w:t>
      </w:r>
    </w:p>
    <w:p w14:paraId="33B2201A">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分包单位选择情况上报上级行政主管部门；</w:t>
      </w:r>
    </w:p>
    <w:p w14:paraId="3C925E62">
      <w:pPr>
        <w:spacing w:line="360"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特殊分包单位应具备特殊分包工程相对应的资质要求。</w:t>
      </w:r>
    </w:p>
    <w:p w14:paraId="07BDBE5E">
      <w:pPr>
        <w:spacing w:line="360" w:lineRule="auto"/>
        <w:ind w:left="8" w:right="27"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（5）清算后费用承担：特殊分包范围内的项目，由于上述（4）确定的分包价与承</w:t>
      </w:r>
      <w:r>
        <w:rPr>
          <w:rFonts w:ascii="宋体" w:hAnsi="宋体" w:cs="宋体"/>
          <w:color w:val="000000" w:themeColor="text1"/>
          <w:spacing w:val="-1"/>
          <w:sz w:val="24"/>
          <w:highlight w:val="none"/>
          <w14:textFill>
            <w14:solidFill>
              <w14:schemeClr w14:val="tx1"/>
            </w14:solidFill>
          </w14:textFill>
        </w:rPr>
        <w:t>包人合同价产生的价差由承包人承担。</w:t>
      </w:r>
    </w:p>
    <w:p w14:paraId="559F83F2">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（6）承包人应无条件接受，指定特殊分包单位无须向承包人交纳管理费。</w:t>
      </w:r>
    </w:p>
    <w:p w14:paraId="53C28159">
      <w:pPr>
        <w:spacing w:line="360" w:lineRule="auto"/>
        <w:ind w:left="8" w:firstLine="478"/>
        <w:rPr>
          <w:rFonts w:hint="eastAsia" w:ascii="宋体" w:hAnsi="宋体" w:cs="宋体"/>
          <w:color w:val="000000" w:themeColor="text1"/>
          <w:spacing w:val="-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但无论如何，承包人应按发包人要求提供已有的临时设施（如便道、电力线路等）供特殊分包人使用，承包人不得为此要求增加任何费用。</w:t>
      </w:r>
    </w:p>
    <w:p w14:paraId="6F21DEDF">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25.2 工程管理要求</w:t>
      </w:r>
    </w:p>
    <w:p w14:paraId="23299C0B">
      <w:pPr>
        <w:spacing w:line="360" w:lineRule="auto"/>
        <w:ind w:left="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鉴于发包人在项目建设管理过程中将推行交通运输部、广东省关于绿色公路、品质</w:t>
      </w:r>
      <w:r>
        <w:rPr>
          <w:rFonts w:ascii="宋体" w:hAnsi="宋体" w:cs="宋体"/>
          <w:color w:val="000000" w:themeColor="text1"/>
          <w:spacing w:val="-3"/>
          <w:sz w:val="24"/>
          <w:highlight w:val="none"/>
          <w14:textFill>
            <w14:solidFill>
              <w14:schemeClr w14:val="tx1"/>
            </w14:solidFill>
          </w14:textFill>
        </w:rPr>
        <w:t>工程等公路工程现代化管理和公路施工标准化管理，为确保对项目生产一线的有效管理，</w:t>
      </w:r>
      <w:r>
        <w:rPr>
          <w:rFonts w:ascii="宋体" w:hAnsi="宋体" w:cs="宋体"/>
          <w:color w:val="000000" w:themeColor="text1"/>
          <w:spacing w:val="-2"/>
          <w:sz w:val="24"/>
          <w:highlight w:val="none"/>
          <w14:textFill>
            <w14:solidFill>
              <w14:schemeClr w14:val="tx1"/>
            </w14:solidFill>
          </w14:textFill>
        </w:rPr>
        <w:t>承包人在进场施工时应配备足够的车辆用于项目管理现场，直至本项目建成通车。承包人应针对上述管理要求制定相应的工作方案，相应的人员、车辆应报监理人及发包人审</w:t>
      </w:r>
      <w:r>
        <w:rPr>
          <w:rFonts w:ascii="宋体" w:hAnsi="宋体" w:cs="宋体"/>
          <w:color w:val="000000" w:themeColor="text1"/>
          <w:spacing w:val="-5"/>
          <w:sz w:val="24"/>
          <w:highlight w:val="none"/>
          <w14:textFill>
            <w14:solidFill>
              <w14:schemeClr w14:val="tx1"/>
            </w14:solidFill>
          </w14:textFill>
        </w:rPr>
        <w:t>批。</w:t>
      </w:r>
    </w:p>
    <w:p w14:paraId="113EC682">
      <w:pPr>
        <w:spacing w:line="360" w:lineRule="auto"/>
        <w:ind w:left="491"/>
        <w:rPr>
          <w:rFonts w:hint="eastAsia" w:ascii="宋体" w:hAnsi="宋体" w:cs="宋体"/>
          <w:color w:val="000000" w:themeColor="text1"/>
          <w:sz w:val="8"/>
          <w:szCs w:val="8"/>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25.3</w:t>
      </w:r>
      <w:r>
        <w:rPr>
          <w:rFonts w:ascii="宋体" w:hAnsi="宋体" w:cs="宋体"/>
          <w:color w:val="000000" w:themeColor="text1"/>
          <w:spacing w:val="-2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电子文件归档和电子档案管理</w:t>
      </w:r>
    </w:p>
    <w:p w14:paraId="697C260B">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25.4</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过程结算</w:t>
      </w:r>
    </w:p>
    <w:p w14:paraId="74DD396A">
      <w:pPr>
        <w:spacing w:line="360" w:lineRule="auto"/>
        <w:ind w:left="9"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本合同工程执行过程中，建立过程结算制度，开展过程结算工作评价和考核，提高合同结算工作效率。具体执行《广东省交通运输厅关于印发广东省公路建设项目过程结</w:t>
      </w:r>
      <w:r>
        <w:rPr>
          <w:rFonts w:ascii="宋体" w:hAnsi="宋体" w:cs="宋体"/>
          <w:color w:val="000000" w:themeColor="text1"/>
          <w:spacing w:val="-1"/>
          <w:sz w:val="24"/>
          <w:highlight w:val="none"/>
          <w14:textFill>
            <w14:solidFill>
              <w14:schemeClr w14:val="tx1"/>
            </w14:solidFill>
          </w14:textFill>
        </w:rPr>
        <w:t>算工作指导意见的通知》的规定, 并符合以下规定：</w:t>
      </w:r>
    </w:p>
    <w:p w14:paraId="1C90AC12">
      <w:pPr>
        <w:spacing w:line="360" w:lineRule="auto"/>
        <w:ind w:left="7" w:right="181"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1.项目开工前，发包人制订过程结算的目标和计划,按广东省《公路工程造价管理</w:t>
      </w:r>
      <w:r>
        <w:rPr>
          <w:rFonts w:ascii="宋体" w:hAnsi="宋体" w:cs="宋体"/>
          <w:color w:val="000000" w:themeColor="text1"/>
          <w:spacing w:val="-2"/>
          <w:sz w:val="24"/>
          <w:highlight w:val="none"/>
          <w14:textFill>
            <w14:solidFill>
              <w14:schemeClr w14:val="tx1"/>
            </w14:solidFill>
          </w14:textFill>
        </w:rPr>
        <w:t>指南》规定及发包人要求建立标准费用项目、合同工程量清单、图纸工程量三者的对应</w:t>
      </w:r>
      <w:r>
        <w:rPr>
          <w:rFonts w:ascii="宋体" w:hAnsi="宋体" w:cs="宋体"/>
          <w:color w:val="000000" w:themeColor="text1"/>
          <w:spacing w:val="2"/>
          <w:sz w:val="24"/>
          <w:highlight w:val="none"/>
          <w14:textFill>
            <w14:solidFill>
              <w14:schemeClr w14:val="tx1"/>
            </w14:solidFill>
          </w14:textFill>
        </w:rPr>
        <w:t>关系,明确过程结算的结算范围、单元划分、工作程序</w:t>
      </w:r>
      <w:r>
        <w:rPr>
          <w:rFonts w:ascii="宋体" w:hAnsi="宋体" w:cs="宋体"/>
          <w:color w:val="000000" w:themeColor="text1"/>
          <w:spacing w:val="1"/>
          <w:sz w:val="24"/>
          <w:highlight w:val="none"/>
          <w14:textFill>
            <w14:solidFill>
              <w14:schemeClr w14:val="tx1"/>
            </w14:solidFill>
          </w14:textFill>
        </w:rPr>
        <w:t>和考核标准等。承包人应配备专</w:t>
      </w:r>
      <w:r>
        <w:rPr>
          <w:rFonts w:ascii="宋体" w:hAnsi="宋体" w:cs="宋体"/>
          <w:color w:val="000000" w:themeColor="text1"/>
          <w:spacing w:val="-2"/>
          <w:sz w:val="24"/>
          <w:highlight w:val="none"/>
          <w14:textFill>
            <w14:solidFill>
              <w14:schemeClr w14:val="tx1"/>
            </w14:solidFill>
          </w14:textFill>
        </w:rPr>
        <w:t>业人员、明确责任领导，按计划编制过程结算文件，将结算计划纳入总体施工组织设计</w:t>
      </w:r>
      <w:r>
        <w:rPr>
          <w:rFonts w:ascii="宋体" w:hAnsi="宋体" w:cs="宋体"/>
          <w:color w:val="000000" w:themeColor="text1"/>
          <w:spacing w:val="-1"/>
          <w:sz w:val="24"/>
          <w:highlight w:val="none"/>
          <w14:textFill>
            <w14:solidFill>
              <w14:schemeClr w14:val="tx1"/>
            </w14:solidFill>
          </w14:textFill>
        </w:rPr>
        <w:t>内容, 作为开工报告组成部分。</w:t>
      </w:r>
    </w:p>
    <w:p w14:paraId="4B6DCA91">
      <w:pPr>
        <w:spacing w:line="360" w:lineRule="auto"/>
        <w:ind w:left="11"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2.发包人、承包人均应保障承担过程结算工作人员的配置和稳定, 做到过程结算和</w:t>
      </w:r>
      <w:r>
        <w:rPr>
          <w:rFonts w:ascii="宋体" w:hAnsi="宋体" w:cs="宋体"/>
          <w:color w:val="000000" w:themeColor="text1"/>
          <w:spacing w:val="-1"/>
          <w:sz w:val="24"/>
          <w:highlight w:val="none"/>
          <w14:textFill>
            <w14:solidFill>
              <w14:schemeClr w14:val="tx1"/>
            </w14:solidFill>
          </w14:textFill>
        </w:rPr>
        <w:t>工程建设同步推进、应结尽结。</w:t>
      </w:r>
    </w:p>
    <w:p w14:paraId="05D43FD0">
      <w:pPr>
        <w:spacing w:line="360" w:lineRule="auto"/>
        <w:ind w:left="7" w:right="181"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3.结算单元按合同约定完成并通过质量中间验收，原则上按项目专用合同条款数据</w:t>
      </w:r>
      <w:r>
        <w:rPr>
          <w:rFonts w:ascii="宋体" w:hAnsi="宋体" w:cs="宋体"/>
          <w:color w:val="000000" w:themeColor="text1"/>
          <w:spacing w:val="-1"/>
          <w:sz w:val="24"/>
          <w:highlight w:val="none"/>
          <w14:textFill>
            <w14:solidFill>
              <w14:schemeClr w14:val="tx1"/>
            </w14:solidFill>
          </w14:textFill>
        </w:rPr>
        <w:t>表约定的时间完成过程结算文件的编制、审核、签认工作。</w:t>
      </w:r>
    </w:p>
    <w:p w14:paraId="60067A2C">
      <w:pPr>
        <w:spacing w:line="360" w:lineRule="auto"/>
        <w:ind w:left="9" w:right="181" w:firstLine="47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承包人应按工程档案管理要求，对每一期过程结算文件及相关支撑资料同步进行收集、整理、排序、编目组卷，并同步编制竣工图，并报监理、建设单位确认，构成公路建设项目竣工档案资料的组成部分。归档资料应包括隐蔽工程的影像记录、测量记录和数量计算表等。</w:t>
      </w:r>
    </w:p>
    <w:p w14:paraId="77BF1CD0">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5.未按要求完成过程结算的费用项, 按项目</w:t>
      </w:r>
      <w:r>
        <w:rPr>
          <w:rFonts w:ascii="宋体" w:hAnsi="宋体" w:cs="宋体"/>
          <w:color w:val="000000" w:themeColor="text1"/>
          <w:spacing w:val="-1"/>
          <w:sz w:val="24"/>
          <w:highlight w:val="none"/>
          <w14:textFill>
            <w14:solidFill>
              <w14:schemeClr w14:val="tx1"/>
            </w14:solidFill>
          </w14:textFill>
        </w:rPr>
        <w:t>专用合同条款数据表约定内容执行。</w:t>
      </w:r>
    </w:p>
    <w:p w14:paraId="23D514D4">
      <w:pPr>
        <w:spacing w:line="360" w:lineRule="auto"/>
        <w:ind w:left="10" w:right="18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6.发包人、承包人签署认可的过程结算文件, 是最终结算文件和竣工决算文件的组</w:t>
      </w:r>
      <w:r>
        <w:rPr>
          <w:rFonts w:ascii="宋体" w:hAnsi="宋体" w:cs="宋体"/>
          <w:color w:val="000000" w:themeColor="text1"/>
          <w:sz w:val="24"/>
          <w:highlight w:val="none"/>
          <w14:textFill>
            <w14:solidFill>
              <w14:schemeClr w14:val="tx1"/>
            </w14:solidFill>
          </w14:textFill>
        </w:rPr>
        <w:t>成部分,具有法律效力, 最终结算时不需对已确</w:t>
      </w:r>
      <w:r>
        <w:rPr>
          <w:rFonts w:ascii="宋体" w:hAnsi="宋体" w:cs="宋体"/>
          <w:color w:val="000000" w:themeColor="text1"/>
          <w:spacing w:val="-1"/>
          <w:sz w:val="24"/>
          <w:highlight w:val="none"/>
          <w14:textFill>
            <w14:solidFill>
              <w14:schemeClr w14:val="tx1"/>
            </w14:solidFill>
          </w14:textFill>
        </w:rPr>
        <w:t>认的过程结算重新办理确认。</w:t>
      </w:r>
    </w:p>
    <w:p w14:paraId="6025F604">
      <w:pPr>
        <w:spacing w:line="360" w:lineRule="auto"/>
        <w:ind w:left="491"/>
        <w:rPr>
          <w:color w:val="000000" w:themeColor="text1"/>
          <w:highlight w:val="none"/>
          <w14:textFill>
            <w14:solidFill>
              <w14:schemeClr w14:val="tx1"/>
            </w14:solidFill>
          </w14:textFill>
        </w:rPr>
      </w:pPr>
      <w:bookmarkStart w:id="324" w:name="bookmark330"/>
      <w:bookmarkEnd w:id="324"/>
      <w:r>
        <w:rPr>
          <w:rFonts w:ascii="宋体" w:hAnsi="宋体" w:cs="宋体"/>
          <w:color w:val="000000" w:themeColor="text1"/>
          <w:spacing w:val="-3"/>
          <w:sz w:val="24"/>
          <w:highlight w:val="none"/>
          <w14:textFill>
            <w14:solidFill>
              <w14:schemeClr w14:val="tx1"/>
            </w14:solidFill>
          </w14:textFill>
        </w:rPr>
        <w:t>25.5</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合同结算</w:t>
      </w:r>
    </w:p>
    <w:p w14:paraId="4C97091A">
      <w:pPr>
        <w:spacing w:line="360" w:lineRule="auto"/>
        <w:ind w:left="8"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合同工程交工验收后，承包人应保障结算工作人员的配置和稳定，按《广东省交通运输厅关于印发广东省公路建设项目竣工决算实行备案制管理的通知》和广东省《公路工程造价管理指南》的具体要求完成结算工作，发包人可根据项目实际情况制定相应的奖罚措施。</w:t>
      </w:r>
    </w:p>
    <w:p w14:paraId="2387559B">
      <w:pPr>
        <w:spacing w:line="360" w:lineRule="auto"/>
        <w:ind w:left="10"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为了按期完成工程竣工决算审查备案、审计及竣工验收工作，如发包人和承包人对结算确实存在分歧，经双方协商未果情况下，发包人有权进行合同暂定结算，争议费用按合同条款第</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24</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条款执行，承包人须无条件接受。</w:t>
      </w:r>
    </w:p>
    <w:p w14:paraId="6FC4D9EB">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25.6</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保密要求和舆情管理</w:t>
      </w:r>
    </w:p>
    <w:p w14:paraId="2A092474">
      <w:pPr>
        <w:spacing w:line="360" w:lineRule="auto"/>
        <w:ind w:left="7"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项目对信息保密和舆情管理有严格要求。承包人需严格按照发包人的要求落实本项目的保密工作。承包人应做好或配合发包人或上级部门要求的关于本项目的舆情、舆论等管理、宣传及突发情况下舆情的应对处置工作。承包人相关要求或措施落实不到位或因承包人原因出现较为严重的负面舆情事故的，发包人除给予承包人违约金处罚外，</w:t>
      </w:r>
      <w:r>
        <w:rPr>
          <w:rFonts w:ascii="宋体" w:hAnsi="宋体" w:cs="宋体"/>
          <w:color w:val="000000" w:themeColor="text1"/>
          <w:spacing w:val="-1"/>
          <w:sz w:val="24"/>
          <w:highlight w:val="none"/>
          <w14:textFill>
            <w14:solidFill>
              <w14:schemeClr w14:val="tx1"/>
            </w14:solidFill>
          </w14:textFill>
        </w:rPr>
        <w:t>还将视情况严重程度上报上级部门采取进一步处罚措施。</w:t>
      </w:r>
    </w:p>
    <w:p w14:paraId="394972B6">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25.7</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用好信用管理抓手</w:t>
      </w:r>
    </w:p>
    <w:p w14:paraId="6390AEF9">
      <w:pPr>
        <w:spacing w:line="360" w:lineRule="auto"/>
        <w:ind w:left="7"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针对公路项目建设各层次单位与个人建立全过程、全覆盖的实名制数字化信用管理模式，做好从下而上、从人员到单位的穿透式、联动式信用评价管理工作，推行“红黑名单</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”管理。压实发包人履约信用管理的首要责任，加</w:t>
      </w:r>
      <w:r>
        <w:rPr>
          <w:rFonts w:ascii="宋体" w:hAnsi="宋体" w:cs="宋体"/>
          <w:color w:val="000000" w:themeColor="text1"/>
          <w:spacing w:val="-3"/>
          <w:sz w:val="24"/>
          <w:highlight w:val="none"/>
          <w14:textFill>
            <w14:solidFill>
              <w14:schemeClr w14:val="tx1"/>
            </w14:solidFill>
          </w14:textFill>
        </w:rPr>
        <w:t>强承包人履约信用管理，开展施</w:t>
      </w:r>
      <w:r>
        <w:rPr>
          <w:rFonts w:ascii="宋体" w:hAnsi="宋体" w:cs="宋体"/>
          <w:color w:val="000000" w:themeColor="text1"/>
          <w:spacing w:val="-2"/>
          <w:sz w:val="24"/>
          <w:highlight w:val="none"/>
          <w14:textFill>
            <w14:solidFill>
              <w14:schemeClr w14:val="tx1"/>
            </w14:solidFill>
          </w14:textFill>
        </w:rPr>
        <w:t>工的分包单位、劳务合作单位、施工班组的履约信用管理，推行全员实名制管理，为公</w:t>
      </w:r>
      <w:r>
        <w:rPr>
          <w:rFonts w:ascii="宋体" w:hAnsi="宋体" w:cs="宋体"/>
          <w:color w:val="000000" w:themeColor="text1"/>
          <w:spacing w:val="-1"/>
          <w:sz w:val="24"/>
          <w:highlight w:val="none"/>
          <w14:textFill>
            <w14:solidFill>
              <w14:schemeClr w14:val="tx1"/>
            </w14:solidFill>
          </w14:textFill>
        </w:rPr>
        <w:t>路建设项目管理改革提供信用保障。</w:t>
      </w:r>
    </w:p>
    <w:p w14:paraId="7E5E1EE5">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25.8</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数字技术赋能管理</w:t>
      </w:r>
    </w:p>
    <w:p w14:paraId="075F4216">
      <w:pPr>
        <w:spacing w:line="360" w:lineRule="auto"/>
        <w:ind w:left="11" w:right="8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建设各方应积极应用数字化、智慧化技术，推进数字化平台建设和数据共享，落实项目建设穿透式全过程数字化管理。贯彻落实</w:t>
      </w:r>
      <w:r>
        <w:rPr>
          <w:rFonts w:ascii="宋体" w:hAnsi="宋体" w:cs="宋体"/>
          <w:color w:val="000000" w:themeColor="text1"/>
          <w:spacing w:val="-3"/>
          <w:sz w:val="24"/>
          <w:highlight w:val="none"/>
          <w14:textFill>
            <w14:solidFill>
              <w14:schemeClr w14:val="tx1"/>
            </w14:solidFill>
          </w14:textFill>
        </w:rPr>
        <w:t>“一套模型、一套数据</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”的智慧公路建设</w:t>
      </w:r>
      <w:r>
        <w:rPr>
          <w:rFonts w:ascii="宋体" w:hAnsi="宋体" w:cs="宋体"/>
          <w:color w:val="000000" w:themeColor="text1"/>
          <w:spacing w:val="-2"/>
          <w:sz w:val="24"/>
          <w:highlight w:val="none"/>
          <w14:textFill>
            <w14:solidFill>
              <w14:schemeClr w14:val="tx1"/>
            </w14:solidFill>
          </w14:textFill>
        </w:rPr>
        <w:t>理念。以数据资源为关键要素，探索推动公路建设项目的数字化交付，推进全生命周期</w:t>
      </w:r>
      <w:r>
        <w:rPr>
          <w:rFonts w:ascii="宋体" w:hAnsi="宋体" w:cs="宋体"/>
          <w:color w:val="000000" w:themeColor="text1"/>
          <w:spacing w:val="-1"/>
          <w:sz w:val="24"/>
          <w:highlight w:val="none"/>
          <w14:textFill>
            <w14:solidFill>
              <w14:schemeClr w14:val="tx1"/>
            </w14:solidFill>
          </w14:textFill>
        </w:rPr>
        <w:t>一体化数据共享，加快实现工程建设提质增效，提升安全韧性水平。</w:t>
      </w:r>
    </w:p>
    <w:p w14:paraId="4D0FC966">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25.9</w:t>
      </w:r>
      <w:r>
        <w:rPr>
          <w:rFonts w:ascii="宋体" w:hAnsi="宋体" w:cs="宋体"/>
          <w:color w:val="000000" w:themeColor="text1"/>
          <w:spacing w:val="-4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本合同未尽事宜</w:t>
      </w:r>
    </w:p>
    <w:p w14:paraId="2E938F08">
      <w:pPr>
        <w:spacing w:line="360" w:lineRule="auto"/>
        <w:ind w:left="13" w:right="80" w:firstLine="47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本合同未能明确的有关规定，如质量管理、计划管理、计量与支付管理、台帐管理办法、变更管理、材料管理、安全管理、有关评比方案以及奖惩办法等，按发包人在项</w:t>
      </w:r>
      <w:r>
        <w:rPr>
          <w:rFonts w:ascii="宋体" w:hAnsi="宋体" w:cs="宋体"/>
          <w:color w:val="000000" w:themeColor="text1"/>
          <w:spacing w:val="-1"/>
          <w:sz w:val="24"/>
          <w:highlight w:val="none"/>
          <w14:textFill>
            <w14:solidFill>
              <w14:schemeClr w14:val="tx1"/>
            </w14:solidFill>
          </w14:textFill>
        </w:rPr>
        <w:t>目建设管理过程中颁发的项目管理手册或另行发布的相关管理办法执行。</w:t>
      </w:r>
    </w:p>
    <w:p w14:paraId="4773FA08">
      <w:pPr>
        <w:spacing w:line="360" w:lineRule="auto"/>
        <w:ind w:left="10" w:firstLine="481"/>
        <w:rPr>
          <w:rFonts w:hint="eastAsia" w:ascii="宋体" w:hAnsi="宋体" w:cs="宋体"/>
          <w:color w:val="000000" w:themeColor="text1"/>
          <w:spacing w:val="-6"/>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发包人对项目实施动态管理，根据工程进展情况及项目目标实现情况，通过修正专</w:t>
      </w:r>
      <w:r>
        <w:rPr>
          <w:rFonts w:ascii="宋体" w:hAnsi="宋体" w:cs="宋体"/>
          <w:color w:val="000000" w:themeColor="text1"/>
          <w:spacing w:val="-6"/>
          <w:sz w:val="24"/>
          <w:highlight w:val="none"/>
          <w14:textFill>
            <w14:solidFill>
              <w14:schemeClr w14:val="tx1"/>
            </w14:solidFill>
          </w14:textFill>
        </w:rPr>
        <w:t>用项目管理制度，不断建设完善项目管理责任体系，承包人须积极配合并无条件的接受。</w:t>
      </w:r>
    </w:p>
    <w:p w14:paraId="4DFD238E">
      <w:pPr>
        <w:spacing w:line="360" w:lineRule="auto"/>
        <w:ind w:left="6"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承包人应根据政府相关规定、合同要求、项目特点、工程项目相关方数字化应用水</w:t>
      </w:r>
      <w:r>
        <w:rPr>
          <w:rFonts w:ascii="宋体" w:hAnsi="宋体" w:cs="宋体"/>
          <w:color w:val="000000" w:themeColor="text1"/>
          <w:spacing w:val="-1"/>
          <w:sz w:val="24"/>
          <w:highlight w:val="none"/>
          <w14:textFill>
            <w14:solidFill>
              <w14:schemeClr w14:val="tx1"/>
            </w14:solidFill>
          </w14:textFill>
        </w:rPr>
        <w:t>平等综合确定数字化系统建设范围；数字化系统建设宜覆盖包</w:t>
      </w:r>
      <w:r>
        <w:rPr>
          <w:rFonts w:ascii="宋体" w:hAnsi="宋体" w:cs="宋体"/>
          <w:color w:val="000000" w:themeColor="text1"/>
          <w:spacing w:val="-2"/>
          <w:sz w:val="24"/>
          <w:highlight w:val="none"/>
          <w14:textFill>
            <w14:solidFill>
              <w14:schemeClr w14:val="tx1"/>
            </w14:solidFill>
          </w14:textFill>
        </w:rPr>
        <w:t>括质量管理、安全管理、</w:t>
      </w:r>
      <w:r>
        <w:rPr>
          <w:rFonts w:ascii="宋体" w:hAnsi="宋体" w:cs="宋体"/>
          <w:color w:val="000000" w:themeColor="text1"/>
          <w:sz w:val="24"/>
          <w:highlight w:val="none"/>
          <w14:textFill>
            <w14:solidFill>
              <w14:schemeClr w14:val="tx1"/>
            </w14:solidFill>
          </w14:textFill>
        </w:rPr>
        <w:t>进度管理、分包管理、物资管理、设备管理、档案管理等项</w:t>
      </w:r>
      <w:r>
        <w:rPr>
          <w:rFonts w:ascii="宋体" w:hAnsi="宋体" w:cs="宋体"/>
          <w:color w:val="000000" w:themeColor="text1"/>
          <w:spacing w:val="-1"/>
          <w:sz w:val="24"/>
          <w:highlight w:val="none"/>
          <w14:textFill>
            <w14:solidFill>
              <w14:schemeClr w14:val="tx1"/>
            </w14:solidFill>
          </w14:textFill>
        </w:rPr>
        <w:t>目生产管理全要素。</w:t>
      </w:r>
    </w:p>
    <w:p w14:paraId="75A3DECA">
      <w:pPr>
        <w:spacing w:line="361" w:lineRule="auto"/>
        <w:rPr>
          <w:rFonts w:hint="eastAsia" w:ascii="宋体" w:hAnsi="宋体" w:cs="宋体"/>
          <w:color w:val="000000" w:themeColor="text1"/>
          <w:sz w:val="24"/>
          <w:highlight w:val="none"/>
          <w14:textFill>
            <w14:solidFill>
              <w14:schemeClr w14:val="tx1"/>
            </w14:solidFill>
          </w14:textFill>
        </w:rPr>
      </w:pPr>
    </w:p>
    <w:p w14:paraId="3C65411F">
      <w:pPr>
        <w:spacing w:line="361" w:lineRule="auto"/>
        <w:rPr>
          <w:rFonts w:hint="eastAsia" w:ascii="宋体" w:hAnsi="宋体" w:cs="宋体"/>
          <w:color w:val="000000" w:themeColor="text1"/>
          <w:sz w:val="24"/>
          <w:highlight w:val="none"/>
          <w14:textFill>
            <w14:solidFill>
              <w14:schemeClr w14:val="tx1"/>
            </w14:solidFill>
          </w14:textFill>
        </w:rPr>
        <w:sectPr>
          <w:headerReference r:id="rId63" w:type="default"/>
          <w:footerReference r:id="rId64" w:type="default"/>
          <w:pgSz w:w="11906" w:h="16839"/>
          <w:pgMar w:top="1182" w:right="1409" w:bottom="1168" w:left="1417" w:header="849" w:footer="934" w:gutter="0"/>
          <w:cols w:space="720" w:num="1"/>
        </w:sectPr>
      </w:pPr>
    </w:p>
    <w:p w14:paraId="42B65C9C">
      <w:pPr>
        <w:pStyle w:val="69"/>
        <w:rPr>
          <w:rFonts w:hint="eastAsia" w:hAnsi="宋体" w:cs="宋体"/>
          <w:color w:val="000000" w:themeColor="text1"/>
          <w:sz w:val="24"/>
          <w:highlight w:val="none"/>
          <w14:textFill>
            <w14:solidFill>
              <w14:schemeClr w14:val="tx1"/>
            </w14:solidFill>
          </w14:textFill>
        </w:rPr>
      </w:pPr>
    </w:p>
    <w:p w14:paraId="52403ACE">
      <w:pPr>
        <w:pStyle w:val="4"/>
        <w:spacing w:after="120" w:line="240" w:lineRule="auto"/>
        <w:jc w:val="center"/>
        <w:rPr>
          <w:rFonts w:ascii="宋体"/>
          <w:color w:val="000000" w:themeColor="text1"/>
          <w:highlight w:val="none"/>
          <w14:textFill>
            <w14:solidFill>
              <w14:schemeClr w14:val="tx1"/>
            </w14:solidFill>
          </w14:textFill>
        </w:rPr>
      </w:pPr>
      <w:bookmarkStart w:id="325" w:name="_Toc19027"/>
      <w:bookmarkStart w:id="326" w:name="_Toc5334"/>
      <w:r>
        <w:rPr>
          <w:rFonts w:hint="eastAsia" w:ascii="宋体" w:hAnsi="宋体"/>
          <w:color w:val="000000" w:themeColor="text1"/>
          <w:highlight w:val="none"/>
          <w14:textFill>
            <w14:solidFill>
              <w14:schemeClr w14:val="tx1"/>
            </w14:solidFill>
          </w14:textFill>
        </w:rPr>
        <w:t>第三节</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合同附件格式</w:t>
      </w:r>
      <w:bookmarkEnd w:id="145"/>
      <w:bookmarkEnd w:id="146"/>
      <w:bookmarkEnd w:id="325"/>
      <w:bookmarkEnd w:id="326"/>
    </w:p>
    <w:p w14:paraId="7B98164A">
      <w:pPr>
        <w:rPr>
          <w:rFonts w:ascii="宋体"/>
          <w:color w:val="000000" w:themeColor="text1"/>
          <w:sz w:val="24"/>
          <w:highlight w:val="none"/>
          <w14:textFill>
            <w14:solidFill>
              <w14:schemeClr w14:val="tx1"/>
            </w14:solidFill>
          </w14:textFill>
        </w:rPr>
      </w:pPr>
    </w:p>
    <w:p w14:paraId="63A55584">
      <w:pPr>
        <w:pStyle w:val="74"/>
        <w:spacing w:line="360" w:lineRule="auto"/>
        <w:rPr>
          <w:rFonts w:ascii="宋体"/>
          <w:color w:val="000000" w:themeColor="text1"/>
          <w:sz w:val="24"/>
          <w:szCs w:val="24"/>
          <w:highlight w:val="none"/>
          <w14:textFill>
            <w14:solidFill>
              <w14:schemeClr w14:val="tx1"/>
            </w14:solidFill>
          </w14:textFill>
        </w:rPr>
      </w:pPr>
      <w:bookmarkStart w:id="327" w:name="_Toc14535"/>
      <w:bookmarkStart w:id="328" w:name="_Toc4937"/>
      <w:bookmarkStart w:id="329" w:name="_Toc15175"/>
      <w:r>
        <w:rPr>
          <w:rFonts w:hint="eastAsia" w:ascii="宋体" w:hAnsi="宋体"/>
          <w:color w:val="000000" w:themeColor="text1"/>
          <w:sz w:val="24"/>
          <w:szCs w:val="24"/>
          <w:highlight w:val="none"/>
          <w14:textFill>
            <w14:solidFill>
              <w14:schemeClr w14:val="tx1"/>
            </w14:solidFill>
          </w14:textFill>
        </w:rPr>
        <w:t>附件一</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合同协议书</w:t>
      </w:r>
      <w:bookmarkEnd w:id="327"/>
      <w:bookmarkEnd w:id="328"/>
      <w:bookmarkEnd w:id="329"/>
    </w:p>
    <w:p w14:paraId="28E63F29">
      <w:pPr>
        <w:rPr>
          <w:rFonts w:ascii="宋体"/>
          <w:color w:val="000000" w:themeColor="text1"/>
          <w:sz w:val="24"/>
          <w:highlight w:val="none"/>
          <w14:textFill>
            <w14:solidFill>
              <w14:schemeClr w14:val="tx1"/>
            </w14:solidFill>
          </w14:textFill>
        </w:rPr>
      </w:pPr>
    </w:p>
    <w:p w14:paraId="7280A718">
      <w:pPr>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合同协议书</w:t>
      </w:r>
    </w:p>
    <w:p w14:paraId="46CC5F2D">
      <w:pPr>
        <w:rPr>
          <w:rFonts w:ascii="宋体"/>
          <w:color w:val="000000" w:themeColor="text1"/>
          <w:sz w:val="24"/>
          <w:highlight w:val="none"/>
          <w14:textFill>
            <w14:solidFill>
              <w14:schemeClr w14:val="tx1"/>
            </w14:solidFill>
          </w14:textFill>
        </w:rPr>
      </w:pPr>
    </w:p>
    <w:p w14:paraId="2077119E">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（发包人名称，以下简称</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发包人</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）为实施</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（项目名称），已接受</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（承包人名称，以下简称</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承包人</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）对该项目</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标段施工的投标。发包人和承包人共同达成如下协议。</w:t>
      </w:r>
    </w:p>
    <w:p w14:paraId="119D5EDE">
      <w:pPr>
        <w:spacing w:line="400" w:lineRule="exact"/>
        <w:ind w:firstLine="480" w:firstLineChars="200"/>
        <w:rPr>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标段由</w:t>
      </w:r>
      <w:r>
        <w:rPr>
          <w:rFonts w:ascii="宋体" w:hAnsi="宋体"/>
          <w:color w:val="000000" w:themeColor="text1"/>
          <w:sz w:val="24"/>
          <w:highlight w:val="none"/>
          <w14:textFill>
            <w14:solidFill>
              <w14:schemeClr w14:val="tx1"/>
            </w14:solidFill>
          </w14:textFill>
        </w:rPr>
        <w:t>K</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至</w:t>
      </w:r>
      <w:r>
        <w:rPr>
          <w:rFonts w:ascii="宋体" w:hAnsi="宋体"/>
          <w:color w:val="000000" w:themeColor="text1"/>
          <w:sz w:val="24"/>
          <w:highlight w:val="none"/>
          <w14:textFill>
            <w14:solidFill>
              <w14:schemeClr w14:val="tx1"/>
            </w14:solidFill>
          </w14:textFill>
        </w:rPr>
        <w:t>K</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，长约</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km</w:t>
      </w:r>
      <w:r>
        <w:rPr>
          <w:rFonts w:hint="eastAsia" w:ascii="宋体" w:hAnsi="宋体"/>
          <w:color w:val="000000" w:themeColor="text1"/>
          <w:sz w:val="24"/>
          <w:highlight w:val="none"/>
          <w14:textFill>
            <w14:solidFill>
              <w14:schemeClr w14:val="tx1"/>
            </w14:solidFill>
          </w14:textFill>
        </w:rPr>
        <w:t>，公路等级为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，设计时速为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路面，有</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立交</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处；特大桥</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座，计长</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m</w:t>
      </w:r>
      <w:r>
        <w:rPr>
          <w:rFonts w:hint="eastAsia" w:ascii="宋体" w:hAnsi="宋体"/>
          <w:color w:val="000000" w:themeColor="text1"/>
          <w:sz w:val="24"/>
          <w:highlight w:val="none"/>
          <w14:textFill>
            <w14:solidFill>
              <w14:schemeClr w14:val="tx1"/>
            </w14:solidFill>
          </w14:textFill>
        </w:rPr>
        <w:t>；大中桥</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座，计长</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m</w:t>
      </w:r>
      <w:r>
        <w:rPr>
          <w:rFonts w:hint="eastAsia" w:ascii="宋体" w:hAnsi="宋体"/>
          <w:color w:val="000000" w:themeColor="text1"/>
          <w:sz w:val="24"/>
          <w:highlight w:val="none"/>
          <w14:textFill>
            <w14:solidFill>
              <w14:schemeClr w14:val="tx1"/>
            </w14:solidFill>
          </w14:textFill>
        </w:rPr>
        <w:t>；隧道</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座，计长</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m</w:t>
      </w:r>
      <w:r>
        <w:rPr>
          <w:rFonts w:hint="eastAsia" w:ascii="宋体" w:hAnsi="宋体"/>
          <w:color w:val="000000" w:themeColor="text1"/>
          <w:sz w:val="24"/>
          <w:highlight w:val="none"/>
          <w14:textFill>
            <w14:solidFill>
              <w14:schemeClr w14:val="tx1"/>
            </w14:solidFill>
          </w14:textFill>
        </w:rPr>
        <w:t>以及其他构造物工程等。</w:t>
      </w:r>
    </w:p>
    <w:p w14:paraId="2FF2B802">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2. </w:t>
      </w:r>
      <w:r>
        <w:rPr>
          <w:rFonts w:hint="eastAsia" w:ascii="宋体" w:hAnsi="宋体"/>
          <w:color w:val="000000" w:themeColor="text1"/>
          <w:sz w:val="24"/>
          <w:highlight w:val="none"/>
          <w14:textFill>
            <w14:solidFill>
              <w14:schemeClr w14:val="tx1"/>
            </w14:solidFill>
          </w14:textFill>
        </w:rPr>
        <w:t>下列文件应视为构成合同文件的组成部分：</w:t>
      </w:r>
    </w:p>
    <w:p w14:paraId="5C8B12EE">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）本协议书及各种合同附件（含评标期间和合同谈判过程中的澄清文件和补充资料）；</w:t>
      </w:r>
    </w:p>
    <w:p w14:paraId="2C699EB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）中标通知书；</w:t>
      </w:r>
    </w:p>
    <w:p w14:paraId="008E1E8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）投标函及投标函附录；</w:t>
      </w:r>
    </w:p>
    <w:p w14:paraId="45A63BBD">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）项目专用合同条款；</w:t>
      </w:r>
    </w:p>
    <w:p w14:paraId="0F9B2127">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）公路工程专用合同条款；</w:t>
      </w:r>
    </w:p>
    <w:p w14:paraId="0FD7060D">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）通用合同条款；</w:t>
      </w:r>
    </w:p>
    <w:p w14:paraId="0BDD7B20">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）工程量清单计量规则；</w:t>
      </w:r>
    </w:p>
    <w:p w14:paraId="2F0DBC88">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）技术规范；</w:t>
      </w:r>
    </w:p>
    <w:p w14:paraId="66F189F6">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）图纸；</w:t>
      </w:r>
    </w:p>
    <w:p w14:paraId="231D2B41">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）已标价工程量清单；</w:t>
      </w:r>
    </w:p>
    <w:p w14:paraId="43254095">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11</w:t>
      </w:r>
      <w:r>
        <w:rPr>
          <w:rFonts w:hint="eastAsia" w:ascii="宋体" w:hAnsi="宋体"/>
          <w:color w:val="000000" w:themeColor="text1"/>
          <w:sz w:val="24"/>
          <w:highlight w:val="none"/>
          <w14:textFill>
            <w14:solidFill>
              <w14:schemeClr w14:val="tx1"/>
            </w14:solidFill>
          </w14:textFill>
        </w:rPr>
        <w:t>）承包人有关人员、设备投入的承诺及投标文件中的施工组织设计；</w:t>
      </w:r>
    </w:p>
    <w:p w14:paraId="1BFF7B07">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12</w:t>
      </w:r>
      <w:r>
        <w:rPr>
          <w:rFonts w:hint="eastAsia" w:ascii="宋体" w:hAnsi="宋体"/>
          <w:color w:val="000000" w:themeColor="text1"/>
          <w:sz w:val="24"/>
          <w:highlight w:val="none"/>
          <w14:textFill>
            <w14:solidFill>
              <w14:schemeClr w14:val="tx1"/>
            </w14:solidFill>
          </w14:textFill>
        </w:rPr>
        <w:t>）其他合同文件。</w:t>
      </w:r>
    </w:p>
    <w:p w14:paraId="431F5D2E">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上述合同文件互相补充和解释。如有合同文件之间存在矛盾或不一致之处，以上述文件的排列顺序在先者为准。</w:t>
      </w:r>
    </w:p>
    <w:p w14:paraId="0654E9A8">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3. </w:t>
      </w:r>
      <w:r>
        <w:rPr>
          <w:rFonts w:hint="eastAsia" w:ascii="宋体" w:hAnsi="宋体"/>
          <w:color w:val="000000" w:themeColor="text1"/>
          <w:sz w:val="24"/>
          <w:highlight w:val="none"/>
          <w14:textFill>
            <w14:solidFill>
              <w14:schemeClr w14:val="tx1"/>
            </w14:solidFill>
          </w14:textFill>
        </w:rPr>
        <w:t>根据工程量清单所列的预计数量和单价或总额价计算的签约合同价：人民币（大写）</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元（</w:t>
      </w:r>
      <w:r>
        <w:rPr>
          <w:rFonts w:hint="eastAsia" w:asci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49A13B0F">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4. </w:t>
      </w:r>
      <w:r>
        <w:rPr>
          <w:rFonts w:hint="eastAsia" w:ascii="宋体" w:hAnsi="宋体"/>
          <w:color w:val="000000" w:themeColor="text1"/>
          <w:sz w:val="24"/>
          <w:highlight w:val="none"/>
          <w14:textFill>
            <w14:solidFill>
              <w14:schemeClr w14:val="tx1"/>
            </w14:solidFill>
          </w14:textFill>
        </w:rPr>
        <w:t>承包人项目经理：</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。承包人项目总工：</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2DF305F4">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5. </w:t>
      </w:r>
      <w:r>
        <w:rPr>
          <w:rFonts w:hint="eastAsia" w:ascii="宋体" w:hAnsi="宋体"/>
          <w:color w:val="000000" w:themeColor="text1"/>
          <w:sz w:val="24"/>
          <w:highlight w:val="none"/>
          <w14:textFill>
            <w14:solidFill>
              <w14:schemeClr w14:val="tx1"/>
            </w14:solidFill>
          </w14:textFill>
        </w:rPr>
        <w:t>工程质量符合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标准。工程安全目标：</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54234176">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6. </w:t>
      </w:r>
      <w:r>
        <w:rPr>
          <w:rFonts w:hint="eastAsia" w:ascii="宋体" w:hAnsi="宋体"/>
          <w:color w:val="000000" w:themeColor="text1"/>
          <w:sz w:val="24"/>
          <w:highlight w:val="none"/>
          <w14:textFill>
            <w14:solidFill>
              <w14:schemeClr w14:val="tx1"/>
            </w14:solidFill>
          </w14:textFill>
        </w:rPr>
        <w:t>承包人承诺按合同约定承担工程的实施、完成及缺陷修复。</w:t>
      </w:r>
    </w:p>
    <w:p w14:paraId="10B7CF5A">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7. </w:t>
      </w:r>
      <w:r>
        <w:rPr>
          <w:rFonts w:hint="eastAsia" w:ascii="宋体" w:hAnsi="宋体"/>
          <w:color w:val="000000" w:themeColor="text1"/>
          <w:sz w:val="24"/>
          <w:highlight w:val="none"/>
          <w14:textFill>
            <w14:solidFill>
              <w14:schemeClr w14:val="tx1"/>
            </w14:solidFill>
          </w14:textFill>
        </w:rPr>
        <w:t>发包人承诺按合同约定的条件、时间和方式向承包人支付合同价款。</w:t>
      </w:r>
    </w:p>
    <w:p w14:paraId="79566160">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8. </w:t>
      </w:r>
      <w:r>
        <w:rPr>
          <w:rFonts w:hint="eastAsia" w:ascii="宋体" w:hAnsi="宋体"/>
          <w:color w:val="000000" w:themeColor="text1"/>
          <w:sz w:val="24"/>
          <w:highlight w:val="none"/>
          <w14:textFill>
            <w14:solidFill>
              <w14:schemeClr w14:val="tx1"/>
            </w14:solidFill>
          </w14:textFill>
        </w:rPr>
        <w:t>承包人应按照监理人指示开工，工期为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日历天。</w:t>
      </w:r>
    </w:p>
    <w:p w14:paraId="1F20B80E">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9. </w:t>
      </w:r>
      <w:r>
        <w:rPr>
          <w:rFonts w:hint="eastAsia" w:ascii="宋体" w:hAnsi="宋体"/>
          <w:color w:val="000000" w:themeColor="text1"/>
          <w:sz w:val="24"/>
          <w:highlight w:val="none"/>
          <w14:textFill>
            <w14:solidFill>
              <w14:schemeClr w14:val="tx1"/>
            </w14:solidFill>
          </w14:textFill>
        </w:rPr>
        <w:t>本协议书在承包人提供履约保证金后，由双方法定代表人或其委托代理人签署并加盖单位章后生效。全部工程完工后经交工验收合格、缺陷责任期满签发缺陷责任终止证书后生效。</w:t>
      </w:r>
    </w:p>
    <w:p w14:paraId="0BFBE927">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本协议书正本二份、副本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份，合同双方各执正本一份，副本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份，当正本与副本的内容不一致时，以正本为准。</w:t>
      </w:r>
    </w:p>
    <w:p w14:paraId="5C55914D">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w:t>
      </w:r>
      <w:r>
        <w:rPr>
          <w:rFonts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合同未尽事宜，双方另行签订补充协议。补充协议是合同的组成部分。</w:t>
      </w:r>
    </w:p>
    <w:p w14:paraId="4C9D155C">
      <w:pPr>
        <w:spacing w:line="400" w:lineRule="exact"/>
        <w:rPr>
          <w:rFonts w:ascii="宋体"/>
          <w:color w:val="000000" w:themeColor="text1"/>
          <w:sz w:val="24"/>
          <w:highlight w:val="none"/>
          <w14:textFill>
            <w14:solidFill>
              <w14:schemeClr w14:val="tx1"/>
            </w14:solidFill>
          </w14:textFill>
        </w:rPr>
      </w:pPr>
    </w:p>
    <w:p w14:paraId="07CF807D">
      <w:pPr>
        <w:spacing w:line="400" w:lineRule="exact"/>
        <w:rPr>
          <w:rFonts w:hint="eastAsia" w:ascii="宋体" w:hAnsi="宋体"/>
          <w:color w:val="000000" w:themeColor="text1"/>
          <w:sz w:val="24"/>
          <w:highlight w:val="none"/>
          <w14:textFill>
            <w14:solidFill>
              <w14:schemeClr w14:val="tx1"/>
            </w14:solidFill>
          </w14:textFill>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3052C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6D5F7130">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w:t>
            </w:r>
          </w:p>
        </w:tc>
        <w:tc>
          <w:tcPr>
            <w:tcW w:w="2692" w:type="dxa"/>
            <w:vAlign w:val="center"/>
          </w:tcPr>
          <w:p w14:paraId="6F547D08">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c>
          <w:tcPr>
            <w:tcW w:w="1844" w:type="dxa"/>
            <w:vAlign w:val="center"/>
          </w:tcPr>
          <w:p w14:paraId="64A51434">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tc>
        <w:tc>
          <w:tcPr>
            <w:tcW w:w="2686" w:type="dxa"/>
            <w:vAlign w:val="center"/>
          </w:tcPr>
          <w:p w14:paraId="3BDE8597">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r>
      <w:tr w14:paraId="1F904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12ABA6D8">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92" w:type="dxa"/>
            <w:vAlign w:val="center"/>
          </w:tcPr>
          <w:p w14:paraId="72DDD884">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c>
          <w:tcPr>
            <w:tcW w:w="1844" w:type="dxa"/>
            <w:vAlign w:val="center"/>
          </w:tcPr>
          <w:p w14:paraId="528A7951">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86" w:type="dxa"/>
            <w:vAlign w:val="center"/>
          </w:tcPr>
          <w:p w14:paraId="38878E88">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r>
    </w:tbl>
    <w:p w14:paraId="04B0FCBD">
      <w:pPr>
        <w:pStyle w:val="55"/>
        <w:ind w:firstLine="0"/>
        <w:rPr>
          <w:color w:val="000000" w:themeColor="text1"/>
          <w:highlight w:val="none"/>
          <w14:textFill>
            <w14:solidFill>
              <w14:schemeClr w14:val="tx1"/>
            </w14:solidFill>
          </w14:textFill>
        </w:rPr>
      </w:pPr>
    </w:p>
    <w:p w14:paraId="17CDC487">
      <w:pPr>
        <w:pStyle w:val="74"/>
        <w:spacing w:line="360" w:lineRule="auto"/>
        <w:rPr>
          <w:rFonts w:ascii="宋体"/>
          <w:color w:val="000000" w:themeColor="text1"/>
          <w:sz w:val="24"/>
          <w:szCs w:val="24"/>
          <w:highlight w:val="none"/>
          <w14:textFill>
            <w14:solidFill>
              <w14:schemeClr w14:val="tx1"/>
            </w14:solidFill>
          </w14:textFill>
        </w:rPr>
      </w:pPr>
      <w:bookmarkStart w:id="330" w:name="_Toc505844505"/>
      <w:r>
        <w:rPr>
          <w:rFonts w:ascii="宋体"/>
          <w:b w:val="0"/>
          <w:bCs w:val="0"/>
          <w:color w:val="000000" w:themeColor="text1"/>
          <w:kern w:val="2"/>
          <w:sz w:val="21"/>
          <w:szCs w:val="24"/>
          <w:highlight w:val="none"/>
          <w14:textFill>
            <w14:solidFill>
              <w14:schemeClr w14:val="tx1"/>
            </w14:solidFill>
          </w14:textFill>
        </w:rPr>
        <w:br w:type="page"/>
      </w:r>
      <w:bookmarkStart w:id="331" w:name="_Toc3544"/>
      <w:bookmarkStart w:id="332" w:name="_Toc16599"/>
      <w:bookmarkStart w:id="333" w:name="_Toc7711"/>
      <w:r>
        <w:rPr>
          <w:rFonts w:hint="eastAsia" w:ascii="宋体" w:hAnsi="宋体"/>
          <w:color w:val="000000" w:themeColor="text1"/>
          <w:sz w:val="24"/>
          <w:szCs w:val="24"/>
          <w:highlight w:val="none"/>
          <w14:textFill>
            <w14:solidFill>
              <w14:schemeClr w14:val="tx1"/>
            </w14:solidFill>
          </w14:textFill>
        </w:rPr>
        <w:t>附件二</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廉政合同</w:t>
      </w:r>
      <w:bookmarkEnd w:id="330"/>
      <w:bookmarkEnd w:id="331"/>
      <w:bookmarkEnd w:id="332"/>
      <w:bookmarkEnd w:id="333"/>
    </w:p>
    <w:p w14:paraId="595841D3">
      <w:pPr>
        <w:spacing w:before="120" w:after="120"/>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廉政合同</w:t>
      </w:r>
    </w:p>
    <w:p w14:paraId="7B3BBF23">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（项目名称）项目法人</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（项目法人名称，以下简称“发包人”）与该项目</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标段的施工单位</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（施工单位名称，以下简称“承包人”），特订立如下合同。</w:t>
      </w:r>
    </w:p>
    <w:p w14:paraId="6D27B4C4">
      <w:pPr>
        <w:spacing w:line="400" w:lineRule="exact"/>
        <w:ind w:firstLine="482" w:firstLineChars="200"/>
        <w:rPr>
          <w:rFonts w:asci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1.</w:t>
      </w:r>
      <w:r>
        <w:rPr>
          <w:rFonts w:hint="eastAsia" w:ascii="宋体" w:hAnsi="宋体"/>
          <w:b/>
          <w:color w:val="000000" w:themeColor="text1"/>
          <w:sz w:val="24"/>
          <w:highlight w:val="none"/>
          <w14:textFill>
            <w14:solidFill>
              <w14:schemeClr w14:val="tx1"/>
            </w14:solidFill>
          </w14:textFill>
        </w:rPr>
        <w:t>发包人和承包人双方的权利和义务</w:t>
      </w:r>
    </w:p>
    <w:p w14:paraId="66A23CDA">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）严格遵守党的政策规定和国家有关法律法规及交通运输部的有关规定。</w:t>
      </w:r>
    </w:p>
    <w:p w14:paraId="04B668D3">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）严格执行</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合同文件，自觉按合同办事。</w:t>
      </w:r>
    </w:p>
    <w:p w14:paraId="0C336A9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）双方的业务活动坚持公开、公正、诚信、透明的原则（法律认定的商业秘密和合同文件另有规定除外），不得损害国家和集体利益，不得违反工程建设管理规章制度。</w:t>
      </w:r>
    </w:p>
    <w:p w14:paraId="303F1DF1">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）建立健全廉政制度，开展廉政教育，设立廉政告示牌，公布举报电话，监督并认真查处违法违纪行为。</w:t>
      </w:r>
    </w:p>
    <w:p w14:paraId="5D1E978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）发现对方在业务活动中有违反廉政规定的行为，有及时提醒对方纠正的权利和义务。</w:t>
      </w:r>
    </w:p>
    <w:p w14:paraId="0D701E02">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）发现对方严重违反本合同义务条款的行为，有向其上级有关部门举报、建议给予处理并要求告知处理结果的权利。</w:t>
      </w:r>
    </w:p>
    <w:p w14:paraId="1E6A1170">
      <w:pPr>
        <w:spacing w:line="400" w:lineRule="exact"/>
        <w:ind w:firstLine="482" w:firstLineChars="200"/>
        <w:rPr>
          <w:rFonts w:asci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发包人的义务</w:t>
      </w:r>
    </w:p>
    <w:p w14:paraId="5137C9AD">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）发包人及其工作人员不得索要或接受承包人的礼金、有价证券和贵重物品，不得让承包人报销任何应由发包人或发包人工作人员个人支付的费用等。</w:t>
      </w:r>
    </w:p>
    <w:p w14:paraId="625153AB">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）发包人工作人员不得参加承包人安排的超标准宴请和娱乐活动；不得接受承包人提供的通讯工具、交通工具和高档办公用品等。</w:t>
      </w:r>
    </w:p>
    <w:p w14:paraId="142D943A">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）发包人及其工作人员不得要求或者接受承包人为其住房装修、婚丧嫁娶活动、配偶子女的工作安排以及出国出境、旅游等提供方便等。</w:t>
      </w:r>
    </w:p>
    <w:p w14:paraId="169D1850">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）发包人工作人员及其配偶、子女不得从事与发包人工作有关的材料设备供应、工程分包、劳务等经济活动等。</w:t>
      </w:r>
    </w:p>
    <w:p w14:paraId="3184020F">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）发包人及期工作人员不得以任何理由向承包人推荐分包单位或推销材料，不得要求承包人购买合同规定外的材料和设备。</w:t>
      </w:r>
    </w:p>
    <w:p w14:paraId="3B9D4893">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）发包人工作人员要秉公办事，不准营私舞弊，不准利用职权从事各种个人有偿中介活动和安排个人施工队伍。</w:t>
      </w:r>
    </w:p>
    <w:p w14:paraId="1AE3392F">
      <w:pPr>
        <w:spacing w:line="400" w:lineRule="exact"/>
        <w:ind w:firstLine="482" w:firstLineChars="200"/>
        <w:rPr>
          <w:rFonts w:asci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承包人的义务</w:t>
      </w:r>
    </w:p>
    <w:p w14:paraId="2C082C9F">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）承包人不得以任何理由向发包人及其工作人员行贿或馈赠礼金、有价证券、贵重礼品。</w:t>
      </w:r>
    </w:p>
    <w:p w14:paraId="601BCC27">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）承包人不得以任何名义为发包人及其工作人员报销应由发包人单位或个人支付的任何费用。</w:t>
      </w:r>
    </w:p>
    <w:p w14:paraId="548D15EF">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）承包人不得以任何理由安排发包人工作人员参加超标准宴请及娱乐活动。</w:t>
      </w:r>
    </w:p>
    <w:p w14:paraId="6E02280F">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）承包人不得为发包人单位和个人购置或提供通讯工具、交通工具和高档办公用品等。</w:t>
      </w:r>
    </w:p>
    <w:p w14:paraId="47CADAF7">
      <w:pPr>
        <w:spacing w:line="400" w:lineRule="exact"/>
        <w:ind w:firstLine="482" w:firstLineChars="200"/>
        <w:rPr>
          <w:rFonts w:asci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4.</w:t>
      </w:r>
      <w:r>
        <w:rPr>
          <w:rFonts w:hint="eastAsia" w:ascii="宋体" w:hAnsi="宋体"/>
          <w:b/>
          <w:color w:val="000000" w:themeColor="text1"/>
          <w:sz w:val="24"/>
          <w:highlight w:val="none"/>
          <w14:textFill>
            <w14:solidFill>
              <w14:schemeClr w14:val="tx1"/>
            </w14:solidFill>
          </w14:textFill>
        </w:rPr>
        <w:t>违约责任</w:t>
      </w:r>
    </w:p>
    <w:p w14:paraId="6024DD4B">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）发包人及其工作人员违反本合同第</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条，按管理权限，依据有关规定给予党纪、政纪或组织处理；涉嫌犯罪的，移交司法机关追究刑事责任；给承包人单位造成经济损失的，应予以赔偿。</w:t>
      </w:r>
    </w:p>
    <w:p w14:paraId="15ED69E6">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）承包人及其工作人员违反本合同第</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4FBB76F0">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64166EE8">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本合同有效期为发包人和承包人签署之日起至该工程项目竣工验收后止。</w:t>
      </w:r>
    </w:p>
    <w:p w14:paraId="491F945B">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本合同作为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合同的附件，与工程施工合同具有同等的法律效力，经合同双方签署后立即生效。</w:t>
      </w:r>
    </w:p>
    <w:p w14:paraId="7D21EC8B">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本合同一式四份，由发包人和承包人各执</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份，送交发包人和承包人的监督单位各一份</w:t>
      </w:r>
    </w:p>
    <w:p w14:paraId="4AB3CCCE">
      <w:pPr>
        <w:spacing w:line="400" w:lineRule="exact"/>
        <w:rPr>
          <w:rFonts w:hint="eastAsia" w:ascii="宋体" w:hAnsi="宋体"/>
          <w:color w:val="000000" w:themeColor="text1"/>
          <w:sz w:val="24"/>
          <w:highlight w:val="none"/>
          <w:u w:val="single"/>
          <w14:textFill>
            <w14:solidFill>
              <w14:schemeClr w14:val="tx1"/>
            </w14:solidFill>
          </w14:textFill>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7C6D4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23C1D9E6">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w:t>
            </w:r>
          </w:p>
        </w:tc>
        <w:tc>
          <w:tcPr>
            <w:tcW w:w="2692" w:type="dxa"/>
            <w:vAlign w:val="center"/>
          </w:tcPr>
          <w:p w14:paraId="537BBFDB">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c>
          <w:tcPr>
            <w:tcW w:w="1844" w:type="dxa"/>
            <w:vAlign w:val="center"/>
          </w:tcPr>
          <w:p w14:paraId="36FE75F4">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tc>
        <w:tc>
          <w:tcPr>
            <w:tcW w:w="2686" w:type="dxa"/>
            <w:vAlign w:val="center"/>
          </w:tcPr>
          <w:p w14:paraId="7C50BE40">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r>
      <w:tr w14:paraId="5DD86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3495E0D9">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92" w:type="dxa"/>
            <w:vAlign w:val="center"/>
          </w:tcPr>
          <w:p w14:paraId="6E7807C0">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c>
          <w:tcPr>
            <w:tcW w:w="1844" w:type="dxa"/>
            <w:vAlign w:val="center"/>
          </w:tcPr>
          <w:p w14:paraId="4D3D6A07">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86" w:type="dxa"/>
            <w:vAlign w:val="center"/>
          </w:tcPr>
          <w:p w14:paraId="5A68BD9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r>
      <w:tr w14:paraId="1393C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2BF532DE">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发包人监督单位：</w:t>
            </w:r>
          </w:p>
        </w:tc>
        <w:tc>
          <w:tcPr>
            <w:tcW w:w="2692" w:type="dxa"/>
            <w:vAlign w:val="center"/>
          </w:tcPr>
          <w:p w14:paraId="43198450">
            <w:pPr>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（全称）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（盖单位章）</w:t>
            </w:r>
          </w:p>
        </w:tc>
        <w:tc>
          <w:tcPr>
            <w:tcW w:w="1844" w:type="dxa"/>
            <w:vAlign w:val="center"/>
          </w:tcPr>
          <w:p w14:paraId="467035B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承包人监督单位：</w:t>
            </w:r>
          </w:p>
        </w:tc>
        <w:tc>
          <w:tcPr>
            <w:tcW w:w="2686" w:type="dxa"/>
            <w:vAlign w:val="center"/>
          </w:tcPr>
          <w:p w14:paraId="17E56B62">
            <w:pPr>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（全称）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（盖单位章）</w:t>
            </w:r>
          </w:p>
        </w:tc>
      </w:tr>
    </w:tbl>
    <w:p w14:paraId="4B9AEA62">
      <w:pPr>
        <w:pStyle w:val="55"/>
        <w:ind w:firstLine="0"/>
        <w:rPr>
          <w:color w:val="000000" w:themeColor="text1"/>
          <w:highlight w:val="none"/>
          <w14:textFill>
            <w14:solidFill>
              <w14:schemeClr w14:val="tx1"/>
            </w14:solidFill>
          </w14:textFill>
        </w:rPr>
      </w:pPr>
    </w:p>
    <w:p w14:paraId="37460939">
      <w:pPr>
        <w:pStyle w:val="74"/>
        <w:spacing w:line="360" w:lineRule="auto"/>
        <w:rPr>
          <w:rFonts w:ascii="宋体"/>
          <w:color w:val="000000" w:themeColor="text1"/>
          <w:sz w:val="24"/>
          <w:szCs w:val="24"/>
          <w:highlight w:val="none"/>
          <w14:textFill>
            <w14:solidFill>
              <w14:schemeClr w14:val="tx1"/>
            </w14:solidFill>
          </w14:textFill>
        </w:rPr>
      </w:pPr>
      <w:bookmarkStart w:id="334" w:name="_Toc505844506"/>
      <w:r>
        <w:rPr>
          <w:rFonts w:ascii="宋体"/>
          <w:color w:val="000000" w:themeColor="text1"/>
          <w:sz w:val="24"/>
          <w:szCs w:val="24"/>
          <w:highlight w:val="none"/>
          <w14:textFill>
            <w14:solidFill>
              <w14:schemeClr w14:val="tx1"/>
            </w14:solidFill>
          </w14:textFill>
        </w:rPr>
        <w:br w:type="page"/>
      </w:r>
      <w:bookmarkStart w:id="335" w:name="_Toc30177"/>
      <w:bookmarkStart w:id="336" w:name="_Toc28464"/>
      <w:bookmarkStart w:id="337" w:name="_Toc32749"/>
      <w:r>
        <w:rPr>
          <w:rFonts w:hint="eastAsia" w:ascii="宋体" w:hAnsi="宋体"/>
          <w:color w:val="000000" w:themeColor="text1"/>
          <w:sz w:val="24"/>
          <w:szCs w:val="24"/>
          <w:highlight w:val="none"/>
          <w14:textFill>
            <w14:solidFill>
              <w14:schemeClr w14:val="tx1"/>
            </w14:solidFill>
          </w14:textFill>
        </w:rPr>
        <w:t>附件三</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安全生产合同</w:t>
      </w:r>
      <w:bookmarkEnd w:id="334"/>
      <w:bookmarkEnd w:id="335"/>
      <w:bookmarkEnd w:id="336"/>
      <w:bookmarkEnd w:id="337"/>
    </w:p>
    <w:p w14:paraId="445244DC">
      <w:pPr>
        <w:spacing w:before="120" w:after="120"/>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安全生产合同</w:t>
      </w:r>
    </w:p>
    <w:p w14:paraId="7EB75E02">
      <w:pPr>
        <w:widowControl/>
        <w:kinsoku w:val="0"/>
        <w:autoSpaceDE w:val="0"/>
        <w:autoSpaceDN w:val="0"/>
        <w:adjustRightInd w:val="0"/>
        <w:snapToGrid w:val="0"/>
        <w:spacing w:line="360" w:lineRule="auto"/>
        <w:ind w:left="8" w:right="18"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根据《中华人民共和国安全生产法》，国务院《建设工程安全生产管理条例》，交通运输部《公路水运工程安全生产监督管理办法》，交通运输部《公路水运工程施工安</w:t>
      </w:r>
      <w:r>
        <w:rPr>
          <w:rFonts w:ascii="宋体" w:hAnsi="宋体" w:cs="宋体"/>
          <w:snapToGrid w:val="0"/>
          <w:color w:val="000000" w:themeColor="text1"/>
          <w:spacing w:val="-1"/>
          <w:kern w:val="0"/>
          <w:sz w:val="24"/>
          <w:highlight w:val="none"/>
          <w14:textFill>
            <w14:solidFill>
              <w14:schemeClr w14:val="tx1"/>
            </w14:solidFill>
          </w14:textFill>
        </w:rPr>
        <w:t>全标准化指南》有关规定，为切实做好</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(项目名称)  </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（标类或标段）</w:t>
      </w:r>
      <w:r>
        <w:rPr>
          <w:rFonts w:ascii="宋体" w:hAnsi="宋体" w:cs="宋体"/>
          <w:snapToGrid w:val="0"/>
          <w:color w:val="000000" w:themeColor="text1"/>
          <w:spacing w:val="-2"/>
          <w:kern w:val="0"/>
          <w:sz w:val="24"/>
          <w:highlight w:val="none"/>
          <w14:textFill>
            <w14:solidFill>
              <w14:schemeClr w14:val="tx1"/>
            </w14:solidFill>
          </w14:textFill>
        </w:rPr>
        <w:t>工程安</w:t>
      </w:r>
      <w:r>
        <w:rPr>
          <w:rFonts w:ascii="宋体" w:hAnsi="宋体" w:cs="宋体"/>
          <w:snapToGrid w:val="0"/>
          <w:color w:val="000000" w:themeColor="text1"/>
          <w:spacing w:val="-6"/>
          <w:kern w:val="0"/>
          <w:sz w:val="24"/>
          <w:highlight w:val="none"/>
          <w14:textFill>
            <w14:solidFill>
              <w14:schemeClr w14:val="tx1"/>
            </w14:solidFill>
          </w14:textFill>
        </w:rPr>
        <w:t>全生产管理工作，明确项目参建各方的安全生产责任，促进实现工程项目安全管理</w:t>
      </w:r>
      <w:r>
        <w:rPr>
          <w:rFonts w:ascii="宋体" w:hAnsi="宋体" w:cs="宋体"/>
          <w:snapToGrid w:val="0"/>
          <w:color w:val="000000" w:themeColor="text1"/>
          <w:spacing w:val="-7"/>
          <w:kern w:val="0"/>
          <w:sz w:val="24"/>
          <w:highlight w:val="none"/>
          <w14:textFill>
            <w14:solidFill>
              <w14:schemeClr w14:val="tx1"/>
            </w14:solidFill>
          </w14:textFill>
        </w:rPr>
        <w:t>目标，</w:t>
      </w:r>
      <w:r>
        <w:rPr>
          <w:rFonts w:ascii="宋体" w:hAnsi="宋体" w:cs="宋体"/>
          <w:snapToGrid w:val="0"/>
          <w:color w:val="000000" w:themeColor="text1"/>
          <w:spacing w:val="-3"/>
          <w:kern w:val="0"/>
          <w:sz w:val="24"/>
          <w:highlight w:val="none"/>
          <w14:textFill>
            <w14:solidFill>
              <w14:schemeClr w14:val="tx1"/>
            </w14:solidFill>
          </w14:textFill>
        </w:rPr>
        <w:t>建设单位全称（以下简称“发包人</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”）与施工单位全称（以下简称</w:t>
      </w:r>
      <w:r>
        <w:rPr>
          <w:rFonts w:ascii="宋体" w:hAnsi="宋体" w:cs="宋体"/>
          <w:snapToGrid w:val="0"/>
          <w:color w:val="000000" w:themeColor="text1"/>
          <w:spacing w:val="-4"/>
          <w:kern w:val="0"/>
          <w:sz w:val="24"/>
          <w:highlight w:val="none"/>
          <w14:textFill>
            <w14:solidFill>
              <w14:schemeClr w14:val="tx1"/>
            </w14:solidFill>
          </w14:textFill>
        </w:rPr>
        <w:t>“承包人</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”）特此签</w:t>
      </w:r>
      <w:r>
        <w:rPr>
          <w:rFonts w:ascii="宋体" w:hAnsi="宋体" w:cs="宋体"/>
          <w:snapToGrid w:val="0"/>
          <w:color w:val="000000" w:themeColor="text1"/>
          <w:spacing w:val="-2"/>
          <w:kern w:val="0"/>
          <w:sz w:val="24"/>
          <w:highlight w:val="none"/>
          <w14:textFill>
            <w14:solidFill>
              <w14:schemeClr w14:val="tx1"/>
            </w14:solidFill>
          </w14:textFill>
        </w:rPr>
        <w:t>订安全生产合同：</w:t>
      </w:r>
    </w:p>
    <w:p w14:paraId="4E525CFB">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1.发包人职责</w:t>
      </w:r>
    </w:p>
    <w:p w14:paraId="36863405">
      <w:pPr>
        <w:widowControl/>
        <w:kinsoku w:val="0"/>
        <w:autoSpaceDE w:val="0"/>
        <w:autoSpaceDN w:val="0"/>
        <w:adjustRightInd w:val="0"/>
        <w:snapToGrid w:val="0"/>
        <w:spacing w:line="360" w:lineRule="auto"/>
        <w:ind w:left="11" w:right="80" w:firstLine="51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(1)编制工程招标文件及项目概算时，应</w:t>
      </w:r>
      <w:r>
        <w:rPr>
          <w:rFonts w:ascii="宋体" w:hAnsi="宋体" w:cs="宋体"/>
          <w:snapToGrid w:val="0"/>
          <w:color w:val="000000" w:themeColor="text1"/>
          <w:kern w:val="0"/>
          <w:sz w:val="24"/>
          <w:highlight w:val="none"/>
          <w14:textFill>
            <w14:solidFill>
              <w14:schemeClr w14:val="tx1"/>
            </w14:solidFill>
          </w14:textFill>
        </w:rPr>
        <w:t>确定保障建设工程安全作业环境及安全施</w:t>
      </w:r>
      <w:r>
        <w:rPr>
          <w:rFonts w:ascii="宋体" w:hAnsi="宋体" w:cs="宋体"/>
          <w:snapToGrid w:val="0"/>
          <w:color w:val="000000" w:themeColor="text1"/>
          <w:spacing w:val="-1"/>
          <w:kern w:val="0"/>
          <w:sz w:val="24"/>
          <w:highlight w:val="none"/>
          <w14:textFill>
            <w14:solidFill>
              <w14:schemeClr w14:val="tx1"/>
            </w14:solidFill>
          </w14:textFill>
        </w:rPr>
        <w:t>工措施所需的安全生产费用，并不低于国家规定的标准。</w:t>
      </w:r>
    </w:p>
    <w:p w14:paraId="6FE83AB4">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(2)按照有关规定对承包人的安全生产条</w:t>
      </w:r>
      <w:r>
        <w:rPr>
          <w:rFonts w:ascii="宋体" w:hAnsi="宋体" w:cs="宋体"/>
          <w:snapToGrid w:val="0"/>
          <w:color w:val="000000" w:themeColor="text1"/>
          <w:kern w:val="0"/>
          <w:sz w:val="24"/>
          <w:highlight w:val="none"/>
          <w14:textFill>
            <w14:solidFill>
              <w14:schemeClr w14:val="tx1"/>
            </w14:solidFill>
          </w14:textFill>
        </w:rPr>
        <w:t>件、安全生产信用情况、安全生产管理体</w:t>
      </w:r>
      <w:r>
        <w:rPr>
          <w:rFonts w:ascii="宋体" w:hAnsi="宋体" w:cs="宋体"/>
          <w:snapToGrid w:val="0"/>
          <w:color w:val="000000" w:themeColor="text1"/>
          <w:spacing w:val="-1"/>
          <w:kern w:val="0"/>
          <w:sz w:val="24"/>
          <w:highlight w:val="none"/>
          <w14:textFill>
            <w14:solidFill>
              <w14:schemeClr w14:val="tx1"/>
            </w14:solidFill>
          </w14:textFill>
        </w:rPr>
        <w:t>系及保障措施等提出明确要求并检查实施情况。</w:t>
      </w:r>
    </w:p>
    <w:p w14:paraId="785E42BD">
      <w:pPr>
        <w:widowControl/>
        <w:kinsoku w:val="0"/>
        <w:autoSpaceDE w:val="0"/>
        <w:autoSpaceDN w:val="0"/>
        <w:adjustRightInd w:val="0"/>
        <w:snapToGrid w:val="0"/>
        <w:spacing w:line="360" w:lineRule="auto"/>
        <w:ind w:left="9" w:right="80" w:firstLine="52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(3)开展工程项目安全生产条件核查，按</w:t>
      </w:r>
      <w:r>
        <w:rPr>
          <w:rFonts w:ascii="宋体" w:hAnsi="宋体" w:cs="宋体"/>
          <w:snapToGrid w:val="0"/>
          <w:color w:val="000000" w:themeColor="text1"/>
          <w:kern w:val="0"/>
          <w:sz w:val="24"/>
          <w:highlight w:val="none"/>
          <w14:textFill>
            <w14:solidFill>
              <w14:schemeClr w14:val="tx1"/>
            </w14:solidFill>
          </w14:textFill>
        </w:rPr>
        <w:t>规定组织风险评估。针对工程项目特点和风险评估情况制定项目生产安全事故综合应</w:t>
      </w:r>
      <w:r>
        <w:rPr>
          <w:rFonts w:ascii="宋体" w:hAnsi="宋体" w:cs="宋体"/>
          <w:snapToGrid w:val="0"/>
          <w:color w:val="000000" w:themeColor="text1"/>
          <w:spacing w:val="-1"/>
          <w:kern w:val="0"/>
          <w:sz w:val="24"/>
          <w:highlight w:val="none"/>
          <w14:textFill>
            <w14:solidFill>
              <w14:schemeClr w14:val="tx1"/>
            </w14:solidFill>
          </w14:textFill>
        </w:rPr>
        <w:t>急预案，并定期组织演练。</w:t>
      </w:r>
    </w:p>
    <w:p w14:paraId="1A04C653">
      <w:pPr>
        <w:widowControl/>
        <w:kinsoku w:val="0"/>
        <w:autoSpaceDE w:val="0"/>
        <w:autoSpaceDN w:val="0"/>
        <w:adjustRightInd w:val="0"/>
        <w:snapToGrid w:val="0"/>
        <w:spacing w:line="360" w:lineRule="auto"/>
        <w:ind w:left="10" w:right="72" w:firstLine="52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(4)按照法律法规及合同文件约定督促承</w:t>
      </w:r>
      <w:r>
        <w:rPr>
          <w:rFonts w:ascii="宋体" w:hAnsi="宋体" w:cs="宋体"/>
          <w:snapToGrid w:val="0"/>
          <w:color w:val="000000" w:themeColor="text1"/>
          <w:kern w:val="0"/>
          <w:sz w:val="24"/>
          <w:highlight w:val="none"/>
          <w14:textFill>
            <w14:solidFill>
              <w14:schemeClr w14:val="tx1"/>
            </w14:solidFill>
          </w14:textFill>
        </w:rPr>
        <w:t>包人落实安全生产责任，对承包人的安全</w:t>
      </w:r>
      <w:r>
        <w:rPr>
          <w:rFonts w:ascii="宋体" w:hAnsi="宋体" w:cs="宋体"/>
          <w:snapToGrid w:val="0"/>
          <w:color w:val="000000" w:themeColor="text1"/>
          <w:spacing w:val="-1"/>
          <w:kern w:val="0"/>
          <w:sz w:val="24"/>
          <w:highlight w:val="none"/>
          <w14:textFill>
            <w14:solidFill>
              <w14:schemeClr w14:val="tx1"/>
            </w14:solidFill>
          </w14:textFill>
        </w:rPr>
        <w:t>生产工作统一协调、管理，定期进行安全检查，发现</w:t>
      </w:r>
      <w:r>
        <w:rPr>
          <w:rFonts w:ascii="宋体" w:hAnsi="宋体" w:cs="宋体"/>
          <w:snapToGrid w:val="0"/>
          <w:color w:val="000000" w:themeColor="text1"/>
          <w:spacing w:val="-2"/>
          <w:kern w:val="0"/>
          <w:sz w:val="24"/>
          <w:highlight w:val="none"/>
          <w14:textFill>
            <w14:solidFill>
              <w14:schemeClr w14:val="tx1"/>
            </w14:solidFill>
          </w14:textFill>
        </w:rPr>
        <w:t>安全问题的，应当及时督促整改。</w:t>
      </w:r>
    </w:p>
    <w:p w14:paraId="5BDF3194">
      <w:pPr>
        <w:widowControl/>
        <w:kinsoku w:val="0"/>
        <w:autoSpaceDE w:val="0"/>
        <w:autoSpaceDN w:val="0"/>
        <w:adjustRightInd w:val="0"/>
        <w:snapToGrid w:val="0"/>
        <w:spacing w:line="360"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2.承包人职责</w:t>
      </w:r>
    </w:p>
    <w:p w14:paraId="6D5BF149">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(1)严格执行安全生产有关法律法规、规</w:t>
      </w:r>
      <w:r>
        <w:rPr>
          <w:rFonts w:ascii="宋体" w:hAnsi="宋体" w:cs="宋体"/>
          <w:snapToGrid w:val="0"/>
          <w:color w:val="000000" w:themeColor="text1"/>
          <w:kern w:val="0"/>
          <w:sz w:val="24"/>
          <w:highlight w:val="none"/>
          <w14:textFill>
            <w14:solidFill>
              <w14:schemeClr w14:val="tx1"/>
            </w14:solidFill>
          </w14:textFill>
        </w:rPr>
        <w:t>章及标准规范，落实合同、《广东省高速</w:t>
      </w:r>
      <w:r>
        <w:rPr>
          <w:rFonts w:ascii="宋体" w:hAnsi="宋体" w:cs="宋体"/>
          <w:snapToGrid w:val="0"/>
          <w:color w:val="000000" w:themeColor="text1"/>
          <w:spacing w:val="-2"/>
          <w:kern w:val="0"/>
          <w:sz w:val="24"/>
          <w:highlight w:val="none"/>
          <w14:textFill>
            <w14:solidFill>
              <w14:schemeClr w14:val="tx1"/>
            </w14:solidFill>
          </w14:textFill>
        </w:rPr>
        <w:t>公路工程施工安全标准化指南》《公路工程施工安全防护设施技术指南》以及其他有关安全生产方面的规定和要求。</w:t>
      </w:r>
    </w:p>
    <w:p w14:paraId="380BEF86">
      <w:pPr>
        <w:widowControl/>
        <w:kinsoku w:val="0"/>
        <w:autoSpaceDE w:val="0"/>
        <w:autoSpaceDN w:val="0"/>
        <w:adjustRightInd w:val="0"/>
        <w:snapToGrid w:val="0"/>
        <w:spacing w:line="360" w:lineRule="auto"/>
        <w:ind w:left="7" w:right="80" w:firstLine="52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(2)应具备相应的安全生产条件及安全生</w:t>
      </w:r>
      <w:r>
        <w:rPr>
          <w:rFonts w:ascii="宋体" w:hAnsi="宋体" w:cs="宋体"/>
          <w:snapToGrid w:val="0"/>
          <w:color w:val="000000" w:themeColor="text1"/>
          <w:kern w:val="0"/>
          <w:sz w:val="24"/>
          <w:highlight w:val="none"/>
          <w14:textFill>
            <w14:solidFill>
              <w14:schemeClr w14:val="tx1"/>
            </w14:solidFill>
          </w14:textFill>
        </w:rPr>
        <w:t>产资质，对施工现场的安全生产负主体责</w:t>
      </w:r>
      <w:r>
        <w:rPr>
          <w:rFonts w:ascii="宋体" w:hAnsi="宋体" w:cs="宋体"/>
          <w:snapToGrid w:val="0"/>
          <w:color w:val="000000" w:themeColor="text1"/>
          <w:spacing w:val="-1"/>
          <w:kern w:val="0"/>
          <w:sz w:val="24"/>
          <w:highlight w:val="none"/>
          <w14:textFill>
            <w14:solidFill>
              <w14:schemeClr w14:val="tx1"/>
            </w14:solidFill>
          </w14:textFill>
        </w:rPr>
        <w:t>任，主要负责人依法对项目安全生产工作全面负责。</w:t>
      </w:r>
    </w:p>
    <w:p w14:paraId="2E6477AC">
      <w:pPr>
        <w:widowControl/>
        <w:kinsoku w:val="0"/>
        <w:autoSpaceDE w:val="0"/>
        <w:autoSpaceDN w:val="0"/>
        <w:adjustRightInd w:val="0"/>
        <w:snapToGrid w:val="0"/>
        <w:spacing w:line="360" w:lineRule="auto"/>
        <w:ind w:left="16" w:firstLine="51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(3)坚持国家安全生产方针、政策及原则，建立健全并落实项目安全生产管理制度、</w:t>
      </w:r>
      <w:r>
        <w:rPr>
          <w:rFonts w:ascii="宋体" w:hAnsi="宋体" w:cs="宋体"/>
          <w:snapToGrid w:val="0"/>
          <w:color w:val="000000" w:themeColor="text1"/>
          <w:spacing w:val="-1"/>
          <w:kern w:val="0"/>
          <w:sz w:val="24"/>
          <w:highlight w:val="none"/>
          <w14:textFill>
            <w14:solidFill>
              <w14:schemeClr w14:val="tx1"/>
            </w14:solidFill>
          </w14:textFill>
        </w:rPr>
        <w:t>责任、组织机构等管理体系，配足符合资质条件的专职安全生产管理人员。</w:t>
      </w:r>
    </w:p>
    <w:p w14:paraId="34B56D86">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(4)应保证本项目合同段所应具备的安全</w:t>
      </w:r>
      <w:r>
        <w:rPr>
          <w:rFonts w:ascii="宋体" w:hAnsi="宋体" w:cs="宋体"/>
          <w:snapToGrid w:val="0"/>
          <w:color w:val="000000" w:themeColor="text1"/>
          <w:kern w:val="0"/>
          <w:sz w:val="24"/>
          <w:highlight w:val="none"/>
          <w14:textFill>
            <w14:solidFill>
              <w14:schemeClr w14:val="tx1"/>
            </w14:solidFill>
          </w14:textFill>
        </w:rPr>
        <w:t>生产条件必需的资金投入，依法参加各类</w:t>
      </w:r>
      <w:r>
        <w:rPr>
          <w:rFonts w:ascii="宋体" w:hAnsi="宋体" w:cs="宋体"/>
          <w:snapToGrid w:val="0"/>
          <w:color w:val="000000" w:themeColor="text1"/>
          <w:spacing w:val="-1"/>
          <w:kern w:val="0"/>
          <w:sz w:val="24"/>
          <w:highlight w:val="none"/>
          <w14:textFill>
            <w14:solidFill>
              <w14:schemeClr w14:val="tx1"/>
            </w14:solidFill>
          </w14:textFill>
        </w:rPr>
        <w:t>安全保险，保障从业人员安全生产方面的权利。</w:t>
      </w:r>
    </w:p>
    <w:p w14:paraId="3C9BCD6A">
      <w:pPr>
        <w:widowControl/>
        <w:kinsoku w:val="0"/>
        <w:autoSpaceDE w:val="0"/>
        <w:autoSpaceDN w:val="0"/>
        <w:adjustRightInd w:val="0"/>
        <w:snapToGrid w:val="0"/>
        <w:spacing w:line="360" w:lineRule="auto"/>
        <w:ind w:left="11" w:right="80" w:firstLine="51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(5)应切实加强作业工人安全培训教育和</w:t>
      </w:r>
      <w:r>
        <w:rPr>
          <w:rFonts w:ascii="宋体" w:hAnsi="宋体" w:cs="宋体"/>
          <w:snapToGrid w:val="0"/>
          <w:color w:val="000000" w:themeColor="text1"/>
          <w:kern w:val="0"/>
          <w:sz w:val="24"/>
          <w:highlight w:val="none"/>
          <w14:textFill>
            <w14:solidFill>
              <w14:schemeClr w14:val="tx1"/>
            </w14:solidFill>
          </w14:textFill>
        </w:rPr>
        <w:t>安全技术交底。运用《公路施工安全视频</w:t>
      </w:r>
      <w:r>
        <w:rPr>
          <w:rFonts w:ascii="宋体" w:hAnsi="宋体" w:cs="宋体"/>
          <w:snapToGrid w:val="0"/>
          <w:color w:val="000000" w:themeColor="text1"/>
          <w:spacing w:val="-2"/>
          <w:kern w:val="0"/>
          <w:sz w:val="24"/>
          <w:highlight w:val="none"/>
          <w14:textFill>
            <w14:solidFill>
              <w14:schemeClr w14:val="tx1"/>
            </w14:solidFill>
          </w14:textFill>
        </w:rPr>
        <w:t>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5CB544E5">
      <w:pPr>
        <w:widowControl/>
        <w:kinsoku w:val="0"/>
        <w:autoSpaceDE w:val="0"/>
        <w:autoSpaceDN w:val="0"/>
        <w:adjustRightInd w:val="0"/>
        <w:snapToGrid w:val="0"/>
        <w:spacing w:line="360" w:lineRule="auto"/>
        <w:ind w:left="10" w:right="1" w:firstLine="52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(6)按规定编制危险性较大工程专项施工</w:t>
      </w:r>
      <w:r>
        <w:rPr>
          <w:rFonts w:ascii="宋体" w:hAnsi="宋体" w:cs="宋体"/>
          <w:snapToGrid w:val="0"/>
          <w:color w:val="000000" w:themeColor="text1"/>
          <w:kern w:val="0"/>
          <w:sz w:val="24"/>
          <w:highlight w:val="none"/>
          <w14:textFill>
            <w14:solidFill>
              <w14:schemeClr w14:val="tx1"/>
            </w14:solidFill>
          </w14:textFill>
        </w:rPr>
        <w:t>方案，按程序逐级审批，必要时应组织专</w:t>
      </w:r>
      <w:r>
        <w:rPr>
          <w:rFonts w:ascii="宋体" w:hAnsi="宋体" w:cs="宋体"/>
          <w:snapToGrid w:val="0"/>
          <w:color w:val="000000" w:themeColor="text1"/>
          <w:spacing w:val="-3"/>
          <w:kern w:val="0"/>
          <w:sz w:val="24"/>
          <w:highlight w:val="none"/>
          <w14:textFill>
            <w14:solidFill>
              <w14:schemeClr w14:val="tx1"/>
            </w14:solidFill>
          </w14:textFill>
        </w:rPr>
        <w:t>家论证。</w:t>
      </w:r>
    </w:p>
    <w:p w14:paraId="2EAE2517">
      <w:pPr>
        <w:widowControl/>
        <w:kinsoku w:val="0"/>
        <w:autoSpaceDE w:val="0"/>
        <w:autoSpaceDN w:val="0"/>
        <w:adjustRightInd w:val="0"/>
        <w:snapToGrid w:val="0"/>
        <w:spacing w:line="360" w:lineRule="auto"/>
        <w:ind w:left="14" w:right="1" w:firstLine="51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(7)各类施工设备设施及用品、用具等应</w:t>
      </w:r>
      <w:r>
        <w:rPr>
          <w:rFonts w:ascii="宋体" w:hAnsi="宋体" w:cs="宋体"/>
          <w:snapToGrid w:val="0"/>
          <w:color w:val="000000" w:themeColor="text1"/>
          <w:kern w:val="0"/>
          <w:sz w:val="24"/>
          <w:highlight w:val="none"/>
          <w14:textFill>
            <w14:solidFill>
              <w14:schemeClr w14:val="tx1"/>
            </w14:solidFill>
          </w14:textFill>
        </w:rPr>
        <w:t>具备相关资质证书，定期检查维护，按规</w:t>
      </w:r>
      <w:r>
        <w:rPr>
          <w:rFonts w:ascii="宋体" w:hAnsi="宋体" w:cs="宋体"/>
          <w:snapToGrid w:val="0"/>
          <w:color w:val="000000" w:themeColor="text1"/>
          <w:spacing w:val="-1"/>
          <w:kern w:val="0"/>
          <w:sz w:val="24"/>
          <w:highlight w:val="none"/>
          <w14:textFill>
            <w14:solidFill>
              <w14:schemeClr w14:val="tx1"/>
            </w14:solidFill>
          </w14:textFill>
        </w:rPr>
        <w:t>定及时报废；特种设备及支撑体系设施设备投入使用前应按规定组织验收。</w:t>
      </w:r>
    </w:p>
    <w:p w14:paraId="221C7B6B">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(8)两区三厂、临建设施等选址及相关防护设施的设置应符合安全要求。</w:t>
      </w:r>
    </w:p>
    <w:p w14:paraId="72E9D217">
      <w:pPr>
        <w:widowControl/>
        <w:kinsoku w:val="0"/>
        <w:autoSpaceDE w:val="0"/>
        <w:autoSpaceDN w:val="0"/>
        <w:adjustRightInd w:val="0"/>
        <w:snapToGrid w:val="0"/>
        <w:spacing w:line="360" w:lineRule="auto"/>
        <w:ind w:left="14" w:right="1" w:firstLine="51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(9)建立施工现场及驻地消防安全责任制</w:t>
      </w:r>
      <w:r>
        <w:rPr>
          <w:rFonts w:ascii="宋体" w:hAnsi="宋体" w:cs="宋体"/>
          <w:snapToGrid w:val="0"/>
          <w:color w:val="000000" w:themeColor="text1"/>
          <w:kern w:val="0"/>
          <w:sz w:val="24"/>
          <w:highlight w:val="none"/>
          <w14:textFill>
            <w14:solidFill>
              <w14:schemeClr w14:val="tx1"/>
            </w14:solidFill>
          </w14:textFill>
        </w:rPr>
        <w:t>度，确定消防安全责任人，落实消防安全</w:t>
      </w:r>
      <w:r>
        <w:rPr>
          <w:rFonts w:ascii="宋体" w:hAnsi="宋体" w:cs="宋体"/>
          <w:snapToGrid w:val="0"/>
          <w:color w:val="000000" w:themeColor="text1"/>
          <w:spacing w:val="-1"/>
          <w:kern w:val="0"/>
          <w:sz w:val="24"/>
          <w:highlight w:val="none"/>
          <w14:textFill>
            <w14:solidFill>
              <w14:schemeClr w14:val="tx1"/>
            </w14:solidFill>
          </w14:textFill>
        </w:rPr>
        <w:t>管理和消防安全检查，及时消除火灾事故隐患。</w:t>
      </w:r>
    </w:p>
    <w:p w14:paraId="629A3FEF">
      <w:pPr>
        <w:widowControl/>
        <w:kinsoku w:val="0"/>
        <w:autoSpaceDE w:val="0"/>
        <w:autoSpaceDN w:val="0"/>
        <w:adjustRightInd w:val="0"/>
        <w:snapToGrid w:val="0"/>
        <w:spacing w:line="360" w:lineRule="auto"/>
        <w:ind w:left="14" w:right="11" w:firstLine="51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(10)按规定建立并落实安全风险分级管控及事故隐患排查治理双重预防工作机制，</w:t>
      </w:r>
      <w:r>
        <w:rPr>
          <w:rFonts w:ascii="宋体" w:hAnsi="宋体" w:cs="宋体"/>
          <w:snapToGrid w:val="0"/>
          <w:color w:val="000000" w:themeColor="text1"/>
          <w:spacing w:val="-1"/>
          <w:kern w:val="0"/>
          <w:sz w:val="24"/>
          <w:highlight w:val="none"/>
          <w14:textFill>
            <w14:solidFill>
              <w14:schemeClr w14:val="tx1"/>
            </w14:solidFill>
          </w14:textFill>
        </w:rPr>
        <w:t>并按要求开展各类安全生产检查，重大事故隐患及时上报和专项治理。</w:t>
      </w:r>
    </w:p>
    <w:p w14:paraId="6C8923BF">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(11)建立健全本项目合同段生产安全事故应急预案体系，并定期组织演练。</w:t>
      </w:r>
    </w:p>
    <w:p w14:paraId="0D6AC08C">
      <w:pPr>
        <w:widowControl/>
        <w:kinsoku w:val="0"/>
        <w:autoSpaceDE w:val="0"/>
        <w:autoSpaceDN w:val="0"/>
        <w:adjustRightInd w:val="0"/>
        <w:snapToGrid w:val="0"/>
        <w:spacing w:line="360" w:lineRule="auto"/>
        <w:ind w:left="12" w:right="1" w:firstLine="51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(12)及时、如实报告生产安全事故。发生事故时，应立即组织抢救，并积极配合事故调查处理。</w:t>
      </w:r>
    </w:p>
    <w:p w14:paraId="1FA2BA71">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(13)安全生产法律法规、政策等规定的</w:t>
      </w:r>
      <w:r>
        <w:rPr>
          <w:rFonts w:ascii="宋体" w:hAnsi="宋体" w:cs="宋体"/>
          <w:snapToGrid w:val="0"/>
          <w:color w:val="000000" w:themeColor="text1"/>
          <w:spacing w:val="-3"/>
          <w:kern w:val="0"/>
          <w:sz w:val="24"/>
          <w:highlight w:val="none"/>
          <w14:textFill>
            <w14:solidFill>
              <w14:schemeClr w14:val="tx1"/>
            </w14:solidFill>
          </w14:textFill>
        </w:rPr>
        <w:t>其他职责。</w:t>
      </w:r>
    </w:p>
    <w:p w14:paraId="5D833233">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3.违约责任</w:t>
      </w:r>
    </w:p>
    <w:p w14:paraId="0935FCB0">
      <w:pPr>
        <w:widowControl/>
        <w:kinsoku w:val="0"/>
        <w:autoSpaceDE w:val="0"/>
        <w:autoSpaceDN w:val="0"/>
        <w:adjustRightInd w:val="0"/>
        <w:snapToGrid w:val="0"/>
        <w:spacing w:line="360" w:lineRule="auto"/>
        <w:ind w:left="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如因发包人或承包人违约造成安全事故，将依法追究责任。</w:t>
      </w:r>
    </w:p>
    <w:p w14:paraId="0C718549">
      <w:pPr>
        <w:widowControl/>
        <w:kinsoku w:val="0"/>
        <w:autoSpaceDE w:val="0"/>
        <w:autoSpaceDN w:val="0"/>
        <w:adjustRightInd w:val="0"/>
        <w:snapToGrid w:val="0"/>
        <w:spacing w:line="360" w:lineRule="auto"/>
        <w:ind w:left="9" w:right="1"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4.本合同由双方法定代表人或其授权的代理人签署并加盖单位章后生效，全部工程竣工验收后失效。</w:t>
      </w:r>
    </w:p>
    <w:p w14:paraId="1A9C84B7">
      <w:pPr>
        <w:widowControl/>
        <w:kinsoku w:val="0"/>
        <w:autoSpaceDE w:val="0"/>
        <w:autoSpaceDN w:val="0"/>
        <w:adjustRightInd w:val="0"/>
        <w:snapToGrid w:val="0"/>
        <w:spacing w:line="360" w:lineRule="auto"/>
        <w:ind w:left="9" w:right="1"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5.本合同正本二份、副本</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份，合同双方各执正本一份，副本</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份，当正本</w:t>
      </w:r>
      <w:r>
        <w:rPr>
          <w:rFonts w:ascii="宋体" w:hAnsi="宋体" w:cs="宋体"/>
          <w:snapToGrid w:val="0"/>
          <w:color w:val="000000" w:themeColor="text1"/>
          <w:spacing w:val="-3"/>
          <w:kern w:val="0"/>
          <w:sz w:val="24"/>
          <w:highlight w:val="none"/>
          <w14:textFill>
            <w14:solidFill>
              <w14:schemeClr w14:val="tx1"/>
            </w14:solidFill>
          </w14:textFill>
        </w:rPr>
        <w:t>与副</w:t>
      </w:r>
      <w:r>
        <w:rPr>
          <w:rFonts w:ascii="宋体" w:hAnsi="宋体" w:cs="宋体"/>
          <w:snapToGrid w:val="0"/>
          <w:color w:val="000000" w:themeColor="text1"/>
          <w:spacing w:val="-1"/>
          <w:kern w:val="0"/>
          <w:sz w:val="24"/>
          <w:highlight w:val="none"/>
          <w14:textFill>
            <w14:solidFill>
              <w14:schemeClr w14:val="tx1"/>
            </w14:solidFill>
          </w14:textFill>
        </w:rPr>
        <w:t>本的内容不一致时，以正本为准。</w:t>
      </w:r>
    </w:p>
    <w:p w14:paraId="5F415FE1">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126A3F6">
      <w:pPr>
        <w:widowControl/>
        <w:tabs>
          <w:tab w:val="left" w:pos="2038"/>
        </w:tabs>
        <w:kinsoku w:val="0"/>
        <w:autoSpaceDE w:val="0"/>
        <w:autoSpaceDN w:val="0"/>
        <w:adjustRightInd w:val="0"/>
        <w:snapToGrid w:val="0"/>
        <w:spacing w:before="183" w:line="219" w:lineRule="auto"/>
        <w:jc w:val="left"/>
        <w:textAlignment w:val="baseline"/>
        <w:rPr>
          <w:rFonts w:hint="eastAsia" w:ascii="宋体" w:hAnsi="宋体" w:cs="宋体"/>
          <w:snapToGrid w:val="0"/>
          <w:color w:val="000000" w:themeColor="text1"/>
          <w:spacing w:val="-70"/>
          <w:kern w:val="0"/>
          <w:sz w:val="24"/>
          <w:highlight w:val="none"/>
          <w14:textFill>
            <w14:solidFill>
              <w14:schemeClr w14:val="tx1"/>
            </w14:solidFill>
          </w14:textFill>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4569F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73ED619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w:t>
            </w:r>
          </w:p>
        </w:tc>
        <w:tc>
          <w:tcPr>
            <w:tcW w:w="2692" w:type="dxa"/>
            <w:vAlign w:val="center"/>
          </w:tcPr>
          <w:p w14:paraId="485CC21A">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c>
          <w:tcPr>
            <w:tcW w:w="1844" w:type="dxa"/>
            <w:vAlign w:val="center"/>
          </w:tcPr>
          <w:p w14:paraId="6DCA70A6">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tc>
        <w:tc>
          <w:tcPr>
            <w:tcW w:w="2686" w:type="dxa"/>
            <w:vAlign w:val="center"/>
          </w:tcPr>
          <w:p w14:paraId="38542D3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tc>
      </w:tr>
      <w:tr w14:paraId="071C1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0AC92613">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92" w:type="dxa"/>
            <w:vAlign w:val="center"/>
          </w:tcPr>
          <w:p w14:paraId="392127D9">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c>
          <w:tcPr>
            <w:tcW w:w="1844" w:type="dxa"/>
            <w:vAlign w:val="center"/>
          </w:tcPr>
          <w:p w14:paraId="1005BF15">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p>
        </w:tc>
        <w:tc>
          <w:tcPr>
            <w:tcW w:w="2686" w:type="dxa"/>
            <w:vAlign w:val="center"/>
          </w:tcPr>
          <w:p w14:paraId="432E4A30">
            <w:pP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tc>
      </w:tr>
    </w:tbl>
    <w:p w14:paraId="5B9C9802">
      <w:pPr>
        <w:pStyle w:val="55"/>
        <w:ind w:firstLine="0"/>
        <w:rPr>
          <w:color w:val="000000" w:themeColor="text1"/>
          <w:highlight w:val="none"/>
          <w14:textFill>
            <w14:solidFill>
              <w14:schemeClr w14:val="tx1"/>
            </w14:solidFill>
          </w14:textFill>
        </w:rPr>
      </w:pPr>
    </w:p>
    <w:p w14:paraId="5EE1D318">
      <w:pPr>
        <w:pStyle w:val="55"/>
        <w:ind w:firstLine="0"/>
        <w:rPr>
          <w:color w:val="000000" w:themeColor="text1"/>
          <w:highlight w:val="none"/>
          <w14:textFill>
            <w14:solidFill>
              <w14:schemeClr w14:val="tx1"/>
            </w14:solidFill>
          </w14:textFill>
        </w:rPr>
        <w:sectPr>
          <w:headerReference r:id="rId65" w:type="default"/>
          <w:footerReference r:id="rId66" w:type="default"/>
          <w:pgSz w:w="11906" w:h="16839"/>
          <w:pgMar w:top="1182" w:right="1416" w:bottom="1168" w:left="1417" w:header="849" w:footer="934" w:gutter="0"/>
          <w:cols w:space="720" w:num="1"/>
        </w:sectPr>
      </w:pPr>
    </w:p>
    <w:p w14:paraId="32BFCF42">
      <w:pPr>
        <w:pStyle w:val="74"/>
        <w:spacing w:line="360" w:lineRule="auto"/>
        <w:rPr>
          <w:rFonts w:hint="eastAsia" w:ascii="宋体" w:hAnsi="宋体" w:cs="宋体"/>
          <w:color w:val="000000" w:themeColor="text1"/>
          <w:szCs w:val="28"/>
          <w:highlight w:val="none"/>
          <w14:textFill>
            <w14:solidFill>
              <w14:schemeClr w14:val="tx1"/>
            </w14:solidFill>
          </w14:textFill>
        </w:rPr>
      </w:pPr>
      <w:bookmarkStart w:id="338" w:name="_Toc31032"/>
      <w:bookmarkStart w:id="339" w:name="_Toc27133"/>
      <w:bookmarkStart w:id="340" w:name="_Toc17112"/>
      <w:r>
        <w:rPr>
          <w:rFonts w:hint="eastAsia" w:ascii="宋体" w:hAnsi="宋体" w:cs="宋体"/>
          <w:color w:val="000000" w:themeColor="text1"/>
          <w:szCs w:val="28"/>
          <w:highlight w:val="none"/>
          <w14:textFill>
            <w14:solidFill>
              <w14:schemeClr w14:val="tx1"/>
            </w14:solidFill>
          </w14:textFill>
        </w:rPr>
        <w:t>附件四   其他管理人员和技术人员最低要求</w:t>
      </w:r>
      <w:bookmarkEnd w:id="338"/>
      <w:bookmarkEnd w:id="339"/>
    </w:p>
    <w:p w14:paraId="0C51C758">
      <w:pPr>
        <w:rPr>
          <w:color w:val="000000" w:themeColor="text1"/>
          <w:highlight w:val="none"/>
          <w14:textFill>
            <w14:solidFill>
              <w14:schemeClr w14:val="tx1"/>
            </w14:solidFill>
          </w14:textFill>
        </w:rPr>
      </w:pPr>
    </w:p>
    <w:p w14:paraId="63936730">
      <w:pPr>
        <w:jc w:val="center"/>
        <w:rPr>
          <w:b/>
          <w:bCs/>
          <w:color w:val="000000" w:themeColor="text1"/>
          <w:sz w:val="28"/>
          <w:szCs w:val="36"/>
          <w:highlight w:val="none"/>
          <w14:textFill>
            <w14:solidFill>
              <w14:schemeClr w14:val="tx1"/>
            </w14:solidFill>
          </w14:textFill>
        </w:rPr>
      </w:pPr>
      <w:r>
        <w:rPr>
          <w:rFonts w:hint="eastAsia"/>
          <w:b/>
          <w:bCs/>
          <w:color w:val="000000" w:themeColor="text1"/>
          <w:sz w:val="28"/>
          <w:szCs w:val="36"/>
          <w:highlight w:val="none"/>
          <w14:textFill>
            <w14:solidFill>
              <w14:schemeClr w14:val="tx1"/>
            </w14:solidFill>
          </w14:textFill>
        </w:rPr>
        <w:t>其他管理人员和技术人员最低要求</w:t>
      </w:r>
      <w:bookmarkEnd w:id="340"/>
    </w:p>
    <w:tbl>
      <w:tblPr>
        <w:tblStyle w:val="45"/>
        <w:tblpPr w:leftFromText="180" w:rightFromText="180" w:vertAnchor="text" w:horzAnchor="page" w:tblpX="1376" w:tblpY="295"/>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1143"/>
        <w:gridCol w:w="6488"/>
      </w:tblGrid>
      <w:tr w14:paraId="757A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735" w:type="dxa"/>
            <w:vAlign w:val="center"/>
          </w:tcPr>
          <w:p w14:paraId="645B426A">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人  员</w:t>
            </w:r>
          </w:p>
        </w:tc>
        <w:tc>
          <w:tcPr>
            <w:tcW w:w="1143" w:type="dxa"/>
            <w:vAlign w:val="center"/>
          </w:tcPr>
          <w:p w14:paraId="0857AD92">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  量</w:t>
            </w:r>
          </w:p>
        </w:tc>
        <w:tc>
          <w:tcPr>
            <w:tcW w:w="6488" w:type="dxa"/>
            <w:vAlign w:val="center"/>
          </w:tcPr>
          <w:p w14:paraId="0F4C1913">
            <w:pPr>
              <w:spacing w:line="276"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资格要求</w:t>
            </w:r>
          </w:p>
        </w:tc>
      </w:tr>
      <w:tr w14:paraId="0249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8110FA0">
            <w:pPr>
              <w:pStyle w:val="70"/>
              <w:rPr>
                <w:rFonts w:hint="eastAsia" w:ascii="宋体" w:hAnsi="宋体" w:cs="宋体"/>
                <w:color w:val="000000" w:themeColor="text1"/>
                <w:highlight w:val="none"/>
                <w14:textFill>
                  <w14:solidFill>
                    <w14:schemeClr w14:val="tx1"/>
                  </w14:solidFill>
                </w14:textFill>
              </w:rPr>
            </w:pPr>
          </w:p>
        </w:tc>
        <w:tc>
          <w:tcPr>
            <w:tcW w:w="1143" w:type="dxa"/>
            <w:vAlign w:val="center"/>
          </w:tcPr>
          <w:p w14:paraId="56CE666A">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54A2B64C">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3346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2D7274B1">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00F0BAFE">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5EAFAEC8">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71EF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26C27A4E">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7B20DFD7">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66176E8B">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4412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5FB0D3A9">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7FB14F6A">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40D61296">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7201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2177FD5">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6FBEDF90">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41919713">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1DDA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10B39A51">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578733D6">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6F3FF621">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4441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394F859B">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35855817">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091EE2E6">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5433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3074984">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5F308DE4">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5EC2E0C5">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2146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2795A079">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0039A738">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1F860454">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4E6C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6F017E99">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4AFF496A">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2D743A51">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4B8E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04A86930">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74E3B9A0">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13B0297A">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7324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6516C907">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22D98C9F">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51496628">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r w14:paraId="6907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7548FB32">
            <w:pPr>
              <w:spacing w:line="276" w:lineRule="auto"/>
              <w:rPr>
                <w:rFonts w:hint="eastAsia" w:ascii="宋体" w:hAnsi="宋体" w:cs="宋体"/>
                <w:color w:val="000000" w:themeColor="text1"/>
                <w:sz w:val="24"/>
                <w:highlight w:val="none"/>
                <w14:textFill>
                  <w14:solidFill>
                    <w14:schemeClr w14:val="tx1"/>
                  </w14:solidFill>
                </w14:textFill>
              </w:rPr>
            </w:pPr>
          </w:p>
        </w:tc>
        <w:tc>
          <w:tcPr>
            <w:tcW w:w="1143" w:type="dxa"/>
            <w:vAlign w:val="center"/>
          </w:tcPr>
          <w:p w14:paraId="49D3DB0B">
            <w:pPr>
              <w:spacing w:line="276"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6488" w:type="dxa"/>
            <w:vAlign w:val="center"/>
          </w:tcPr>
          <w:p w14:paraId="3FFE19FA">
            <w:pPr>
              <w:spacing w:line="276" w:lineRule="auto"/>
              <w:ind w:firstLine="480" w:firstLineChars="200"/>
              <w:jc w:val="left"/>
              <w:rPr>
                <w:rFonts w:hint="eastAsia" w:ascii="宋体" w:hAnsi="宋体" w:cs="宋体"/>
                <w:color w:val="000000" w:themeColor="text1"/>
                <w:sz w:val="24"/>
                <w:highlight w:val="none"/>
                <w14:textFill>
                  <w14:solidFill>
                    <w14:schemeClr w14:val="tx1"/>
                  </w14:solidFill>
                </w14:textFill>
              </w:rPr>
            </w:pPr>
          </w:p>
        </w:tc>
      </w:tr>
    </w:tbl>
    <w:p w14:paraId="328E080F">
      <w:pPr>
        <w:rPr>
          <w:rFonts w:hint="eastAsia" w:ascii="宋体" w:hAnsi="宋体" w:cs="宋体"/>
          <w:color w:val="000000" w:themeColor="text1"/>
          <w:highlight w:val="none"/>
          <w14:textFill>
            <w14:solidFill>
              <w14:schemeClr w14:val="tx1"/>
            </w14:solidFill>
          </w14:textFill>
        </w:rPr>
      </w:pPr>
    </w:p>
    <w:p w14:paraId="4AB99FB4">
      <w:pPr>
        <w:rPr>
          <w:color w:val="000000" w:themeColor="text1"/>
          <w:highlight w:val="none"/>
          <w14:textFill>
            <w14:solidFill>
              <w14:schemeClr w14:val="tx1"/>
            </w14:solidFill>
          </w14:textFill>
        </w:rPr>
      </w:pPr>
      <w:bookmarkStart w:id="341" w:name="_Toc505844507"/>
    </w:p>
    <w:p w14:paraId="55BC5AB4">
      <w:pPr>
        <w:rPr>
          <w:rFonts w:hint="eastAsia" w:ascii="宋体" w:hAnsi="宋体" w:cs="宋体"/>
          <w:color w:val="000000" w:themeColor="text1"/>
          <w:highlight w:val="none"/>
          <w14:textFill>
            <w14:solidFill>
              <w14:schemeClr w14:val="tx1"/>
            </w14:solidFill>
          </w14:textFill>
        </w:rPr>
      </w:pPr>
    </w:p>
    <w:p w14:paraId="04AD011D">
      <w:pPr>
        <w:pStyle w:val="74"/>
        <w:spacing w:line="360" w:lineRule="auto"/>
        <w:rPr>
          <w:rFonts w:hint="eastAsia"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bookmarkStart w:id="342" w:name="_Toc14374"/>
      <w:bookmarkStart w:id="343" w:name="_Toc7099"/>
      <w:bookmarkStart w:id="344" w:name="_Toc26675"/>
      <w:bookmarkStart w:id="345" w:name="_Toc43476011"/>
      <w:r>
        <w:rPr>
          <w:rFonts w:hint="eastAsia" w:ascii="宋体" w:hAnsi="宋体" w:cs="宋体"/>
          <w:color w:val="000000" w:themeColor="text1"/>
          <w:szCs w:val="28"/>
          <w:highlight w:val="none"/>
          <w14:textFill>
            <w14:solidFill>
              <w14:schemeClr w14:val="tx1"/>
            </w14:solidFill>
          </w14:textFill>
        </w:rPr>
        <w:t>附件五   主要设备最低要求</w:t>
      </w:r>
      <w:bookmarkEnd w:id="342"/>
      <w:bookmarkEnd w:id="343"/>
    </w:p>
    <w:p w14:paraId="0124520F">
      <w:pPr>
        <w:rPr>
          <w:color w:val="000000" w:themeColor="text1"/>
          <w:highlight w:val="none"/>
          <w14:textFill>
            <w14:solidFill>
              <w14:schemeClr w14:val="tx1"/>
            </w14:solidFill>
          </w14:textFill>
        </w:rPr>
      </w:pPr>
    </w:p>
    <w:p w14:paraId="1631D900">
      <w:pPr>
        <w:jc w:val="center"/>
        <w:rPr>
          <w:b/>
          <w:bCs/>
          <w:color w:val="000000" w:themeColor="text1"/>
          <w:sz w:val="32"/>
          <w:szCs w:val="40"/>
          <w:highlight w:val="none"/>
          <w14:textFill>
            <w14:solidFill>
              <w14:schemeClr w14:val="tx1"/>
            </w14:solidFill>
          </w14:textFill>
        </w:rPr>
      </w:pPr>
      <w:r>
        <w:rPr>
          <w:rFonts w:hint="eastAsia"/>
          <w:b/>
          <w:bCs/>
          <w:color w:val="000000" w:themeColor="text1"/>
          <w:sz w:val="32"/>
          <w:szCs w:val="40"/>
          <w:highlight w:val="none"/>
          <w14:textFill>
            <w14:solidFill>
              <w14:schemeClr w14:val="tx1"/>
            </w14:solidFill>
          </w14:textFill>
        </w:rPr>
        <w:t>主要设备最低要求</w:t>
      </w:r>
      <w:bookmarkEnd w:id="341"/>
      <w:bookmarkEnd w:id="344"/>
      <w:bookmarkEnd w:id="345"/>
    </w:p>
    <w:tbl>
      <w:tblPr>
        <w:tblStyle w:val="45"/>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2"/>
        <w:gridCol w:w="2736"/>
        <w:gridCol w:w="2972"/>
        <w:gridCol w:w="842"/>
        <w:gridCol w:w="1443"/>
      </w:tblGrid>
      <w:tr w14:paraId="7BE6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51A7ECF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2736" w:type="dxa"/>
            <w:vAlign w:val="center"/>
          </w:tcPr>
          <w:p w14:paraId="58319647">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2972" w:type="dxa"/>
            <w:vAlign w:val="center"/>
          </w:tcPr>
          <w:p w14:paraId="31BCF58B">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规格、功率及容量</w:t>
            </w:r>
          </w:p>
        </w:tc>
        <w:tc>
          <w:tcPr>
            <w:tcW w:w="842" w:type="dxa"/>
            <w:vAlign w:val="center"/>
          </w:tcPr>
          <w:p w14:paraId="603E33A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w:t>
            </w:r>
          </w:p>
        </w:tc>
        <w:tc>
          <w:tcPr>
            <w:tcW w:w="1443" w:type="dxa"/>
            <w:vAlign w:val="center"/>
          </w:tcPr>
          <w:p w14:paraId="20E306A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最低数量</w:t>
            </w:r>
          </w:p>
        </w:tc>
      </w:tr>
      <w:tr w14:paraId="030B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91EA26F">
            <w:pPr>
              <w:tabs>
                <w:tab w:val="left" w:pos="425"/>
              </w:tabs>
              <w:jc w:val="center"/>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0FF39892">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3F90CA9E">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19882045">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4CBC4A3E">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19AE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3145D65">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5BDD798D">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21D5B079">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09644E71">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7B87246B">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683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4A4E1924">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6491FF82">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0FDCD65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0305DAFB">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04E18127">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CF0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17DE9FCB">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27825CA">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1BF597E8">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253F31E5">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59D47D15">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5E4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3ECD5462">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23256A5">
            <w:pPr>
              <w:spacing w:line="360" w:lineRule="auto"/>
              <w:ind w:firstLine="240" w:firstLineChars="100"/>
              <w:jc w:val="left"/>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4107E486">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508B1AA6">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0607D132">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6B71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482F7D2C">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59DD567E">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51F28AE5">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2242A43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72C65B38">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3F7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773FCD1">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2A0F39CC">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4451D9CB">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7BD01A3A">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3B53BCA3">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88E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35183C0">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3CEF02F">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001602F8">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6E0B8CCD">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1A350BB5">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C8A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413598FC">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2613EF2A">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07E77219">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491C73DF">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1DAD9234">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91C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exact"/>
          <w:jc w:val="center"/>
        </w:trPr>
        <w:tc>
          <w:tcPr>
            <w:tcW w:w="772" w:type="dxa"/>
            <w:vAlign w:val="center"/>
          </w:tcPr>
          <w:p w14:paraId="61CEB41D">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FBE05F0">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2BFDD5E1">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5AD12ABD">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2BF2E5F7">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r>
      <w:tr w14:paraId="3771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772" w:type="dxa"/>
            <w:vAlign w:val="center"/>
          </w:tcPr>
          <w:p w14:paraId="0D4B3660">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139590B">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22140F26">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7091338A">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42606A88">
            <w:pPr>
              <w:adjustRightInd w:val="0"/>
              <w:snapToGrid w:val="0"/>
              <w:jc w:val="center"/>
              <w:rPr>
                <w:rFonts w:hint="eastAsia" w:ascii="宋体" w:hAnsi="宋体" w:cs="宋体"/>
                <w:color w:val="000000" w:themeColor="text1"/>
                <w:sz w:val="24"/>
                <w:highlight w:val="none"/>
                <w14:textFill>
                  <w14:solidFill>
                    <w14:schemeClr w14:val="tx1"/>
                  </w14:solidFill>
                </w14:textFill>
              </w:rPr>
            </w:pPr>
          </w:p>
        </w:tc>
      </w:tr>
      <w:tr w14:paraId="72BC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772" w:type="dxa"/>
            <w:vAlign w:val="center"/>
          </w:tcPr>
          <w:p w14:paraId="7EB4F525">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10AED99A">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00FB3CBE">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2E3A993B">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0B8E4ED0">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3F86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399D7718">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0BEB5087">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267FEB2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0959E8E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shd w:val="clear" w:color="auto" w:fill="FFFFFF"/>
            <w:vAlign w:val="center"/>
          </w:tcPr>
          <w:p w14:paraId="2136F8EE">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61A9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329B0FA7">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7A3A1A9B">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1C96ADB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7AFFD61B">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vAlign w:val="center"/>
          </w:tcPr>
          <w:p w14:paraId="5A858F9E">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40A9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61CDBE33">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415C4288">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0DA07B2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2A8D015D">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vAlign w:val="center"/>
          </w:tcPr>
          <w:p w14:paraId="599BE884">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E63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3333DB1E">
            <w:pPr>
              <w:tabs>
                <w:tab w:val="left" w:pos="425"/>
              </w:tabs>
              <w:ind w:left="299"/>
              <w:rPr>
                <w:rFonts w:hint="eastAsia" w:ascii="宋体" w:hAnsi="宋体" w:cs="宋体"/>
                <w:color w:val="000000" w:themeColor="text1"/>
                <w:sz w:val="24"/>
                <w:highlight w:val="none"/>
                <w14:textFill>
                  <w14:solidFill>
                    <w14:schemeClr w14:val="tx1"/>
                  </w14:solidFill>
                </w14:textFill>
              </w:rPr>
            </w:pPr>
          </w:p>
        </w:tc>
        <w:tc>
          <w:tcPr>
            <w:tcW w:w="2736" w:type="dxa"/>
            <w:vAlign w:val="center"/>
          </w:tcPr>
          <w:p w14:paraId="5F093F12">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p>
        </w:tc>
        <w:tc>
          <w:tcPr>
            <w:tcW w:w="2972" w:type="dxa"/>
            <w:vAlign w:val="center"/>
          </w:tcPr>
          <w:p w14:paraId="2434165E">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842" w:type="dxa"/>
            <w:vAlign w:val="center"/>
          </w:tcPr>
          <w:p w14:paraId="3108BD1E">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43" w:type="dxa"/>
            <w:vAlign w:val="center"/>
          </w:tcPr>
          <w:p w14:paraId="1D2C875F">
            <w:pPr>
              <w:spacing w:line="360" w:lineRule="auto"/>
              <w:jc w:val="center"/>
              <w:rPr>
                <w:rFonts w:hint="eastAsia" w:ascii="宋体" w:hAnsi="宋体" w:cs="宋体"/>
                <w:color w:val="000000" w:themeColor="text1"/>
                <w:sz w:val="24"/>
                <w:highlight w:val="none"/>
                <w14:textFill>
                  <w14:solidFill>
                    <w14:schemeClr w14:val="tx1"/>
                  </w14:solidFill>
                </w14:textFill>
              </w:rPr>
            </w:pPr>
          </w:p>
        </w:tc>
      </w:tr>
    </w:tbl>
    <w:p w14:paraId="3AC16590">
      <w:pPr>
        <w:widowControl/>
        <w:jc w:val="left"/>
        <w:rPr>
          <w:rFonts w:ascii="宋体"/>
          <w:color w:val="000000" w:themeColor="text1"/>
          <w:sz w:val="24"/>
          <w:highlight w:val="none"/>
          <w14:textFill>
            <w14:solidFill>
              <w14:schemeClr w14:val="tx1"/>
            </w14:solidFill>
          </w14:textFill>
        </w:rPr>
      </w:pPr>
    </w:p>
    <w:p w14:paraId="1065E932">
      <w:pPr>
        <w:rPr>
          <w:color w:val="000000" w:themeColor="text1"/>
          <w:highlight w:val="none"/>
          <w14:textFill>
            <w14:solidFill>
              <w14:schemeClr w14:val="tx1"/>
            </w14:solidFill>
          </w14:textFill>
        </w:rPr>
      </w:pPr>
    </w:p>
    <w:p w14:paraId="6BDD69B7">
      <w:pPr>
        <w:pStyle w:val="70"/>
        <w:rPr>
          <w:color w:val="000000" w:themeColor="text1"/>
          <w:highlight w:val="none"/>
          <w14:textFill>
            <w14:solidFill>
              <w14:schemeClr w14:val="tx1"/>
            </w14:solidFill>
          </w14:textFill>
        </w:rPr>
      </w:pPr>
    </w:p>
    <w:p w14:paraId="3BF76D1F">
      <w:pPr>
        <w:rPr>
          <w:color w:val="000000" w:themeColor="text1"/>
          <w:highlight w:val="none"/>
          <w14:textFill>
            <w14:solidFill>
              <w14:schemeClr w14:val="tx1"/>
            </w14:solidFill>
          </w14:textFill>
        </w:rPr>
      </w:pPr>
    </w:p>
    <w:p w14:paraId="2F5EFEDD">
      <w:pPr>
        <w:pStyle w:val="70"/>
        <w:rPr>
          <w:color w:val="000000" w:themeColor="text1"/>
          <w:highlight w:val="none"/>
          <w14:textFill>
            <w14:solidFill>
              <w14:schemeClr w14:val="tx1"/>
            </w14:solidFill>
          </w14:textFill>
        </w:rPr>
      </w:pPr>
    </w:p>
    <w:p w14:paraId="589A8E03">
      <w:pPr>
        <w:rPr>
          <w:color w:val="000000" w:themeColor="text1"/>
          <w:highlight w:val="none"/>
          <w14:textFill>
            <w14:solidFill>
              <w14:schemeClr w14:val="tx1"/>
            </w14:solidFill>
          </w14:textFill>
        </w:rPr>
      </w:pPr>
    </w:p>
    <w:p w14:paraId="6495D5C2">
      <w:pPr>
        <w:pStyle w:val="70"/>
        <w:rPr>
          <w:color w:val="000000" w:themeColor="text1"/>
          <w:highlight w:val="none"/>
          <w14:textFill>
            <w14:solidFill>
              <w14:schemeClr w14:val="tx1"/>
            </w14:solidFill>
          </w14:textFill>
        </w:rPr>
      </w:pPr>
    </w:p>
    <w:p w14:paraId="2D9D0FF8">
      <w:pPr>
        <w:rPr>
          <w:color w:val="000000" w:themeColor="text1"/>
          <w:highlight w:val="none"/>
          <w14:textFill>
            <w14:solidFill>
              <w14:schemeClr w14:val="tx1"/>
            </w14:solidFill>
          </w14:textFill>
        </w:rPr>
      </w:pPr>
    </w:p>
    <w:p w14:paraId="339C4087">
      <w:pPr>
        <w:pStyle w:val="70"/>
        <w:rPr>
          <w:color w:val="000000" w:themeColor="text1"/>
          <w:highlight w:val="none"/>
          <w14:textFill>
            <w14:solidFill>
              <w14:schemeClr w14:val="tx1"/>
            </w14:solidFill>
          </w14:textFill>
        </w:rPr>
      </w:pPr>
    </w:p>
    <w:p w14:paraId="784C7E42">
      <w:pPr>
        <w:rPr>
          <w:color w:val="000000" w:themeColor="text1"/>
          <w:highlight w:val="none"/>
          <w14:textFill>
            <w14:solidFill>
              <w14:schemeClr w14:val="tx1"/>
            </w14:solidFill>
          </w14:textFill>
        </w:rPr>
      </w:pPr>
    </w:p>
    <w:p w14:paraId="44592AF0">
      <w:pPr>
        <w:rPr>
          <w:color w:val="000000" w:themeColor="text1"/>
          <w:highlight w:val="none"/>
          <w14:textFill>
            <w14:solidFill>
              <w14:schemeClr w14:val="tx1"/>
            </w14:solidFill>
          </w14:textFill>
        </w:rPr>
      </w:pPr>
    </w:p>
    <w:p w14:paraId="7AF2F6E2">
      <w:pPr>
        <w:pStyle w:val="70"/>
        <w:rPr>
          <w:color w:val="000000" w:themeColor="text1"/>
          <w:highlight w:val="none"/>
          <w14:textFill>
            <w14:solidFill>
              <w14:schemeClr w14:val="tx1"/>
            </w14:solidFill>
          </w14:textFill>
        </w:rPr>
      </w:pPr>
    </w:p>
    <w:p w14:paraId="0C5A514D">
      <w:pPr>
        <w:rPr>
          <w:color w:val="000000" w:themeColor="text1"/>
          <w:highlight w:val="none"/>
          <w14:textFill>
            <w14:solidFill>
              <w14:schemeClr w14:val="tx1"/>
            </w14:solidFill>
          </w14:textFill>
        </w:rPr>
      </w:pPr>
    </w:p>
    <w:p w14:paraId="500614C6">
      <w:pPr>
        <w:pStyle w:val="5"/>
        <w:rPr>
          <w:rFonts w:hint="eastAsia" w:ascii="宋体" w:hAnsi="宋体" w:cs="宋体"/>
          <w:color w:val="000000" w:themeColor="text1"/>
          <w:kern w:val="0"/>
          <w:sz w:val="28"/>
          <w:szCs w:val="28"/>
          <w:highlight w:val="none"/>
          <w14:textFill>
            <w14:solidFill>
              <w14:schemeClr w14:val="tx1"/>
            </w14:solidFill>
          </w14:textFill>
        </w:rPr>
      </w:pPr>
      <w:bookmarkStart w:id="346" w:name="_Toc17668"/>
      <w:bookmarkStart w:id="347" w:name="_Toc16658"/>
      <w:bookmarkStart w:id="348" w:name="_Toc505844508"/>
      <w:bookmarkStart w:id="349" w:name="_Toc9752"/>
      <w:r>
        <w:rPr>
          <w:rFonts w:hint="eastAsia" w:ascii="宋体" w:hAnsi="宋体" w:cs="宋体"/>
          <w:color w:val="000000" w:themeColor="text1"/>
          <w:kern w:val="0"/>
          <w:sz w:val="28"/>
          <w:szCs w:val="28"/>
          <w:highlight w:val="none"/>
          <w14:textFill>
            <w14:solidFill>
              <w14:schemeClr w14:val="tx1"/>
            </w14:solidFill>
          </w14:textFill>
        </w:rPr>
        <w:t>附件六   项目经理委托书</w:t>
      </w:r>
      <w:bookmarkEnd w:id="346"/>
      <w:bookmarkEnd w:id="347"/>
      <w:bookmarkEnd w:id="348"/>
      <w:bookmarkEnd w:id="349"/>
    </w:p>
    <w:p w14:paraId="465D827E">
      <w:pPr>
        <w:pStyle w:val="70"/>
        <w:rPr>
          <w:color w:val="000000" w:themeColor="text1"/>
          <w:highlight w:val="none"/>
          <w14:textFill>
            <w14:solidFill>
              <w14:schemeClr w14:val="tx1"/>
            </w14:solidFill>
          </w14:textFill>
        </w:rPr>
      </w:pPr>
    </w:p>
    <w:p w14:paraId="650D1C71">
      <w:pPr>
        <w:spacing w:line="400" w:lineRule="exact"/>
        <w:jc w:val="center"/>
        <w:rPr>
          <w:rFonts w:hint="eastAsia" w:ascii="宋体" w:hAnsi="宋体"/>
          <w:color w:val="000000" w:themeColor="text1"/>
          <w:sz w:val="24"/>
          <w:highlight w:val="none"/>
          <w:u w:val="single"/>
          <w14:textFill>
            <w14:solidFill>
              <w14:schemeClr w14:val="tx1"/>
            </w14:solidFill>
          </w14:textFill>
        </w:rPr>
      </w:pPr>
    </w:p>
    <w:p w14:paraId="032EB41A">
      <w:pPr>
        <w:pStyle w:val="70"/>
        <w:rPr>
          <w:rFonts w:hint="eastAsia" w:ascii="宋体" w:hAnsi="宋体"/>
          <w:color w:val="000000" w:themeColor="text1"/>
          <w:sz w:val="24"/>
          <w:highlight w:val="none"/>
          <w:u w:val="single"/>
          <w14:textFill>
            <w14:solidFill>
              <w14:schemeClr w14:val="tx1"/>
            </w14:solidFill>
          </w14:textFill>
        </w:rPr>
      </w:pPr>
    </w:p>
    <w:p w14:paraId="525D18DE">
      <w:pPr>
        <w:rPr>
          <w:color w:val="000000" w:themeColor="text1"/>
          <w:highlight w:val="none"/>
          <w14:textFill>
            <w14:solidFill>
              <w14:schemeClr w14:val="tx1"/>
            </w14:solidFill>
          </w14:textFill>
        </w:rPr>
      </w:pPr>
    </w:p>
    <w:p w14:paraId="452E2562">
      <w:pPr>
        <w:spacing w:line="400" w:lineRule="exact"/>
        <w:jc w:val="center"/>
        <w:rPr>
          <w:rFonts w:asci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（承包人全称）</w:t>
      </w:r>
    </w:p>
    <w:p w14:paraId="246FCEDE">
      <w:pPr>
        <w:spacing w:line="400" w:lineRule="exact"/>
        <w:jc w:val="center"/>
        <w:rPr>
          <w:rFonts w:asci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（合同工程名称）</w:t>
      </w:r>
      <w:r>
        <w:rPr>
          <w:rFonts w:hint="eastAsia" w:ascii="宋体" w:hAnsi="宋体"/>
          <w:color w:val="000000" w:themeColor="text1"/>
          <w:sz w:val="24"/>
          <w:highlight w:val="none"/>
          <w14:textFill>
            <w14:solidFill>
              <w14:schemeClr w14:val="tx1"/>
            </w14:solidFill>
          </w14:textFill>
        </w:rPr>
        <w:t>项目经理委任书</w:t>
      </w:r>
    </w:p>
    <w:p w14:paraId="1B80E38C">
      <w:pPr>
        <w:spacing w:line="400" w:lineRule="exact"/>
        <w:rPr>
          <w:rFonts w:ascii="宋体"/>
          <w:color w:val="000000" w:themeColor="text1"/>
          <w:sz w:val="24"/>
          <w:highlight w:val="none"/>
          <w14:textFill>
            <w14:solidFill>
              <w14:schemeClr w14:val="tx1"/>
            </w14:solidFill>
          </w14:textFill>
        </w:rPr>
      </w:pPr>
    </w:p>
    <w:p w14:paraId="16EF7CAA">
      <w:pPr>
        <w:spacing w:line="400" w:lineRule="exact"/>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（发包人全称</w:t>
      </w:r>
      <w:r>
        <w:rPr>
          <w:rFonts w:hint="eastAsia" w:ascii="宋体" w:hAnsi="宋体"/>
          <w:color w:val="000000" w:themeColor="text1"/>
          <w:sz w:val="24"/>
          <w:highlight w:val="none"/>
          <w14:textFill>
            <w14:solidFill>
              <w14:schemeClr w14:val="tx1"/>
            </w14:solidFill>
          </w14:textFill>
        </w:rPr>
        <w:t>）</w:t>
      </w:r>
    </w:p>
    <w:p w14:paraId="29A2E7F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（承包人全称）</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（职务、姓名）</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代表本单位委任</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（职务、姓名）</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为</w:t>
      </w:r>
      <w:r>
        <w:rPr>
          <w:rFonts w:hint="eastAsia" w:ascii="宋体" w:hAnsi="宋体"/>
          <w:color w:val="000000" w:themeColor="text1"/>
          <w:sz w:val="24"/>
          <w:highlight w:val="none"/>
          <w:u w:val="single"/>
          <w14:textFill>
            <w14:solidFill>
              <w14:schemeClr w14:val="tx1"/>
            </w14:solidFill>
          </w14:textFill>
        </w:rPr>
        <w:t>（合同工程名称）</w:t>
      </w:r>
      <w:r>
        <w:rPr>
          <w:rFonts w:hint="eastAsia" w:ascii="宋体" w:hAnsi="宋体"/>
          <w:color w:val="000000" w:themeColor="text1"/>
          <w:sz w:val="24"/>
          <w:highlight w:val="none"/>
          <w14:textFill>
            <w14:solidFill>
              <w14:schemeClr w14:val="tx1"/>
            </w14:solidFill>
          </w14:textFill>
        </w:rPr>
        <w:t>的项目经理。凡本合同执行中的有关技术、工程进度、现场管理、质量检验、结算与支付等方面工作，由</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（姓名）</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代表本单位全面负责。</w:t>
      </w:r>
    </w:p>
    <w:p w14:paraId="5B53BCBE">
      <w:pPr>
        <w:spacing w:line="400" w:lineRule="exact"/>
        <w:rPr>
          <w:rFonts w:ascii="宋体"/>
          <w:color w:val="000000" w:themeColor="text1"/>
          <w:sz w:val="24"/>
          <w:highlight w:val="none"/>
          <w14:textFill>
            <w14:solidFill>
              <w14:schemeClr w14:val="tx1"/>
            </w14:solidFill>
          </w14:textFill>
        </w:rPr>
      </w:pPr>
    </w:p>
    <w:p w14:paraId="4C74AC82">
      <w:pPr>
        <w:wordWrap w:val="0"/>
        <w:spacing w:line="400" w:lineRule="exact"/>
        <w:jc w:val="right"/>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1766DC2B">
      <w:pPr>
        <w:wordWrap w:val="0"/>
        <w:spacing w:line="400" w:lineRule="exact"/>
        <w:jc w:val="center"/>
        <w:rPr>
          <w:rFonts w:asci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（职务）</w:t>
      </w:r>
      <w:r>
        <w:rPr>
          <w:rFonts w:ascii="宋体" w:hAnsi="宋体"/>
          <w:color w:val="000000" w:themeColor="text1"/>
          <w:sz w:val="24"/>
          <w:highlight w:val="none"/>
          <w:u w:val="single"/>
          <w14:textFill>
            <w14:solidFill>
              <w14:schemeClr w14:val="tx1"/>
            </w14:solidFill>
          </w14:textFill>
        </w:rPr>
        <w:t xml:space="preserve"> </w:t>
      </w:r>
    </w:p>
    <w:p w14:paraId="74D04EC3">
      <w:pPr>
        <w:wordWrap w:val="0"/>
        <w:spacing w:line="400" w:lineRule="exact"/>
        <w:ind w:firstLine="1800" w:firstLineChars="750"/>
        <w:jc w:val="center"/>
        <w:rPr>
          <w:rFonts w:asci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（姓名）</w:t>
      </w:r>
      <w:r>
        <w:rPr>
          <w:rFonts w:ascii="宋体" w:hAnsi="宋体"/>
          <w:color w:val="000000" w:themeColor="text1"/>
          <w:sz w:val="24"/>
          <w:highlight w:val="none"/>
          <w:u w:val="single"/>
          <w14:textFill>
            <w14:solidFill>
              <w14:schemeClr w14:val="tx1"/>
            </w14:solidFill>
          </w14:textFill>
        </w:rPr>
        <w:t xml:space="preserve"> </w:t>
      </w:r>
    </w:p>
    <w:p w14:paraId="72F9551D">
      <w:pPr>
        <w:wordWrap w:val="0"/>
        <w:spacing w:line="400" w:lineRule="exact"/>
        <w:ind w:firstLine="1800" w:firstLineChars="750"/>
        <w:jc w:val="center"/>
        <w:rPr>
          <w:rFonts w:asci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（签字或盖章）</w:t>
      </w:r>
      <w:r>
        <w:rPr>
          <w:rFonts w:ascii="宋体" w:hAnsi="宋体"/>
          <w:color w:val="000000" w:themeColor="text1"/>
          <w:sz w:val="24"/>
          <w:highlight w:val="none"/>
          <w:u w:val="single"/>
          <w14:textFill>
            <w14:solidFill>
              <w14:schemeClr w14:val="tx1"/>
            </w14:solidFill>
          </w14:textFill>
        </w:rPr>
        <w:t xml:space="preserve"> </w:t>
      </w:r>
    </w:p>
    <w:p w14:paraId="02BFAAC1">
      <w:pPr>
        <w:spacing w:line="400" w:lineRule="exact"/>
        <w:rPr>
          <w:rFonts w:ascii="宋体"/>
          <w:color w:val="000000" w:themeColor="text1"/>
          <w:sz w:val="24"/>
          <w:highlight w:val="none"/>
          <w14:textFill>
            <w14:solidFill>
              <w14:schemeClr w14:val="tx1"/>
            </w14:solidFill>
          </w14:textFill>
        </w:rPr>
      </w:pPr>
    </w:p>
    <w:p w14:paraId="0D80C062">
      <w:pPr>
        <w:wordWrap w:val="0"/>
        <w:spacing w:line="400" w:lineRule="exact"/>
        <w:jc w:val="righ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6F6A0ECA">
      <w:pPr>
        <w:spacing w:line="400" w:lineRule="exact"/>
        <w:rPr>
          <w:rFonts w:ascii="宋体"/>
          <w:color w:val="000000" w:themeColor="text1"/>
          <w:sz w:val="24"/>
          <w:highlight w:val="none"/>
          <w14:textFill>
            <w14:solidFill>
              <w14:schemeClr w14:val="tx1"/>
            </w14:solidFill>
          </w14:textFill>
        </w:rPr>
      </w:pPr>
    </w:p>
    <w:p w14:paraId="25C05BC5">
      <w:pPr>
        <w:spacing w:line="400" w:lineRule="exact"/>
        <w:jc w:val="left"/>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抄送：</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（监理人）</w:t>
      </w:r>
    </w:p>
    <w:p w14:paraId="7072260C">
      <w:pPr>
        <w:pStyle w:val="74"/>
        <w:spacing w:line="360" w:lineRule="auto"/>
        <w:rPr>
          <w:rFonts w:ascii="宋体"/>
          <w:color w:val="000000" w:themeColor="text1"/>
          <w:sz w:val="24"/>
          <w:szCs w:val="24"/>
          <w:highlight w:val="none"/>
          <w14:textFill>
            <w14:solidFill>
              <w14:schemeClr w14:val="tx1"/>
            </w14:solidFill>
          </w14:textFill>
        </w:rPr>
      </w:pPr>
      <w:bookmarkStart w:id="350" w:name="_Toc505844509"/>
      <w:bookmarkStart w:id="351" w:name="_Toc505608633"/>
      <w:r>
        <w:rPr>
          <w:rFonts w:ascii="宋体"/>
          <w:color w:val="000000" w:themeColor="text1"/>
          <w:sz w:val="24"/>
          <w:szCs w:val="24"/>
          <w:highlight w:val="none"/>
          <w14:textFill>
            <w14:solidFill>
              <w14:schemeClr w14:val="tx1"/>
            </w14:solidFill>
          </w14:textFill>
        </w:rPr>
        <w:br w:type="page"/>
      </w:r>
      <w:bookmarkStart w:id="352" w:name="_Toc21137"/>
      <w:bookmarkStart w:id="353" w:name="_Toc6781"/>
      <w:bookmarkStart w:id="354" w:name="_Toc24273"/>
      <w:r>
        <w:rPr>
          <w:rFonts w:hint="eastAsia" w:ascii="宋体" w:hAnsi="宋体"/>
          <w:color w:val="000000" w:themeColor="text1"/>
          <w:sz w:val="24"/>
          <w:szCs w:val="24"/>
          <w:highlight w:val="none"/>
          <w14:textFill>
            <w14:solidFill>
              <w14:schemeClr w14:val="tx1"/>
            </w14:solidFill>
          </w14:textFill>
        </w:rPr>
        <w:t>附件七</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履约担保格式</w:t>
      </w:r>
      <w:bookmarkEnd w:id="350"/>
      <w:bookmarkEnd w:id="351"/>
      <w:bookmarkEnd w:id="352"/>
      <w:bookmarkEnd w:id="353"/>
      <w:bookmarkEnd w:id="354"/>
    </w:p>
    <w:p w14:paraId="6FAD9051">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如采用银行保函，格式如下。</w:t>
      </w:r>
    </w:p>
    <w:p w14:paraId="7BE8CD3B">
      <w:pPr>
        <w:jc w:val="center"/>
        <w:rPr>
          <w:rFonts w:asci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履约保证金</w:t>
      </w:r>
    </w:p>
    <w:p w14:paraId="3247C613">
      <w:pPr>
        <w:rPr>
          <w:rFonts w:ascii="宋体"/>
          <w:color w:val="000000" w:themeColor="text1"/>
          <w:sz w:val="24"/>
          <w:highlight w:val="none"/>
          <w14:textFill>
            <w14:solidFill>
              <w14:schemeClr w14:val="tx1"/>
            </w14:solidFill>
          </w14:textFill>
        </w:rPr>
      </w:pPr>
    </w:p>
    <w:p w14:paraId="068BBF88">
      <w:pPr>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（发包人名称）：</w:t>
      </w:r>
    </w:p>
    <w:p w14:paraId="3C47CC5A">
      <w:pPr>
        <w:rPr>
          <w:rFonts w:ascii="宋体"/>
          <w:color w:val="000000" w:themeColor="text1"/>
          <w:sz w:val="24"/>
          <w:highlight w:val="none"/>
          <w14:textFill>
            <w14:solidFill>
              <w14:schemeClr w14:val="tx1"/>
            </w14:solidFill>
          </w14:textFill>
        </w:rPr>
      </w:pPr>
    </w:p>
    <w:p w14:paraId="5683E3D8">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（发包人名称，以下简称</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发包人</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）接受</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（承包人名称）（以下称</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承包人</w:t>
      </w:r>
      <w:r>
        <w:rPr>
          <w:rFonts w:hint="eastAsia" w:asci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）于</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日参加</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的投标。我方愿意无条件地、不可撤销地就承包人履行与你方订立的合同，向你方提供担保。</w:t>
      </w:r>
    </w:p>
    <w:p w14:paraId="28FFF617">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担保金额人民币（大写）</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元（</w:t>
      </w:r>
      <w:r>
        <w:rPr>
          <w:rFonts w:hint="eastAsia" w:asci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033135B6">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担保有效期自发包人与承包人签订的合同生效之日起至发包人签发交工验收证书且承包人按照合同约定缴纳质量保证金之日止。</w:t>
      </w:r>
    </w:p>
    <w:p w14:paraId="305CCA57">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在本担保有效期内，因承包人违反合同约定的义务给你方造成经济损失时，我方在收到你方以书面形式提出的在担保金额内的赔偿要求后，在</w:t>
      </w: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天内无条件支付，无须你方出具证明或陈述理由。</w:t>
      </w:r>
    </w:p>
    <w:p w14:paraId="0AFA80F8">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发包人和承包人按合同条款第</w:t>
      </w:r>
      <w:r>
        <w:rPr>
          <w:rFonts w:ascii="宋体" w:hAnsi="宋体"/>
          <w:color w:val="000000" w:themeColor="text1"/>
          <w:sz w:val="24"/>
          <w:highlight w:val="none"/>
          <w14:textFill>
            <w14:solidFill>
              <w14:schemeClr w14:val="tx1"/>
            </w14:solidFill>
          </w14:textFill>
        </w:rPr>
        <w:t>15</w:t>
      </w:r>
      <w:r>
        <w:rPr>
          <w:rFonts w:hint="eastAsia" w:ascii="宋体" w:hAnsi="宋体"/>
          <w:color w:val="000000" w:themeColor="text1"/>
          <w:sz w:val="24"/>
          <w:highlight w:val="none"/>
          <w14:textFill>
            <w14:solidFill>
              <w14:schemeClr w14:val="tx1"/>
            </w14:solidFill>
          </w14:textFill>
        </w:rPr>
        <w:t>条变更合同时，无论我方是否收到该变更，我方承担本担保规定的义务不变。</w:t>
      </w:r>
    </w:p>
    <w:p w14:paraId="07D5F0DE">
      <w:pPr>
        <w:rPr>
          <w:rFonts w:ascii="宋体"/>
          <w:color w:val="000000" w:themeColor="text1"/>
          <w:sz w:val="24"/>
          <w:highlight w:val="none"/>
          <w14:textFill>
            <w14:solidFill>
              <w14:schemeClr w14:val="tx1"/>
            </w14:solidFill>
          </w14:textFill>
        </w:rPr>
      </w:pPr>
    </w:p>
    <w:p w14:paraId="089C2024">
      <w:pPr>
        <w:rPr>
          <w:rFonts w:ascii="宋体"/>
          <w:color w:val="000000" w:themeColor="text1"/>
          <w:sz w:val="24"/>
          <w:highlight w:val="none"/>
          <w14:textFill>
            <w14:solidFill>
              <w14:schemeClr w14:val="tx1"/>
            </w14:solidFill>
          </w14:textFill>
        </w:rPr>
      </w:pPr>
    </w:p>
    <w:p w14:paraId="721765A9">
      <w:pPr>
        <w:rPr>
          <w:rFonts w:ascii="宋体"/>
          <w:color w:val="000000" w:themeColor="text1"/>
          <w:sz w:val="24"/>
          <w:highlight w:val="none"/>
          <w14:textFill>
            <w14:solidFill>
              <w14:schemeClr w14:val="tx1"/>
            </w14:solidFill>
          </w14:textFill>
        </w:rPr>
      </w:pPr>
    </w:p>
    <w:p w14:paraId="006098CE">
      <w:pPr>
        <w:rPr>
          <w:rFonts w:ascii="宋体"/>
          <w:color w:val="000000" w:themeColor="text1"/>
          <w:sz w:val="24"/>
          <w:highlight w:val="none"/>
          <w14:textFill>
            <w14:solidFill>
              <w14:schemeClr w14:val="tx1"/>
            </w14:solidFill>
          </w14:textFill>
        </w:rPr>
      </w:pPr>
    </w:p>
    <w:p w14:paraId="1DB4F160">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担</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保</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4AC072C7">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法定代表人或其委托代理人：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p w14:paraId="1F83979A">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地</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址：</w:t>
      </w:r>
      <w:r>
        <w:rPr>
          <w:rFonts w:ascii="宋体" w:hAnsi="宋体"/>
          <w:color w:val="000000" w:themeColor="text1"/>
          <w:sz w:val="24"/>
          <w:highlight w:val="none"/>
          <w:u w:val="single"/>
          <w14:textFill>
            <w14:solidFill>
              <w14:schemeClr w14:val="tx1"/>
            </w14:solidFill>
          </w14:textFill>
        </w:rPr>
        <w:t xml:space="preserve">                              </w:t>
      </w:r>
    </w:p>
    <w:p w14:paraId="0FDCBED6">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邮政编码：</w:t>
      </w:r>
      <w:r>
        <w:rPr>
          <w:rFonts w:ascii="宋体" w:hAnsi="宋体"/>
          <w:color w:val="000000" w:themeColor="text1"/>
          <w:sz w:val="24"/>
          <w:highlight w:val="none"/>
          <w:u w:val="single"/>
          <w14:textFill>
            <w14:solidFill>
              <w14:schemeClr w14:val="tx1"/>
            </w14:solidFill>
          </w14:textFill>
        </w:rPr>
        <w:t xml:space="preserve">                              </w:t>
      </w:r>
    </w:p>
    <w:p w14:paraId="1F861492">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话：</w:t>
      </w:r>
      <w:r>
        <w:rPr>
          <w:rFonts w:ascii="宋体" w:hAnsi="宋体"/>
          <w:color w:val="000000" w:themeColor="text1"/>
          <w:sz w:val="24"/>
          <w:highlight w:val="none"/>
          <w:u w:val="single"/>
          <w14:textFill>
            <w14:solidFill>
              <w14:schemeClr w14:val="tx1"/>
            </w14:solidFill>
          </w14:textFill>
        </w:rPr>
        <w:t xml:space="preserve">                              </w:t>
      </w:r>
    </w:p>
    <w:p w14:paraId="56E3FC6F">
      <w:pPr>
        <w:spacing w:line="44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传</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真：</w:t>
      </w:r>
      <w:r>
        <w:rPr>
          <w:rFonts w:ascii="宋体" w:hAnsi="宋体"/>
          <w:color w:val="000000" w:themeColor="text1"/>
          <w:sz w:val="24"/>
          <w:highlight w:val="none"/>
          <w:u w:val="single"/>
          <w14:textFill>
            <w14:solidFill>
              <w14:schemeClr w14:val="tx1"/>
            </w14:solidFill>
          </w14:textFill>
        </w:rPr>
        <w:t xml:space="preserve">                              </w:t>
      </w:r>
    </w:p>
    <w:p w14:paraId="116C80EE">
      <w:pPr>
        <w:rPr>
          <w:rFonts w:ascii="宋体"/>
          <w:color w:val="000000" w:themeColor="text1"/>
          <w:sz w:val="24"/>
          <w:highlight w:val="none"/>
          <w14:textFill>
            <w14:solidFill>
              <w14:schemeClr w14:val="tx1"/>
            </w14:solidFill>
          </w14:textFill>
        </w:rPr>
      </w:pPr>
    </w:p>
    <w:p w14:paraId="39F98835">
      <w:pPr>
        <w:rPr>
          <w:rFonts w:ascii="宋体"/>
          <w:color w:val="000000" w:themeColor="text1"/>
          <w:sz w:val="24"/>
          <w:highlight w:val="none"/>
          <w14:textFill>
            <w14:solidFill>
              <w14:schemeClr w14:val="tx1"/>
            </w14:solidFill>
          </w14:textFill>
        </w:rPr>
      </w:pPr>
    </w:p>
    <w:p w14:paraId="431EB687">
      <w:pPr>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68A3E2DB">
      <w:pPr>
        <w:pStyle w:val="74"/>
        <w:spacing w:line="360" w:lineRule="auto"/>
        <w:rPr>
          <w:rFonts w:ascii="宋体"/>
          <w:color w:val="000000" w:themeColor="text1"/>
          <w:sz w:val="24"/>
          <w:szCs w:val="24"/>
          <w:highlight w:val="none"/>
          <w14:textFill>
            <w14:solidFill>
              <w14:schemeClr w14:val="tx1"/>
            </w14:solidFill>
          </w14:textFill>
        </w:rPr>
      </w:pPr>
      <w:bookmarkStart w:id="355" w:name="_Toc505844510"/>
      <w:r>
        <w:rPr>
          <w:rFonts w:ascii="宋体"/>
          <w:color w:val="000000" w:themeColor="text1"/>
          <w:sz w:val="24"/>
          <w:szCs w:val="24"/>
          <w:highlight w:val="none"/>
          <w14:textFill>
            <w14:solidFill>
              <w14:schemeClr w14:val="tx1"/>
            </w14:solidFill>
          </w14:textFill>
        </w:rPr>
        <w:br w:type="page"/>
      </w:r>
      <w:bookmarkStart w:id="356" w:name="_Toc7393"/>
      <w:bookmarkStart w:id="357" w:name="_Toc1874"/>
      <w:bookmarkStart w:id="358" w:name="_Toc9453"/>
      <w:r>
        <w:rPr>
          <w:rFonts w:hint="eastAsia" w:ascii="宋体" w:hAnsi="宋体"/>
          <w:color w:val="000000" w:themeColor="text1"/>
          <w:sz w:val="24"/>
          <w:szCs w:val="24"/>
          <w:highlight w:val="none"/>
          <w14:textFill>
            <w14:solidFill>
              <w14:schemeClr w14:val="tx1"/>
            </w14:solidFill>
          </w14:textFill>
        </w:rPr>
        <w:t>附件八</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工程资金监管协议格式</w:t>
      </w:r>
      <w:bookmarkEnd w:id="355"/>
      <w:bookmarkEnd w:id="356"/>
      <w:bookmarkEnd w:id="357"/>
      <w:bookmarkEnd w:id="358"/>
    </w:p>
    <w:p w14:paraId="56E1A1B4">
      <w:pPr>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（发包人与承包人签订合同协议书时应与发包人指定的银行签署工程资金监管协议，工程资金监管协议内容在保证本项目资金有效监管的前提下由三方共同商定）</w:t>
      </w:r>
    </w:p>
    <w:p w14:paraId="1E4EFBD1">
      <w:pPr>
        <w:spacing w:before="240" w:after="240"/>
        <w:jc w:val="center"/>
        <w:rPr>
          <w:rFonts w:asci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工程资金监管协议</w:t>
      </w:r>
    </w:p>
    <w:p w14:paraId="45AE7D32">
      <w:pP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包</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（以下简称“甲方”）</w:t>
      </w:r>
    </w:p>
    <w:p w14:paraId="574911FD">
      <w:pP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包</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（以下简称“乙方”）</w:t>
      </w:r>
    </w:p>
    <w:p w14:paraId="09A17929">
      <w:pP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经办银行：</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（以下简称“丙方”）</w:t>
      </w:r>
    </w:p>
    <w:p w14:paraId="70B1900F">
      <w:pPr>
        <w:rPr>
          <w:rFonts w:ascii="宋体"/>
          <w:color w:val="000000" w:themeColor="text1"/>
          <w:sz w:val="24"/>
          <w:highlight w:val="none"/>
          <w14:textFill>
            <w14:solidFill>
              <w14:schemeClr w14:val="tx1"/>
            </w14:solidFill>
          </w14:textFill>
        </w:rPr>
      </w:pPr>
    </w:p>
    <w:p w14:paraId="605E49FC">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为了促进</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（项目名称）的顺利实施，管好用好建设资金，确保工程资金专款专用，同时为承包人提供便捷有效的银行业务服务，根据</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（项目名称）合同条款有关规定，经甲、乙、丙三方协商，达成协议如下：</w:t>
      </w:r>
    </w:p>
    <w:p w14:paraId="6AAF037A">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资金管理的内容</w:t>
      </w:r>
    </w:p>
    <w:p w14:paraId="257B2920">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）乙方为完成</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（项目名称）工程成立的项目经理部在丙方开设基本结算户；</w:t>
      </w:r>
    </w:p>
    <w:p w14:paraId="0350790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）甲方应按合同规定将工程款汇入乙方在丙方开设的账户；</w:t>
      </w:r>
    </w:p>
    <w:p w14:paraId="49604790">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）乙方应将流动资金及甲方所拨付资金专项用于</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w:t>
      </w:r>
    </w:p>
    <w:p w14:paraId="47DB35E7">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）丙方应为乙方提供便捷有效的银行业务服务，并接受甲方委托对乙方在丙方开设的基本结算户资金使用情况进行监督。</w:t>
      </w:r>
    </w:p>
    <w:p w14:paraId="7CE6A5E6">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甲方的权责</w:t>
      </w:r>
    </w:p>
    <w:p w14:paraId="7CAAB63F">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）按照</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（项目名称）合同有关条款规定的时间和方式，向乙方支付工程款；</w:t>
      </w:r>
    </w:p>
    <w:p w14:paraId="2C56A68D">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）在发现乙方将本项目资金挪用、转移时，甲方有权中止工程支付，直至乙方改正为止；</w:t>
      </w:r>
    </w:p>
    <w:p w14:paraId="5D247423">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）不定期审查丙方对乙方的资金使用监督情况，如丙方不能履行其责任，甲方有权随时终止本协议；</w:t>
      </w:r>
    </w:p>
    <w:p w14:paraId="451982E4">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）在乙、丙双方发生争议时，甲方应负责协调、解决。</w:t>
      </w:r>
    </w:p>
    <w:p w14:paraId="5C5E6D8F">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乙方的权责</w:t>
      </w:r>
    </w:p>
    <w:p w14:paraId="17CC89CE">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）项目经理部成立以后，乙方应尽快在丙方开设基本结算户；</w:t>
      </w:r>
    </w:p>
    <w:p w14:paraId="727A0E68">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）确保本项目资金专款专用，不发生挪用、转移资金的现象；保证不通过权益转让、抵押、担保承担债务等任何其他方式使用基本结算户的资金；</w:t>
      </w:r>
    </w:p>
    <w:p w14:paraId="3AFDA807">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）办理材料、设备等采购业务金额在</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万元以上的，应出示购货合同、协议和发票；在办理总额超过</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万元以上的采购业务时，应将合同、协议和发票复印件送丙方备案；购买应急材料、设备时可先办理支付手续，但事后必须补备有关资料；</w:t>
      </w:r>
    </w:p>
    <w:p w14:paraId="0135200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）用银行转账支票办理支付款项时，必须将转账支票送交丙方，由丙方负责办理支票转付手续；</w:t>
      </w:r>
    </w:p>
    <w:p w14:paraId="4CEEDDFE">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）向分包单位支付工程进度款时，应附甲方批准分包的文件；</w:t>
      </w:r>
    </w:p>
    <w:p w14:paraId="53B3CD9B">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）向上级单位缴纳管理费、机械设备及周转材料租赁摊销费等款项时，应附上级单位出具的转账通知等有关资料，以确保资金专款专用。</w:t>
      </w:r>
    </w:p>
    <w:p w14:paraId="3908F812">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丙方的权责</w:t>
      </w:r>
    </w:p>
    <w:p w14:paraId="7DFBFCC4">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）成立</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（项目名称）工程资金管理服务小组，明确业务流程，提高工作效率，杜绝“压票”现象；</w:t>
      </w:r>
    </w:p>
    <w:p w14:paraId="16C88349">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）根据乙方提供的购货合同、协议和发票，检查其所购材料、设备是否用于（项目名称）工程建设，对本标段以外的购货款项，有权拒绝办理，并及时报告甲方；</w:t>
      </w:r>
    </w:p>
    <w:p w14:paraId="56A287A0">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）根据乙方与分包单位签订的合同及支付文件，检查其支付款项是否符合有关条件，向分包单位以外单位的支付有权拒绝办理，并及时报告甲方；</w:t>
      </w:r>
    </w:p>
    <w:p w14:paraId="4E878DCF">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）根据乙方提供的上级单位出具的转账通知等有关资料，办理管理费、机械设备及周转材料租赁摊销费等款项的支付；对超出转账通知等有关资料以外的支付，有权拒绝办理，并及时转告甲方；</w:t>
      </w:r>
    </w:p>
    <w:p w14:paraId="09B30526">
      <w:pPr>
        <w:spacing w:line="400" w:lineRule="exact"/>
        <w:ind w:firstLine="480" w:firstLineChars="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）定期将乙方前一个周期的支付情况，整理后书面报送甲方；乙方复印备案的材料一并送甲方。</w:t>
      </w:r>
    </w:p>
    <w:p w14:paraId="6712331A">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甲、乙、丙三方都应履行保密责任，不得将其他两方的业务情况透露给三方以外的其他单位或个人。</w:t>
      </w:r>
    </w:p>
    <w:p w14:paraId="77DB3901">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本协议有效期自乙方在丙方开户起，至工程交工验收甲方向乙方颁发交工验收证书后结束。</w:t>
      </w:r>
    </w:p>
    <w:p w14:paraId="6A8ACA05">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本协议未尽事宜，由甲方牵头，三方协商解决。</w:t>
      </w:r>
    </w:p>
    <w:p w14:paraId="4E415181">
      <w:pPr>
        <w:spacing w:line="400" w:lineRule="exact"/>
        <w:ind w:firstLine="480" w:firstLineChars="200"/>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本协议正本三份、副本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份。合同三方各执正本一份、副本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份，当正本与副本内容不一致时，以正本为准。</w:t>
      </w:r>
    </w:p>
    <w:p w14:paraId="6AB86E4F">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51A22D0D">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法定人或代表其委托代理人：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p w14:paraId="0433E4DF">
      <w:pPr>
        <w:spacing w:line="360" w:lineRule="exact"/>
        <w:ind w:firstLine="465"/>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2236D888">
      <w:pPr>
        <w:spacing w:line="360" w:lineRule="exact"/>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p>
    <w:p w14:paraId="7FFAA092">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4D72C0B9">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法定人或代表其委托代理人：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p w14:paraId="118F93E2">
      <w:pPr>
        <w:spacing w:line="360" w:lineRule="exact"/>
        <w:ind w:firstLine="465"/>
        <w:rPr>
          <w:rFonts w:asci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53B0B3F2">
      <w:pPr>
        <w:spacing w:line="360" w:lineRule="exact"/>
        <w:rPr>
          <w:rFonts w:ascii="宋体"/>
          <w:color w:val="000000" w:themeColor="text1"/>
          <w:sz w:val="24"/>
          <w:highlight w:val="none"/>
          <w14:textFill>
            <w14:solidFill>
              <w14:schemeClr w14:val="tx1"/>
            </w14:solidFill>
          </w14:textFill>
        </w:rPr>
      </w:pPr>
    </w:p>
    <w:p w14:paraId="2649E1DB">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经办银行：</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（盖单位章）</w:t>
      </w:r>
    </w:p>
    <w:p w14:paraId="0A188BE9">
      <w:pPr>
        <w:spacing w:line="360" w:lineRule="exact"/>
        <w:ind w:firstLine="465"/>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法定人或代表其委托代理人：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（签字或盖章）</w:t>
      </w:r>
    </w:p>
    <w:p w14:paraId="0F1ECF7C">
      <w:pPr>
        <w:spacing w:line="360" w:lineRule="exact"/>
        <w:ind w:firstLine="46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03090F36">
      <w:pPr>
        <w:spacing w:line="360" w:lineRule="exact"/>
        <w:ind w:firstLine="465"/>
        <w:rPr>
          <w:rFonts w:hint="eastAsia" w:ascii="宋体" w:hAnsi="宋体"/>
          <w:color w:val="000000" w:themeColor="text1"/>
          <w:sz w:val="24"/>
          <w:highlight w:val="none"/>
          <w14:textFill>
            <w14:solidFill>
              <w14:schemeClr w14:val="tx1"/>
            </w14:solidFill>
          </w14:textFill>
        </w:rPr>
      </w:pPr>
    </w:p>
    <w:p w14:paraId="59E03F38">
      <w:pPr>
        <w:spacing w:line="360" w:lineRule="exact"/>
        <w:ind w:firstLine="465"/>
        <w:rPr>
          <w:rFonts w:hint="eastAsia" w:ascii="宋体" w:hAnsi="宋体"/>
          <w:color w:val="000000" w:themeColor="text1"/>
          <w:sz w:val="24"/>
          <w:highlight w:val="none"/>
          <w14:textFill>
            <w14:solidFill>
              <w14:schemeClr w14:val="tx1"/>
            </w14:solidFill>
          </w14:textFill>
        </w:rPr>
      </w:pPr>
    </w:p>
    <w:p w14:paraId="277DBDFD">
      <w:pPr>
        <w:spacing w:line="360" w:lineRule="exact"/>
        <w:ind w:firstLine="465"/>
        <w:rPr>
          <w:rFonts w:hint="eastAsia" w:ascii="宋体" w:hAnsi="宋体"/>
          <w:color w:val="000000" w:themeColor="text1"/>
          <w:sz w:val="24"/>
          <w:highlight w:val="none"/>
          <w14:textFill>
            <w14:solidFill>
              <w14:schemeClr w14:val="tx1"/>
            </w14:solidFill>
          </w14:textFill>
        </w:rPr>
      </w:pPr>
    </w:p>
    <w:p w14:paraId="6A11C291">
      <w:pPr>
        <w:spacing w:line="360" w:lineRule="exact"/>
        <w:ind w:firstLine="465"/>
        <w:rPr>
          <w:rFonts w:hint="eastAsia" w:ascii="宋体" w:hAnsi="宋体"/>
          <w:color w:val="000000" w:themeColor="text1"/>
          <w:sz w:val="24"/>
          <w:highlight w:val="none"/>
          <w14:textFill>
            <w14:solidFill>
              <w14:schemeClr w14:val="tx1"/>
            </w14:solidFill>
          </w14:textFill>
        </w:rPr>
      </w:pPr>
    </w:p>
    <w:p w14:paraId="32BC501E">
      <w:pPr>
        <w:spacing w:line="360" w:lineRule="exact"/>
        <w:ind w:firstLine="465"/>
        <w:rPr>
          <w:rFonts w:hint="eastAsia" w:ascii="宋体" w:hAnsi="宋体"/>
          <w:color w:val="000000" w:themeColor="text1"/>
          <w:sz w:val="24"/>
          <w:highlight w:val="none"/>
          <w14:textFill>
            <w14:solidFill>
              <w14:schemeClr w14:val="tx1"/>
            </w14:solidFill>
          </w14:textFill>
        </w:rPr>
      </w:pPr>
    </w:p>
    <w:p w14:paraId="0B036F8E">
      <w:pPr>
        <w:pStyle w:val="5"/>
        <w:rPr>
          <w:color w:val="000000" w:themeColor="text1"/>
          <w:highlight w:val="none"/>
          <w14:textFill>
            <w14:solidFill>
              <w14:schemeClr w14:val="tx1"/>
            </w14:solidFill>
          </w14:textFill>
        </w:rPr>
      </w:pPr>
      <w:bookmarkStart w:id="359" w:name="_Toc6906"/>
      <w:bookmarkStart w:id="360" w:name="_Toc5303"/>
      <w:r>
        <w:rPr>
          <w:color w:val="000000" w:themeColor="text1"/>
          <w:highlight w:val="none"/>
          <w14:textFill>
            <w14:solidFill>
              <w14:schemeClr w14:val="tx1"/>
            </w14:solidFill>
          </w14:textFill>
        </w:rPr>
        <w:t>附件九：甲控乙购 I 类材料一览表</w:t>
      </w:r>
      <w:bookmarkEnd w:id="359"/>
      <w:bookmarkEnd w:id="360"/>
    </w:p>
    <w:p w14:paraId="4608FFA5">
      <w:pPr>
        <w:pStyle w:val="3"/>
        <w:spacing w:line="246" w:lineRule="auto"/>
        <w:rPr>
          <w:color w:val="000000" w:themeColor="text1"/>
          <w:highlight w:val="none"/>
          <w14:textFill>
            <w14:solidFill>
              <w14:schemeClr w14:val="tx1"/>
            </w14:solidFill>
          </w14:textFill>
        </w:rPr>
      </w:pPr>
    </w:p>
    <w:p w14:paraId="0DB6CE80">
      <w:pPr>
        <w:pStyle w:val="3"/>
        <w:spacing w:line="247" w:lineRule="auto"/>
        <w:rPr>
          <w:color w:val="000000" w:themeColor="text1"/>
          <w:highlight w:val="none"/>
          <w14:textFill>
            <w14:solidFill>
              <w14:schemeClr w14:val="tx1"/>
            </w14:solidFill>
          </w14:textFill>
        </w:rPr>
      </w:pPr>
    </w:p>
    <w:p w14:paraId="7074F695">
      <w:pPr>
        <w:pStyle w:val="3"/>
        <w:spacing w:line="247" w:lineRule="auto"/>
        <w:rPr>
          <w:color w:val="000000" w:themeColor="text1"/>
          <w:highlight w:val="none"/>
          <w14:textFill>
            <w14:solidFill>
              <w14:schemeClr w14:val="tx1"/>
            </w14:solidFill>
          </w14:textFill>
        </w:rPr>
      </w:pPr>
    </w:p>
    <w:p w14:paraId="32682399">
      <w:pPr>
        <w:spacing w:before="101" w:line="226" w:lineRule="auto"/>
        <w:ind w:left="2813"/>
        <w:rPr>
          <w:rFonts w:hint="eastAsia" w:ascii="黑体" w:hAnsi="黑体" w:eastAsia="黑体" w:cs="黑体"/>
          <w:color w:val="000000" w:themeColor="text1"/>
          <w:sz w:val="31"/>
          <w:szCs w:val="31"/>
          <w:highlight w:val="none"/>
          <w14:textFill>
            <w14:solidFill>
              <w14:schemeClr w14:val="tx1"/>
            </w14:solidFill>
          </w14:textFill>
        </w:rPr>
      </w:pPr>
      <w:r>
        <w:rPr>
          <w:rFonts w:ascii="黑体" w:hAnsi="黑体" w:eastAsia="黑体" w:cs="黑体"/>
          <w:color w:val="000000" w:themeColor="text1"/>
          <w:spacing w:val="-3"/>
          <w:sz w:val="31"/>
          <w:szCs w:val="31"/>
          <w:highlight w:val="none"/>
          <w14:textFill>
            <w14:solidFill>
              <w14:schemeClr w14:val="tx1"/>
            </w14:solidFill>
          </w14:textFill>
        </w:rPr>
        <w:t>甲控乙购 I</w:t>
      </w:r>
      <w:r>
        <w:rPr>
          <w:rFonts w:ascii="黑体" w:hAnsi="黑体" w:eastAsia="黑体" w:cs="黑体"/>
          <w:color w:val="000000" w:themeColor="text1"/>
          <w:spacing w:val="-47"/>
          <w:sz w:val="31"/>
          <w:szCs w:val="31"/>
          <w:highlight w:val="none"/>
          <w14:textFill>
            <w14:solidFill>
              <w14:schemeClr w14:val="tx1"/>
            </w14:solidFill>
          </w14:textFill>
        </w:rPr>
        <w:t xml:space="preserve"> </w:t>
      </w:r>
      <w:r>
        <w:rPr>
          <w:rFonts w:ascii="黑体" w:hAnsi="黑体" w:eastAsia="黑体" w:cs="黑体"/>
          <w:color w:val="000000" w:themeColor="text1"/>
          <w:spacing w:val="-3"/>
          <w:sz w:val="31"/>
          <w:szCs w:val="31"/>
          <w:highlight w:val="none"/>
          <w14:textFill>
            <w14:solidFill>
              <w14:schemeClr w14:val="tx1"/>
            </w14:solidFill>
          </w14:textFill>
        </w:rPr>
        <w:t>类材料一览表</w:t>
      </w:r>
    </w:p>
    <w:p w14:paraId="599FBF3D">
      <w:pPr>
        <w:spacing w:before="5"/>
        <w:rPr>
          <w:color w:val="000000" w:themeColor="text1"/>
          <w:highlight w:val="none"/>
          <w14:textFill>
            <w14:solidFill>
              <w14:schemeClr w14:val="tx1"/>
            </w14:solidFill>
          </w14:textFill>
        </w:rPr>
      </w:pPr>
    </w:p>
    <w:tbl>
      <w:tblPr>
        <w:tblStyle w:val="45"/>
        <w:tblW w:w="9008" w:type="dxa"/>
        <w:tblInd w:w="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926"/>
        <w:gridCol w:w="2249"/>
        <w:gridCol w:w="1032"/>
        <w:gridCol w:w="2717"/>
      </w:tblGrid>
      <w:tr w14:paraId="3E4FB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084" w:type="dxa"/>
          </w:tcPr>
          <w:p w14:paraId="36FB6C5C">
            <w:pPr>
              <w:spacing w:line="252" w:lineRule="auto"/>
              <w:rPr>
                <w:rFonts w:ascii="Arial"/>
                <w:color w:val="000000" w:themeColor="text1"/>
                <w:highlight w:val="none"/>
                <w14:textFill>
                  <w14:solidFill>
                    <w14:schemeClr w14:val="tx1"/>
                  </w14:solidFill>
                </w14:textFill>
              </w:rPr>
            </w:pPr>
          </w:p>
          <w:p w14:paraId="6F488C8A">
            <w:pPr>
              <w:spacing w:line="252" w:lineRule="auto"/>
              <w:rPr>
                <w:rFonts w:ascii="Arial"/>
                <w:color w:val="000000" w:themeColor="text1"/>
                <w:highlight w:val="none"/>
                <w14:textFill>
                  <w14:solidFill>
                    <w14:schemeClr w14:val="tx1"/>
                  </w14:solidFill>
                </w14:textFill>
              </w:rPr>
            </w:pPr>
          </w:p>
          <w:p w14:paraId="43D59BAB">
            <w:pPr>
              <w:pStyle w:val="124"/>
              <w:spacing w:before="78" w:line="221" w:lineRule="auto"/>
              <w:ind w:left="306"/>
              <w:rPr>
                <w:rFonts w:hint="eastAsia"/>
                <w:color w:val="000000" w:themeColor="text1"/>
                <w:highlight w:val="none"/>
                <w14:textFill>
                  <w14:solidFill>
                    <w14:schemeClr w14:val="tx1"/>
                  </w14:solidFill>
                </w14:textFill>
              </w:rPr>
            </w:pPr>
            <w:r>
              <w:rPr>
                <w:b/>
                <w:bCs/>
                <w:color w:val="000000" w:themeColor="text1"/>
                <w:spacing w:val="-7"/>
                <w:highlight w:val="none"/>
                <w14:textFill>
                  <w14:solidFill>
                    <w14:schemeClr w14:val="tx1"/>
                  </w14:solidFill>
                </w14:textFill>
              </w:rPr>
              <w:t>序号</w:t>
            </w:r>
          </w:p>
        </w:tc>
        <w:tc>
          <w:tcPr>
            <w:tcW w:w="1926" w:type="dxa"/>
          </w:tcPr>
          <w:p w14:paraId="545953FC">
            <w:pPr>
              <w:spacing w:line="252" w:lineRule="auto"/>
              <w:rPr>
                <w:rFonts w:ascii="Arial"/>
                <w:color w:val="000000" w:themeColor="text1"/>
                <w:highlight w:val="none"/>
                <w14:textFill>
                  <w14:solidFill>
                    <w14:schemeClr w14:val="tx1"/>
                  </w14:solidFill>
                </w14:textFill>
              </w:rPr>
            </w:pPr>
          </w:p>
          <w:p w14:paraId="1D87FA7A">
            <w:pPr>
              <w:spacing w:line="252" w:lineRule="auto"/>
              <w:rPr>
                <w:rFonts w:ascii="Arial"/>
                <w:color w:val="000000" w:themeColor="text1"/>
                <w:highlight w:val="none"/>
                <w14:textFill>
                  <w14:solidFill>
                    <w14:schemeClr w14:val="tx1"/>
                  </w14:solidFill>
                </w14:textFill>
              </w:rPr>
            </w:pPr>
          </w:p>
          <w:p w14:paraId="64CEEB5B">
            <w:pPr>
              <w:pStyle w:val="124"/>
              <w:spacing w:before="78" w:line="219" w:lineRule="auto"/>
              <w:ind w:left="486"/>
              <w:rPr>
                <w:rFonts w:hint="eastAsia"/>
                <w:color w:val="000000" w:themeColor="text1"/>
                <w:highlight w:val="none"/>
                <w14:textFill>
                  <w14:solidFill>
                    <w14:schemeClr w14:val="tx1"/>
                  </w14:solidFill>
                </w14:textFill>
              </w:rPr>
            </w:pPr>
            <w:r>
              <w:rPr>
                <w:b/>
                <w:bCs/>
                <w:color w:val="000000" w:themeColor="text1"/>
                <w:spacing w:val="-5"/>
                <w:highlight w:val="none"/>
                <w14:textFill>
                  <w14:solidFill>
                    <w14:schemeClr w14:val="tx1"/>
                  </w14:solidFill>
                </w14:textFill>
              </w:rPr>
              <w:t>材料名称</w:t>
            </w:r>
          </w:p>
        </w:tc>
        <w:tc>
          <w:tcPr>
            <w:tcW w:w="2249" w:type="dxa"/>
          </w:tcPr>
          <w:p w14:paraId="43B24B37">
            <w:pPr>
              <w:spacing w:line="252" w:lineRule="auto"/>
              <w:rPr>
                <w:rFonts w:ascii="Arial"/>
                <w:color w:val="000000" w:themeColor="text1"/>
                <w:highlight w:val="none"/>
                <w14:textFill>
                  <w14:solidFill>
                    <w14:schemeClr w14:val="tx1"/>
                  </w14:solidFill>
                </w14:textFill>
              </w:rPr>
            </w:pPr>
          </w:p>
          <w:p w14:paraId="5F384371">
            <w:pPr>
              <w:spacing w:line="252" w:lineRule="auto"/>
              <w:rPr>
                <w:rFonts w:ascii="Arial"/>
                <w:color w:val="000000" w:themeColor="text1"/>
                <w:highlight w:val="none"/>
                <w14:textFill>
                  <w14:solidFill>
                    <w14:schemeClr w14:val="tx1"/>
                  </w14:solidFill>
                </w14:textFill>
              </w:rPr>
            </w:pPr>
          </w:p>
          <w:p w14:paraId="596598CA">
            <w:pPr>
              <w:pStyle w:val="124"/>
              <w:spacing w:before="78" w:line="221" w:lineRule="auto"/>
              <w:ind w:left="897"/>
              <w:rPr>
                <w:rFonts w:hint="eastAsia"/>
                <w:color w:val="000000" w:themeColor="text1"/>
                <w:highlight w:val="none"/>
                <w14:textFill>
                  <w14:solidFill>
                    <w14:schemeClr w14:val="tx1"/>
                  </w14:solidFill>
                </w14:textFill>
              </w:rPr>
            </w:pPr>
            <w:r>
              <w:rPr>
                <w:b/>
                <w:bCs/>
                <w:color w:val="000000" w:themeColor="text1"/>
                <w:spacing w:val="-11"/>
                <w:highlight w:val="none"/>
                <w14:textFill>
                  <w14:solidFill>
                    <w14:schemeClr w14:val="tx1"/>
                  </w14:solidFill>
                </w14:textFill>
              </w:rPr>
              <w:t>型号</w:t>
            </w:r>
          </w:p>
        </w:tc>
        <w:tc>
          <w:tcPr>
            <w:tcW w:w="1032" w:type="dxa"/>
          </w:tcPr>
          <w:p w14:paraId="4E83C134">
            <w:pPr>
              <w:spacing w:line="252" w:lineRule="auto"/>
              <w:rPr>
                <w:rFonts w:ascii="Arial"/>
                <w:color w:val="000000" w:themeColor="text1"/>
                <w:highlight w:val="none"/>
                <w14:textFill>
                  <w14:solidFill>
                    <w14:schemeClr w14:val="tx1"/>
                  </w14:solidFill>
                </w14:textFill>
              </w:rPr>
            </w:pPr>
          </w:p>
          <w:p w14:paraId="6EDDF89C">
            <w:pPr>
              <w:spacing w:line="252" w:lineRule="auto"/>
              <w:rPr>
                <w:rFonts w:ascii="Arial"/>
                <w:color w:val="000000" w:themeColor="text1"/>
                <w:highlight w:val="none"/>
                <w14:textFill>
                  <w14:solidFill>
                    <w14:schemeClr w14:val="tx1"/>
                  </w14:solidFill>
                </w14:textFill>
              </w:rPr>
            </w:pPr>
          </w:p>
          <w:p w14:paraId="79DC1604">
            <w:pPr>
              <w:pStyle w:val="124"/>
              <w:spacing w:before="78" w:line="220" w:lineRule="auto"/>
              <w:ind w:left="285"/>
              <w:rPr>
                <w:rFonts w:hint="eastAsia"/>
                <w:color w:val="000000" w:themeColor="text1"/>
                <w:highlight w:val="none"/>
                <w14:textFill>
                  <w14:solidFill>
                    <w14:schemeClr w14:val="tx1"/>
                  </w14:solidFill>
                </w14:textFill>
              </w:rPr>
            </w:pPr>
            <w:r>
              <w:rPr>
                <w:b/>
                <w:bCs/>
                <w:color w:val="000000" w:themeColor="text1"/>
                <w:spacing w:val="-9"/>
                <w:highlight w:val="none"/>
                <w14:textFill>
                  <w14:solidFill>
                    <w14:schemeClr w14:val="tx1"/>
                  </w14:solidFill>
                </w14:textFill>
              </w:rPr>
              <w:t>单位</w:t>
            </w:r>
          </w:p>
        </w:tc>
        <w:tc>
          <w:tcPr>
            <w:tcW w:w="2717" w:type="dxa"/>
          </w:tcPr>
          <w:p w14:paraId="0AF2BD05">
            <w:pPr>
              <w:spacing w:line="298" w:lineRule="auto"/>
              <w:rPr>
                <w:rFonts w:ascii="Arial"/>
                <w:color w:val="000000" w:themeColor="text1"/>
                <w:highlight w:val="none"/>
                <w14:textFill>
                  <w14:solidFill>
                    <w14:schemeClr w14:val="tx1"/>
                  </w14:solidFill>
                </w14:textFill>
              </w:rPr>
            </w:pPr>
          </w:p>
          <w:p w14:paraId="236E0DF2">
            <w:pPr>
              <w:pStyle w:val="124"/>
              <w:spacing w:before="78" w:line="324" w:lineRule="auto"/>
              <w:ind w:left="886" w:right="654" w:hanging="236"/>
              <w:rPr>
                <w:rFonts w:hint="eastAsia"/>
                <w:color w:val="000000" w:themeColor="text1"/>
                <w:highlight w:val="none"/>
                <w:lang w:eastAsia="zh-CN"/>
                <w14:textFill>
                  <w14:solidFill>
                    <w14:schemeClr w14:val="tx1"/>
                  </w14:solidFill>
                </w14:textFill>
              </w:rPr>
            </w:pPr>
            <w:r>
              <w:rPr>
                <w:b/>
                <w:bCs/>
                <w:color w:val="000000" w:themeColor="text1"/>
                <w:spacing w:val="-8"/>
                <w:highlight w:val="none"/>
                <w:lang w:eastAsia="zh-CN"/>
                <w14:textFill>
                  <w14:solidFill>
                    <w14:schemeClr w14:val="tx1"/>
                  </w14:solidFill>
                </w14:textFill>
              </w:rPr>
              <w:t>暂扣价（元）</w:t>
            </w:r>
            <w:r>
              <w:rPr>
                <w:b/>
                <w:bCs/>
                <w:color w:val="000000" w:themeColor="text1"/>
                <w:spacing w:val="-6"/>
                <w:highlight w:val="none"/>
                <w:lang w:eastAsia="zh-CN"/>
                <w14:textFill>
                  <w14:solidFill>
                    <w14:schemeClr w14:val="tx1"/>
                  </w14:solidFill>
                </w14:textFill>
              </w:rPr>
              <w:t>不含税价</w:t>
            </w:r>
          </w:p>
        </w:tc>
      </w:tr>
      <w:tr w14:paraId="452D9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7C42AADF">
            <w:pPr>
              <w:pStyle w:val="124"/>
              <w:spacing w:before="156" w:line="241" w:lineRule="auto"/>
              <w:ind w:left="507"/>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1926" w:type="dxa"/>
          </w:tcPr>
          <w:p w14:paraId="2D31B89B">
            <w:pPr>
              <w:rPr>
                <w:rFonts w:ascii="Arial"/>
                <w:color w:val="000000" w:themeColor="text1"/>
                <w:highlight w:val="none"/>
                <w14:textFill>
                  <w14:solidFill>
                    <w14:schemeClr w14:val="tx1"/>
                  </w14:solidFill>
                </w14:textFill>
              </w:rPr>
            </w:pPr>
          </w:p>
        </w:tc>
        <w:tc>
          <w:tcPr>
            <w:tcW w:w="2249" w:type="dxa"/>
          </w:tcPr>
          <w:p w14:paraId="50B256E7">
            <w:pPr>
              <w:rPr>
                <w:rFonts w:ascii="Arial"/>
                <w:color w:val="000000" w:themeColor="text1"/>
                <w:highlight w:val="none"/>
                <w14:textFill>
                  <w14:solidFill>
                    <w14:schemeClr w14:val="tx1"/>
                  </w14:solidFill>
                </w14:textFill>
              </w:rPr>
            </w:pPr>
          </w:p>
        </w:tc>
        <w:tc>
          <w:tcPr>
            <w:tcW w:w="1032" w:type="dxa"/>
          </w:tcPr>
          <w:p w14:paraId="1F805E67">
            <w:pPr>
              <w:rPr>
                <w:rFonts w:ascii="Arial"/>
                <w:color w:val="000000" w:themeColor="text1"/>
                <w:highlight w:val="none"/>
                <w14:textFill>
                  <w14:solidFill>
                    <w14:schemeClr w14:val="tx1"/>
                  </w14:solidFill>
                </w14:textFill>
              </w:rPr>
            </w:pPr>
          </w:p>
        </w:tc>
        <w:tc>
          <w:tcPr>
            <w:tcW w:w="2717" w:type="dxa"/>
          </w:tcPr>
          <w:p w14:paraId="14530600">
            <w:pPr>
              <w:rPr>
                <w:rFonts w:ascii="Arial"/>
                <w:color w:val="000000" w:themeColor="text1"/>
                <w:highlight w:val="none"/>
                <w14:textFill>
                  <w14:solidFill>
                    <w14:schemeClr w14:val="tx1"/>
                  </w14:solidFill>
                </w14:textFill>
              </w:rPr>
            </w:pPr>
          </w:p>
        </w:tc>
      </w:tr>
      <w:tr w14:paraId="1563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28A7B9CD">
            <w:pPr>
              <w:pStyle w:val="124"/>
              <w:spacing w:before="155" w:line="241" w:lineRule="auto"/>
              <w:ind w:left="493"/>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1926" w:type="dxa"/>
          </w:tcPr>
          <w:p w14:paraId="71627605">
            <w:pPr>
              <w:rPr>
                <w:rFonts w:ascii="Arial"/>
                <w:color w:val="000000" w:themeColor="text1"/>
                <w:highlight w:val="none"/>
                <w14:textFill>
                  <w14:solidFill>
                    <w14:schemeClr w14:val="tx1"/>
                  </w14:solidFill>
                </w14:textFill>
              </w:rPr>
            </w:pPr>
          </w:p>
        </w:tc>
        <w:tc>
          <w:tcPr>
            <w:tcW w:w="2249" w:type="dxa"/>
          </w:tcPr>
          <w:p w14:paraId="66FCCF14">
            <w:pPr>
              <w:rPr>
                <w:rFonts w:ascii="Arial"/>
                <w:color w:val="000000" w:themeColor="text1"/>
                <w:highlight w:val="none"/>
                <w14:textFill>
                  <w14:solidFill>
                    <w14:schemeClr w14:val="tx1"/>
                  </w14:solidFill>
                </w14:textFill>
              </w:rPr>
            </w:pPr>
          </w:p>
        </w:tc>
        <w:tc>
          <w:tcPr>
            <w:tcW w:w="1032" w:type="dxa"/>
          </w:tcPr>
          <w:p w14:paraId="318F1615">
            <w:pPr>
              <w:rPr>
                <w:rFonts w:ascii="Arial"/>
                <w:color w:val="000000" w:themeColor="text1"/>
                <w:highlight w:val="none"/>
                <w14:textFill>
                  <w14:solidFill>
                    <w14:schemeClr w14:val="tx1"/>
                  </w14:solidFill>
                </w14:textFill>
              </w:rPr>
            </w:pPr>
          </w:p>
        </w:tc>
        <w:tc>
          <w:tcPr>
            <w:tcW w:w="2717" w:type="dxa"/>
          </w:tcPr>
          <w:p w14:paraId="680C9D4E">
            <w:pPr>
              <w:rPr>
                <w:rFonts w:ascii="Arial"/>
                <w:color w:val="000000" w:themeColor="text1"/>
                <w:highlight w:val="none"/>
                <w14:textFill>
                  <w14:solidFill>
                    <w14:schemeClr w14:val="tx1"/>
                  </w14:solidFill>
                </w14:textFill>
              </w:rPr>
            </w:pPr>
          </w:p>
        </w:tc>
      </w:tr>
      <w:tr w14:paraId="6E2BF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53454802">
            <w:pPr>
              <w:pStyle w:val="124"/>
              <w:spacing w:before="156"/>
              <w:ind w:left="494"/>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1926" w:type="dxa"/>
          </w:tcPr>
          <w:p w14:paraId="7885F38F">
            <w:pPr>
              <w:rPr>
                <w:rFonts w:ascii="Arial"/>
                <w:color w:val="000000" w:themeColor="text1"/>
                <w:highlight w:val="none"/>
                <w14:textFill>
                  <w14:solidFill>
                    <w14:schemeClr w14:val="tx1"/>
                  </w14:solidFill>
                </w14:textFill>
              </w:rPr>
            </w:pPr>
          </w:p>
        </w:tc>
        <w:tc>
          <w:tcPr>
            <w:tcW w:w="2249" w:type="dxa"/>
          </w:tcPr>
          <w:p w14:paraId="4905E632">
            <w:pPr>
              <w:rPr>
                <w:rFonts w:ascii="Arial"/>
                <w:color w:val="000000" w:themeColor="text1"/>
                <w:highlight w:val="none"/>
                <w14:textFill>
                  <w14:solidFill>
                    <w14:schemeClr w14:val="tx1"/>
                  </w14:solidFill>
                </w14:textFill>
              </w:rPr>
            </w:pPr>
          </w:p>
        </w:tc>
        <w:tc>
          <w:tcPr>
            <w:tcW w:w="1032" w:type="dxa"/>
          </w:tcPr>
          <w:p w14:paraId="6785435A">
            <w:pPr>
              <w:rPr>
                <w:rFonts w:ascii="Arial"/>
                <w:color w:val="000000" w:themeColor="text1"/>
                <w:highlight w:val="none"/>
                <w14:textFill>
                  <w14:solidFill>
                    <w14:schemeClr w14:val="tx1"/>
                  </w14:solidFill>
                </w14:textFill>
              </w:rPr>
            </w:pPr>
          </w:p>
        </w:tc>
        <w:tc>
          <w:tcPr>
            <w:tcW w:w="2717" w:type="dxa"/>
          </w:tcPr>
          <w:p w14:paraId="77ED8BB8">
            <w:pPr>
              <w:rPr>
                <w:rFonts w:ascii="Arial"/>
                <w:color w:val="000000" w:themeColor="text1"/>
                <w:highlight w:val="none"/>
                <w14:textFill>
                  <w14:solidFill>
                    <w14:schemeClr w14:val="tx1"/>
                  </w14:solidFill>
                </w14:textFill>
              </w:rPr>
            </w:pPr>
          </w:p>
        </w:tc>
      </w:tr>
      <w:tr w14:paraId="03174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25045BD1">
            <w:pPr>
              <w:pStyle w:val="124"/>
              <w:spacing w:before="157" w:line="241" w:lineRule="auto"/>
              <w:ind w:left="489"/>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1926" w:type="dxa"/>
          </w:tcPr>
          <w:p w14:paraId="4821D414">
            <w:pPr>
              <w:rPr>
                <w:rFonts w:ascii="Arial"/>
                <w:color w:val="000000" w:themeColor="text1"/>
                <w:highlight w:val="none"/>
                <w14:textFill>
                  <w14:solidFill>
                    <w14:schemeClr w14:val="tx1"/>
                  </w14:solidFill>
                </w14:textFill>
              </w:rPr>
            </w:pPr>
          </w:p>
        </w:tc>
        <w:tc>
          <w:tcPr>
            <w:tcW w:w="2249" w:type="dxa"/>
          </w:tcPr>
          <w:p w14:paraId="3CD4F0F4">
            <w:pPr>
              <w:rPr>
                <w:rFonts w:ascii="Arial"/>
                <w:color w:val="000000" w:themeColor="text1"/>
                <w:highlight w:val="none"/>
                <w14:textFill>
                  <w14:solidFill>
                    <w14:schemeClr w14:val="tx1"/>
                  </w14:solidFill>
                </w14:textFill>
              </w:rPr>
            </w:pPr>
          </w:p>
        </w:tc>
        <w:tc>
          <w:tcPr>
            <w:tcW w:w="1032" w:type="dxa"/>
          </w:tcPr>
          <w:p w14:paraId="12C6E2C2">
            <w:pPr>
              <w:rPr>
                <w:rFonts w:ascii="Arial"/>
                <w:color w:val="000000" w:themeColor="text1"/>
                <w:highlight w:val="none"/>
                <w14:textFill>
                  <w14:solidFill>
                    <w14:schemeClr w14:val="tx1"/>
                  </w14:solidFill>
                </w14:textFill>
              </w:rPr>
            </w:pPr>
          </w:p>
        </w:tc>
        <w:tc>
          <w:tcPr>
            <w:tcW w:w="2717" w:type="dxa"/>
          </w:tcPr>
          <w:p w14:paraId="5BBA4C50">
            <w:pPr>
              <w:rPr>
                <w:rFonts w:ascii="Arial"/>
                <w:color w:val="000000" w:themeColor="text1"/>
                <w:highlight w:val="none"/>
                <w14:textFill>
                  <w14:solidFill>
                    <w14:schemeClr w14:val="tx1"/>
                  </w14:solidFill>
                </w14:textFill>
              </w:rPr>
            </w:pPr>
          </w:p>
        </w:tc>
      </w:tr>
      <w:tr w14:paraId="3AB29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0ED492D6">
            <w:pPr>
              <w:pStyle w:val="124"/>
              <w:spacing w:before="160"/>
              <w:ind w:left="494"/>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1926" w:type="dxa"/>
          </w:tcPr>
          <w:p w14:paraId="11D9711F">
            <w:pPr>
              <w:rPr>
                <w:rFonts w:ascii="Arial"/>
                <w:color w:val="000000" w:themeColor="text1"/>
                <w:highlight w:val="none"/>
                <w14:textFill>
                  <w14:solidFill>
                    <w14:schemeClr w14:val="tx1"/>
                  </w14:solidFill>
                </w14:textFill>
              </w:rPr>
            </w:pPr>
          </w:p>
        </w:tc>
        <w:tc>
          <w:tcPr>
            <w:tcW w:w="2249" w:type="dxa"/>
          </w:tcPr>
          <w:p w14:paraId="5A4B8A9F">
            <w:pPr>
              <w:rPr>
                <w:rFonts w:ascii="Arial"/>
                <w:color w:val="000000" w:themeColor="text1"/>
                <w:highlight w:val="none"/>
                <w14:textFill>
                  <w14:solidFill>
                    <w14:schemeClr w14:val="tx1"/>
                  </w14:solidFill>
                </w14:textFill>
              </w:rPr>
            </w:pPr>
          </w:p>
        </w:tc>
        <w:tc>
          <w:tcPr>
            <w:tcW w:w="1032" w:type="dxa"/>
          </w:tcPr>
          <w:p w14:paraId="14943CC3">
            <w:pPr>
              <w:rPr>
                <w:rFonts w:ascii="Arial"/>
                <w:color w:val="000000" w:themeColor="text1"/>
                <w:highlight w:val="none"/>
                <w14:textFill>
                  <w14:solidFill>
                    <w14:schemeClr w14:val="tx1"/>
                  </w14:solidFill>
                </w14:textFill>
              </w:rPr>
            </w:pPr>
          </w:p>
        </w:tc>
        <w:tc>
          <w:tcPr>
            <w:tcW w:w="2717" w:type="dxa"/>
          </w:tcPr>
          <w:p w14:paraId="0CF93130">
            <w:pPr>
              <w:rPr>
                <w:rFonts w:ascii="Arial"/>
                <w:color w:val="000000" w:themeColor="text1"/>
                <w:highlight w:val="none"/>
                <w14:textFill>
                  <w14:solidFill>
                    <w14:schemeClr w14:val="tx1"/>
                  </w14:solidFill>
                </w14:textFill>
              </w:rPr>
            </w:pPr>
          </w:p>
        </w:tc>
      </w:tr>
      <w:tr w14:paraId="5521E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475F9256">
            <w:pPr>
              <w:pStyle w:val="124"/>
              <w:spacing w:before="161"/>
              <w:ind w:left="492"/>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p>
        </w:tc>
        <w:tc>
          <w:tcPr>
            <w:tcW w:w="1926" w:type="dxa"/>
          </w:tcPr>
          <w:p w14:paraId="600D1CA7">
            <w:pPr>
              <w:rPr>
                <w:rFonts w:ascii="Arial"/>
                <w:color w:val="000000" w:themeColor="text1"/>
                <w:highlight w:val="none"/>
                <w14:textFill>
                  <w14:solidFill>
                    <w14:schemeClr w14:val="tx1"/>
                  </w14:solidFill>
                </w14:textFill>
              </w:rPr>
            </w:pPr>
          </w:p>
        </w:tc>
        <w:tc>
          <w:tcPr>
            <w:tcW w:w="2249" w:type="dxa"/>
          </w:tcPr>
          <w:p w14:paraId="353FF730">
            <w:pPr>
              <w:rPr>
                <w:rFonts w:ascii="Arial"/>
                <w:color w:val="000000" w:themeColor="text1"/>
                <w:highlight w:val="none"/>
                <w14:textFill>
                  <w14:solidFill>
                    <w14:schemeClr w14:val="tx1"/>
                  </w14:solidFill>
                </w14:textFill>
              </w:rPr>
            </w:pPr>
          </w:p>
        </w:tc>
        <w:tc>
          <w:tcPr>
            <w:tcW w:w="1032" w:type="dxa"/>
          </w:tcPr>
          <w:p w14:paraId="0E2E99BA">
            <w:pPr>
              <w:rPr>
                <w:rFonts w:ascii="Arial"/>
                <w:color w:val="000000" w:themeColor="text1"/>
                <w:highlight w:val="none"/>
                <w14:textFill>
                  <w14:solidFill>
                    <w14:schemeClr w14:val="tx1"/>
                  </w14:solidFill>
                </w14:textFill>
              </w:rPr>
            </w:pPr>
          </w:p>
        </w:tc>
        <w:tc>
          <w:tcPr>
            <w:tcW w:w="2717" w:type="dxa"/>
          </w:tcPr>
          <w:p w14:paraId="7010D416">
            <w:pPr>
              <w:rPr>
                <w:rFonts w:ascii="Arial"/>
                <w:color w:val="000000" w:themeColor="text1"/>
                <w:highlight w:val="none"/>
                <w14:textFill>
                  <w14:solidFill>
                    <w14:schemeClr w14:val="tx1"/>
                  </w14:solidFill>
                </w14:textFill>
              </w:rPr>
            </w:pPr>
          </w:p>
        </w:tc>
      </w:tr>
      <w:tr w14:paraId="1F14D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526AD37C">
            <w:pPr>
              <w:pStyle w:val="124"/>
              <w:spacing w:before="160"/>
              <w:ind w:left="495"/>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p>
        </w:tc>
        <w:tc>
          <w:tcPr>
            <w:tcW w:w="1926" w:type="dxa"/>
          </w:tcPr>
          <w:p w14:paraId="02FF4A55">
            <w:pPr>
              <w:rPr>
                <w:rFonts w:ascii="Arial"/>
                <w:color w:val="000000" w:themeColor="text1"/>
                <w:highlight w:val="none"/>
                <w14:textFill>
                  <w14:solidFill>
                    <w14:schemeClr w14:val="tx1"/>
                  </w14:solidFill>
                </w14:textFill>
              </w:rPr>
            </w:pPr>
          </w:p>
        </w:tc>
        <w:tc>
          <w:tcPr>
            <w:tcW w:w="2249" w:type="dxa"/>
          </w:tcPr>
          <w:p w14:paraId="21EDE405">
            <w:pPr>
              <w:rPr>
                <w:rFonts w:ascii="Arial"/>
                <w:color w:val="000000" w:themeColor="text1"/>
                <w:highlight w:val="none"/>
                <w14:textFill>
                  <w14:solidFill>
                    <w14:schemeClr w14:val="tx1"/>
                  </w14:solidFill>
                </w14:textFill>
              </w:rPr>
            </w:pPr>
          </w:p>
        </w:tc>
        <w:tc>
          <w:tcPr>
            <w:tcW w:w="1032" w:type="dxa"/>
          </w:tcPr>
          <w:p w14:paraId="41AF046C">
            <w:pPr>
              <w:rPr>
                <w:rFonts w:ascii="Arial"/>
                <w:color w:val="000000" w:themeColor="text1"/>
                <w:highlight w:val="none"/>
                <w14:textFill>
                  <w14:solidFill>
                    <w14:schemeClr w14:val="tx1"/>
                  </w14:solidFill>
                </w14:textFill>
              </w:rPr>
            </w:pPr>
          </w:p>
        </w:tc>
        <w:tc>
          <w:tcPr>
            <w:tcW w:w="2717" w:type="dxa"/>
          </w:tcPr>
          <w:p w14:paraId="292CD4D3">
            <w:pPr>
              <w:rPr>
                <w:rFonts w:ascii="Arial"/>
                <w:color w:val="000000" w:themeColor="text1"/>
                <w:highlight w:val="none"/>
                <w14:textFill>
                  <w14:solidFill>
                    <w14:schemeClr w14:val="tx1"/>
                  </w14:solidFill>
                </w14:textFill>
              </w:rPr>
            </w:pPr>
          </w:p>
        </w:tc>
      </w:tr>
      <w:tr w14:paraId="7AACC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84" w:type="dxa"/>
          </w:tcPr>
          <w:p w14:paraId="7FA02B25">
            <w:pPr>
              <w:spacing w:line="258" w:lineRule="auto"/>
              <w:rPr>
                <w:rFonts w:ascii="Arial"/>
                <w:color w:val="000000" w:themeColor="text1"/>
                <w:highlight w:val="none"/>
                <w14:textFill>
                  <w14:solidFill>
                    <w14:schemeClr w14:val="tx1"/>
                  </w14:solidFill>
                </w14:textFill>
              </w:rPr>
            </w:pPr>
          </w:p>
          <w:p w14:paraId="305DB6A4">
            <w:pPr>
              <w:pStyle w:val="124"/>
              <w:spacing w:before="78" w:line="99" w:lineRule="exact"/>
              <w:ind w:left="316"/>
              <w:rPr>
                <w:rFonts w:hint="eastAsia"/>
                <w:color w:val="000000" w:themeColor="text1"/>
                <w:highlight w:val="none"/>
                <w14:textFill>
                  <w14:solidFill>
                    <w14:schemeClr w14:val="tx1"/>
                  </w14:solidFill>
                </w14:textFill>
              </w:rPr>
            </w:pPr>
            <w:r>
              <w:rPr>
                <w:color w:val="000000" w:themeColor="text1"/>
                <w:position w:val="1"/>
                <w:highlight w:val="none"/>
                <w14:textFill>
                  <w14:solidFill>
                    <w14:schemeClr w14:val="tx1"/>
                  </w14:solidFill>
                </w14:textFill>
              </w:rPr>
              <w:t>....</w:t>
            </w:r>
          </w:p>
        </w:tc>
        <w:tc>
          <w:tcPr>
            <w:tcW w:w="1926" w:type="dxa"/>
          </w:tcPr>
          <w:p w14:paraId="132A3A5D">
            <w:pPr>
              <w:rPr>
                <w:rFonts w:ascii="Arial"/>
                <w:color w:val="000000" w:themeColor="text1"/>
                <w:highlight w:val="none"/>
                <w14:textFill>
                  <w14:solidFill>
                    <w14:schemeClr w14:val="tx1"/>
                  </w14:solidFill>
                </w14:textFill>
              </w:rPr>
            </w:pPr>
          </w:p>
        </w:tc>
        <w:tc>
          <w:tcPr>
            <w:tcW w:w="2249" w:type="dxa"/>
          </w:tcPr>
          <w:p w14:paraId="56BFB4BD">
            <w:pPr>
              <w:rPr>
                <w:rFonts w:ascii="Arial"/>
                <w:color w:val="000000" w:themeColor="text1"/>
                <w:highlight w:val="none"/>
                <w14:textFill>
                  <w14:solidFill>
                    <w14:schemeClr w14:val="tx1"/>
                  </w14:solidFill>
                </w14:textFill>
              </w:rPr>
            </w:pPr>
          </w:p>
        </w:tc>
        <w:tc>
          <w:tcPr>
            <w:tcW w:w="1032" w:type="dxa"/>
          </w:tcPr>
          <w:p w14:paraId="4033E564">
            <w:pPr>
              <w:rPr>
                <w:rFonts w:ascii="Arial"/>
                <w:color w:val="000000" w:themeColor="text1"/>
                <w:highlight w:val="none"/>
                <w14:textFill>
                  <w14:solidFill>
                    <w14:schemeClr w14:val="tx1"/>
                  </w14:solidFill>
                </w14:textFill>
              </w:rPr>
            </w:pPr>
          </w:p>
        </w:tc>
        <w:tc>
          <w:tcPr>
            <w:tcW w:w="2717" w:type="dxa"/>
          </w:tcPr>
          <w:p w14:paraId="7999EB3C">
            <w:pPr>
              <w:rPr>
                <w:rFonts w:ascii="Arial"/>
                <w:color w:val="000000" w:themeColor="text1"/>
                <w:highlight w:val="none"/>
                <w14:textFill>
                  <w14:solidFill>
                    <w14:schemeClr w14:val="tx1"/>
                  </w14:solidFill>
                </w14:textFill>
              </w:rPr>
            </w:pPr>
          </w:p>
        </w:tc>
      </w:tr>
    </w:tbl>
    <w:p w14:paraId="0C1DEE7A">
      <w:pPr>
        <w:spacing w:before="116" w:line="361" w:lineRule="auto"/>
        <w:ind w:left="431" w:hanging="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注：发包人将按上述材料基准价和实际供应数量进行甲控乙购</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I</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6"/>
          <w:sz w:val="24"/>
          <w:highlight w:val="none"/>
          <w14:textFill>
            <w14:solidFill>
              <w14:schemeClr w14:val="tx1"/>
            </w14:solidFill>
          </w14:textFill>
        </w:rPr>
        <w:t>类供应材料的扣款，</w:t>
      </w:r>
      <w:r>
        <w:rPr>
          <w:rFonts w:ascii="宋体" w:hAnsi="宋体" w:cs="宋体"/>
          <w:color w:val="000000" w:themeColor="text1"/>
          <w:sz w:val="24"/>
          <w:highlight w:val="none"/>
          <w14:textFill>
            <w14:solidFill>
              <w14:schemeClr w14:val="tx1"/>
            </w14:solidFill>
          </w14:textFill>
        </w:rPr>
        <w:t>如采购价与基准价有偏差，按调差条款进行</w:t>
      </w:r>
      <w:r>
        <w:rPr>
          <w:rFonts w:ascii="宋体" w:hAnsi="宋体" w:cs="宋体"/>
          <w:color w:val="000000" w:themeColor="text1"/>
          <w:spacing w:val="-1"/>
          <w:sz w:val="24"/>
          <w:highlight w:val="none"/>
          <w14:textFill>
            <w14:solidFill>
              <w14:schemeClr w14:val="tx1"/>
            </w14:solidFill>
          </w14:textFill>
        </w:rPr>
        <w:t>调价。上述材料价格单位为：元。</w:t>
      </w:r>
    </w:p>
    <w:p w14:paraId="45138B27">
      <w:pPr>
        <w:spacing w:line="361" w:lineRule="auto"/>
        <w:rPr>
          <w:rFonts w:hint="eastAsia" w:ascii="宋体" w:hAnsi="宋体" w:cs="宋体"/>
          <w:color w:val="000000" w:themeColor="text1"/>
          <w:sz w:val="24"/>
          <w:highlight w:val="none"/>
          <w14:textFill>
            <w14:solidFill>
              <w14:schemeClr w14:val="tx1"/>
            </w14:solidFill>
          </w14:textFill>
        </w:rPr>
        <w:sectPr>
          <w:headerReference r:id="rId67" w:type="default"/>
          <w:footerReference r:id="rId68" w:type="default"/>
          <w:pgSz w:w="11906" w:h="16839"/>
          <w:pgMar w:top="1182" w:right="1356" w:bottom="1168" w:left="1417" w:header="849" w:footer="934" w:gutter="0"/>
          <w:cols w:space="720" w:num="1"/>
        </w:sectPr>
      </w:pPr>
    </w:p>
    <w:p w14:paraId="75FC2B3F">
      <w:pPr>
        <w:pStyle w:val="74"/>
        <w:spacing w:line="360" w:lineRule="auto"/>
        <w:rPr>
          <w:rFonts w:ascii="宋体"/>
          <w:color w:val="000000" w:themeColor="text1"/>
          <w:sz w:val="24"/>
          <w:szCs w:val="24"/>
          <w:highlight w:val="none"/>
          <w14:textFill>
            <w14:solidFill>
              <w14:schemeClr w14:val="tx1"/>
            </w14:solidFill>
          </w14:textFill>
        </w:rPr>
      </w:pPr>
      <w:bookmarkStart w:id="361" w:name="_Toc451261387"/>
      <w:bookmarkStart w:id="362" w:name="_Toc452498666"/>
      <w:bookmarkStart w:id="363" w:name="_Toc9003"/>
      <w:bookmarkStart w:id="364" w:name="_Toc453056969"/>
      <w:bookmarkStart w:id="365" w:name="_Toc452498896"/>
      <w:bookmarkStart w:id="366" w:name="_Toc198"/>
      <w:bookmarkStart w:id="367" w:name="_Toc453057197"/>
      <w:bookmarkStart w:id="368" w:name="_Toc10174"/>
      <w:bookmarkStart w:id="369" w:name="_Toc6921"/>
      <w:r>
        <w:rPr>
          <w:rFonts w:hint="eastAsia" w:ascii="宋体" w:hAnsi="宋体"/>
          <w:color w:val="000000" w:themeColor="text1"/>
          <w:sz w:val="24"/>
          <w:szCs w:val="24"/>
          <w:highlight w:val="none"/>
          <w14:textFill>
            <w14:solidFill>
              <w14:schemeClr w14:val="tx1"/>
            </w14:solidFill>
          </w14:textFill>
        </w:rPr>
        <w:t>附件</w:t>
      </w:r>
      <w:bookmarkEnd w:id="361"/>
      <w:bookmarkEnd w:id="362"/>
      <w:bookmarkEnd w:id="363"/>
      <w:bookmarkEnd w:id="364"/>
      <w:bookmarkEnd w:id="365"/>
      <w:bookmarkEnd w:id="366"/>
      <w:bookmarkEnd w:id="367"/>
      <w:r>
        <w:rPr>
          <w:rFonts w:hint="eastAsia" w:ascii="宋体" w:hAnsi="宋体"/>
          <w:color w:val="000000" w:themeColor="text1"/>
          <w:sz w:val="24"/>
          <w:szCs w:val="24"/>
          <w:highlight w:val="none"/>
          <w14:textFill>
            <w14:solidFill>
              <w14:schemeClr w14:val="tx1"/>
            </w14:solidFill>
          </w14:textFill>
        </w:rPr>
        <w:t>十</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特殊材料设备供应一览表</w:t>
      </w:r>
      <w:bookmarkEnd w:id="368"/>
      <w:bookmarkEnd w:id="369"/>
    </w:p>
    <w:p w14:paraId="1F8E977C">
      <w:pPr>
        <w:pStyle w:val="83"/>
        <w:rPr>
          <w:rFonts w:ascii="宋体" w:cs="宋体"/>
          <w:b/>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 xml:space="preserve">                       </w:t>
      </w:r>
      <w:r>
        <w:rPr>
          <w:rFonts w:ascii="宋体" w:hAnsi="宋体" w:cs="宋体"/>
          <w:b/>
          <w:color w:val="000000" w:themeColor="text1"/>
          <w:sz w:val="28"/>
          <w:szCs w:val="28"/>
          <w:highlight w:val="none"/>
          <w14:textFill>
            <w14:solidFill>
              <w14:schemeClr w14:val="tx1"/>
            </w14:solidFill>
          </w14:textFill>
        </w:rPr>
        <w:t xml:space="preserve"> </w:t>
      </w:r>
      <w:r>
        <w:rPr>
          <w:rFonts w:hint="eastAsia" w:ascii="宋体" w:hAnsi="宋体" w:cs="宋体"/>
          <w:b/>
          <w:color w:val="000000" w:themeColor="text1"/>
          <w:sz w:val="28"/>
          <w:szCs w:val="28"/>
          <w:highlight w:val="none"/>
          <w14:textFill>
            <w14:solidFill>
              <w14:schemeClr w14:val="tx1"/>
            </w14:solidFill>
          </w14:textFill>
        </w:rPr>
        <w:t>特殊材料设备供应一览表</w:t>
      </w: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356"/>
        <w:gridCol w:w="802"/>
        <w:gridCol w:w="735"/>
        <w:gridCol w:w="2444"/>
        <w:gridCol w:w="750"/>
        <w:gridCol w:w="705"/>
        <w:gridCol w:w="753"/>
        <w:gridCol w:w="1036"/>
      </w:tblGrid>
      <w:tr w14:paraId="44791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11" w:type="dxa"/>
            <w:vAlign w:val="center"/>
          </w:tcPr>
          <w:p w14:paraId="18BE4140">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序号</w:t>
            </w:r>
          </w:p>
        </w:tc>
        <w:tc>
          <w:tcPr>
            <w:tcW w:w="1356" w:type="dxa"/>
            <w:vAlign w:val="center"/>
          </w:tcPr>
          <w:p w14:paraId="537A7C30">
            <w:pPr>
              <w:pStyle w:val="124"/>
              <w:ind w:hanging="106"/>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材料品种或</w:t>
            </w:r>
            <w:r>
              <w:rPr>
                <w:color w:val="000000" w:themeColor="text1"/>
                <w:spacing w:val="6"/>
                <w:highlight w:val="none"/>
                <w14:textFill>
                  <w14:solidFill>
                    <w14:schemeClr w14:val="tx1"/>
                  </w14:solidFill>
                </w14:textFill>
              </w:rPr>
              <w:t>设备型号</w:t>
            </w:r>
          </w:p>
        </w:tc>
        <w:tc>
          <w:tcPr>
            <w:tcW w:w="802" w:type="dxa"/>
            <w:vAlign w:val="center"/>
          </w:tcPr>
          <w:p w14:paraId="531712D9">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单位</w:t>
            </w:r>
          </w:p>
        </w:tc>
        <w:tc>
          <w:tcPr>
            <w:tcW w:w="735" w:type="dxa"/>
            <w:vAlign w:val="center"/>
          </w:tcPr>
          <w:p w14:paraId="572B33CE">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数量</w:t>
            </w:r>
          </w:p>
        </w:tc>
        <w:tc>
          <w:tcPr>
            <w:tcW w:w="2444" w:type="dxa"/>
            <w:vAlign w:val="center"/>
          </w:tcPr>
          <w:p w14:paraId="58BCCDB4">
            <w:pPr>
              <w:pStyle w:val="124"/>
              <w:jc w:val="center"/>
              <w:rPr>
                <w:rFonts w:hint="eastAsia"/>
                <w:color w:val="000000" w:themeColor="text1"/>
                <w:sz w:val="10"/>
                <w:szCs w:val="10"/>
                <w:highlight w:val="none"/>
                <w14:textFill>
                  <w14:solidFill>
                    <w14:schemeClr w14:val="tx1"/>
                  </w14:solidFill>
                </w14:textFill>
              </w:rPr>
            </w:pPr>
            <w:r>
              <w:rPr>
                <w:color w:val="000000" w:themeColor="text1"/>
                <w:spacing w:val="8"/>
                <w:position w:val="1"/>
                <w:highlight w:val="none"/>
                <w14:textFill>
                  <w14:solidFill>
                    <w14:schemeClr w14:val="tx1"/>
                  </w14:solidFill>
                </w14:textFill>
              </w:rPr>
              <w:t>到达工地价格（元）</w:t>
            </w:r>
          </w:p>
        </w:tc>
        <w:tc>
          <w:tcPr>
            <w:tcW w:w="750" w:type="dxa"/>
            <w:vAlign w:val="center"/>
          </w:tcPr>
          <w:p w14:paraId="7FD6D583">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质量</w:t>
            </w:r>
          </w:p>
          <w:p w14:paraId="50C200DC">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等级</w:t>
            </w:r>
          </w:p>
        </w:tc>
        <w:tc>
          <w:tcPr>
            <w:tcW w:w="705" w:type="dxa"/>
            <w:vAlign w:val="center"/>
          </w:tcPr>
          <w:p w14:paraId="205BCB12">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供应</w:t>
            </w:r>
          </w:p>
          <w:p w14:paraId="4B1D7E2C">
            <w:pPr>
              <w:pStyle w:val="124"/>
              <w:jc w:val="center"/>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时间</w:t>
            </w:r>
          </w:p>
        </w:tc>
        <w:tc>
          <w:tcPr>
            <w:tcW w:w="753" w:type="dxa"/>
            <w:vAlign w:val="center"/>
          </w:tcPr>
          <w:p w14:paraId="1FC04005">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送达</w:t>
            </w:r>
          </w:p>
          <w:p w14:paraId="5443BDC5">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地点</w:t>
            </w:r>
          </w:p>
        </w:tc>
        <w:tc>
          <w:tcPr>
            <w:tcW w:w="1036" w:type="dxa"/>
            <w:vAlign w:val="center"/>
          </w:tcPr>
          <w:p w14:paraId="338D067A">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备注</w:t>
            </w:r>
          </w:p>
        </w:tc>
      </w:tr>
      <w:tr w14:paraId="02D7B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3B513915">
            <w:pPr>
              <w:rPr>
                <w:rFonts w:ascii="Arial"/>
                <w:color w:val="000000" w:themeColor="text1"/>
                <w:highlight w:val="none"/>
                <w14:textFill>
                  <w14:solidFill>
                    <w14:schemeClr w14:val="tx1"/>
                  </w14:solidFill>
                </w14:textFill>
              </w:rPr>
            </w:pPr>
          </w:p>
        </w:tc>
        <w:tc>
          <w:tcPr>
            <w:tcW w:w="1356" w:type="dxa"/>
          </w:tcPr>
          <w:p w14:paraId="66FF9D24">
            <w:pPr>
              <w:rPr>
                <w:rFonts w:ascii="Arial"/>
                <w:color w:val="000000" w:themeColor="text1"/>
                <w:highlight w:val="none"/>
                <w14:textFill>
                  <w14:solidFill>
                    <w14:schemeClr w14:val="tx1"/>
                  </w14:solidFill>
                </w14:textFill>
              </w:rPr>
            </w:pPr>
          </w:p>
        </w:tc>
        <w:tc>
          <w:tcPr>
            <w:tcW w:w="802" w:type="dxa"/>
          </w:tcPr>
          <w:p w14:paraId="06CC6A05">
            <w:pPr>
              <w:rPr>
                <w:rFonts w:ascii="Arial"/>
                <w:color w:val="000000" w:themeColor="text1"/>
                <w:highlight w:val="none"/>
                <w14:textFill>
                  <w14:solidFill>
                    <w14:schemeClr w14:val="tx1"/>
                  </w14:solidFill>
                </w14:textFill>
              </w:rPr>
            </w:pPr>
          </w:p>
        </w:tc>
        <w:tc>
          <w:tcPr>
            <w:tcW w:w="735" w:type="dxa"/>
          </w:tcPr>
          <w:p w14:paraId="5ADCB8B1">
            <w:pPr>
              <w:rPr>
                <w:rFonts w:ascii="Arial"/>
                <w:color w:val="000000" w:themeColor="text1"/>
                <w:highlight w:val="none"/>
                <w14:textFill>
                  <w14:solidFill>
                    <w14:schemeClr w14:val="tx1"/>
                  </w14:solidFill>
                </w14:textFill>
              </w:rPr>
            </w:pPr>
          </w:p>
        </w:tc>
        <w:tc>
          <w:tcPr>
            <w:tcW w:w="2444" w:type="dxa"/>
          </w:tcPr>
          <w:p w14:paraId="7F3423B2">
            <w:pPr>
              <w:rPr>
                <w:rFonts w:ascii="Arial"/>
                <w:color w:val="000000" w:themeColor="text1"/>
                <w:highlight w:val="none"/>
                <w14:textFill>
                  <w14:solidFill>
                    <w14:schemeClr w14:val="tx1"/>
                  </w14:solidFill>
                </w14:textFill>
              </w:rPr>
            </w:pPr>
          </w:p>
        </w:tc>
        <w:tc>
          <w:tcPr>
            <w:tcW w:w="750" w:type="dxa"/>
          </w:tcPr>
          <w:p w14:paraId="15654852">
            <w:pPr>
              <w:rPr>
                <w:rFonts w:ascii="Arial"/>
                <w:color w:val="000000" w:themeColor="text1"/>
                <w:highlight w:val="none"/>
                <w14:textFill>
                  <w14:solidFill>
                    <w14:schemeClr w14:val="tx1"/>
                  </w14:solidFill>
                </w14:textFill>
              </w:rPr>
            </w:pPr>
          </w:p>
        </w:tc>
        <w:tc>
          <w:tcPr>
            <w:tcW w:w="705" w:type="dxa"/>
          </w:tcPr>
          <w:p w14:paraId="35D9BA8E">
            <w:pPr>
              <w:rPr>
                <w:rFonts w:ascii="Arial"/>
                <w:color w:val="000000" w:themeColor="text1"/>
                <w:highlight w:val="none"/>
                <w14:textFill>
                  <w14:solidFill>
                    <w14:schemeClr w14:val="tx1"/>
                  </w14:solidFill>
                </w14:textFill>
              </w:rPr>
            </w:pPr>
          </w:p>
        </w:tc>
        <w:tc>
          <w:tcPr>
            <w:tcW w:w="753" w:type="dxa"/>
          </w:tcPr>
          <w:p w14:paraId="690BC9C5">
            <w:pPr>
              <w:rPr>
                <w:rFonts w:ascii="Arial"/>
                <w:color w:val="000000" w:themeColor="text1"/>
                <w:highlight w:val="none"/>
                <w14:textFill>
                  <w14:solidFill>
                    <w14:schemeClr w14:val="tx1"/>
                  </w14:solidFill>
                </w14:textFill>
              </w:rPr>
            </w:pPr>
          </w:p>
        </w:tc>
        <w:tc>
          <w:tcPr>
            <w:tcW w:w="1036" w:type="dxa"/>
          </w:tcPr>
          <w:p w14:paraId="5C1B1539">
            <w:pPr>
              <w:rPr>
                <w:rFonts w:ascii="Arial"/>
                <w:color w:val="000000" w:themeColor="text1"/>
                <w:highlight w:val="none"/>
                <w14:textFill>
                  <w14:solidFill>
                    <w14:schemeClr w14:val="tx1"/>
                  </w14:solidFill>
                </w14:textFill>
              </w:rPr>
            </w:pPr>
          </w:p>
        </w:tc>
      </w:tr>
      <w:tr w14:paraId="07913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47379440">
            <w:pPr>
              <w:rPr>
                <w:rFonts w:ascii="Arial"/>
                <w:color w:val="000000" w:themeColor="text1"/>
                <w:highlight w:val="none"/>
                <w14:textFill>
                  <w14:solidFill>
                    <w14:schemeClr w14:val="tx1"/>
                  </w14:solidFill>
                </w14:textFill>
              </w:rPr>
            </w:pPr>
          </w:p>
        </w:tc>
        <w:tc>
          <w:tcPr>
            <w:tcW w:w="1356" w:type="dxa"/>
          </w:tcPr>
          <w:p w14:paraId="427BFC44">
            <w:pPr>
              <w:rPr>
                <w:rFonts w:ascii="Arial"/>
                <w:color w:val="000000" w:themeColor="text1"/>
                <w:highlight w:val="none"/>
                <w14:textFill>
                  <w14:solidFill>
                    <w14:schemeClr w14:val="tx1"/>
                  </w14:solidFill>
                </w14:textFill>
              </w:rPr>
            </w:pPr>
          </w:p>
        </w:tc>
        <w:tc>
          <w:tcPr>
            <w:tcW w:w="802" w:type="dxa"/>
          </w:tcPr>
          <w:p w14:paraId="19CDFC25">
            <w:pPr>
              <w:rPr>
                <w:rFonts w:ascii="Arial"/>
                <w:color w:val="000000" w:themeColor="text1"/>
                <w:highlight w:val="none"/>
                <w14:textFill>
                  <w14:solidFill>
                    <w14:schemeClr w14:val="tx1"/>
                  </w14:solidFill>
                </w14:textFill>
              </w:rPr>
            </w:pPr>
          </w:p>
        </w:tc>
        <w:tc>
          <w:tcPr>
            <w:tcW w:w="735" w:type="dxa"/>
          </w:tcPr>
          <w:p w14:paraId="781995A5">
            <w:pPr>
              <w:rPr>
                <w:rFonts w:ascii="Arial"/>
                <w:color w:val="000000" w:themeColor="text1"/>
                <w:highlight w:val="none"/>
                <w14:textFill>
                  <w14:solidFill>
                    <w14:schemeClr w14:val="tx1"/>
                  </w14:solidFill>
                </w14:textFill>
              </w:rPr>
            </w:pPr>
          </w:p>
        </w:tc>
        <w:tc>
          <w:tcPr>
            <w:tcW w:w="2444" w:type="dxa"/>
          </w:tcPr>
          <w:p w14:paraId="54E928B1">
            <w:pPr>
              <w:rPr>
                <w:rFonts w:ascii="Arial"/>
                <w:color w:val="000000" w:themeColor="text1"/>
                <w:highlight w:val="none"/>
                <w14:textFill>
                  <w14:solidFill>
                    <w14:schemeClr w14:val="tx1"/>
                  </w14:solidFill>
                </w14:textFill>
              </w:rPr>
            </w:pPr>
          </w:p>
        </w:tc>
        <w:tc>
          <w:tcPr>
            <w:tcW w:w="750" w:type="dxa"/>
          </w:tcPr>
          <w:p w14:paraId="089C71B6">
            <w:pPr>
              <w:rPr>
                <w:rFonts w:ascii="Arial"/>
                <w:color w:val="000000" w:themeColor="text1"/>
                <w:highlight w:val="none"/>
                <w14:textFill>
                  <w14:solidFill>
                    <w14:schemeClr w14:val="tx1"/>
                  </w14:solidFill>
                </w14:textFill>
              </w:rPr>
            </w:pPr>
          </w:p>
        </w:tc>
        <w:tc>
          <w:tcPr>
            <w:tcW w:w="705" w:type="dxa"/>
          </w:tcPr>
          <w:p w14:paraId="0A7F1D7F">
            <w:pPr>
              <w:rPr>
                <w:rFonts w:ascii="Arial"/>
                <w:color w:val="000000" w:themeColor="text1"/>
                <w:highlight w:val="none"/>
                <w14:textFill>
                  <w14:solidFill>
                    <w14:schemeClr w14:val="tx1"/>
                  </w14:solidFill>
                </w14:textFill>
              </w:rPr>
            </w:pPr>
          </w:p>
        </w:tc>
        <w:tc>
          <w:tcPr>
            <w:tcW w:w="753" w:type="dxa"/>
          </w:tcPr>
          <w:p w14:paraId="73AB0548">
            <w:pPr>
              <w:rPr>
                <w:rFonts w:ascii="Arial"/>
                <w:color w:val="000000" w:themeColor="text1"/>
                <w:highlight w:val="none"/>
                <w14:textFill>
                  <w14:solidFill>
                    <w14:schemeClr w14:val="tx1"/>
                  </w14:solidFill>
                </w14:textFill>
              </w:rPr>
            </w:pPr>
          </w:p>
        </w:tc>
        <w:tc>
          <w:tcPr>
            <w:tcW w:w="1036" w:type="dxa"/>
          </w:tcPr>
          <w:p w14:paraId="7389E315">
            <w:pPr>
              <w:rPr>
                <w:rFonts w:ascii="Arial"/>
                <w:color w:val="000000" w:themeColor="text1"/>
                <w:highlight w:val="none"/>
                <w14:textFill>
                  <w14:solidFill>
                    <w14:schemeClr w14:val="tx1"/>
                  </w14:solidFill>
                </w14:textFill>
              </w:rPr>
            </w:pPr>
          </w:p>
        </w:tc>
      </w:tr>
      <w:tr w14:paraId="33DDC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611E8DCD">
            <w:pPr>
              <w:rPr>
                <w:rFonts w:ascii="Arial"/>
                <w:color w:val="000000" w:themeColor="text1"/>
                <w:highlight w:val="none"/>
                <w14:textFill>
                  <w14:solidFill>
                    <w14:schemeClr w14:val="tx1"/>
                  </w14:solidFill>
                </w14:textFill>
              </w:rPr>
            </w:pPr>
          </w:p>
        </w:tc>
        <w:tc>
          <w:tcPr>
            <w:tcW w:w="1356" w:type="dxa"/>
          </w:tcPr>
          <w:p w14:paraId="4AC91507">
            <w:pPr>
              <w:rPr>
                <w:rFonts w:ascii="Arial"/>
                <w:color w:val="000000" w:themeColor="text1"/>
                <w:highlight w:val="none"/>
                <w14:textFill>
                  <w14:solidFill>
                    <w14:schemeClr w14:val="tx1"/>
                  </w14:solidFill>
                </w14:textFill>
              </w:rPr>
            </w:pPr>
          </w:p>
        </w:tc>
        <w:tc>
          <w:tcPr>
            <w:tcW w:w="802" w:type="dxa"/>
          </w:tcPr>
          <w:p w14:paraId="6A5F2E86">
            <w:pPr>
              <w:rPr>
                <w:rFonts w:ascii="Arial"/>
                <w:color w:val="000000" w:themeColor="text1"/>
                <w:highlight w:val="none"/>
                <w14:textFill>
                  <w14:solidFill>
                    <w14:schemeClr w14:val="tx1"/>
                  </w14:solidFill>
                </w14:textFill>
              </w:rPr>
            </w:pPr>
          </w:p>
        </w:tc>
        <w:tc>
          <w:tcPr>
            <w:tcW w:w="735" w:type="dxa"/>
          </w:tcPr>
          <w:p w14:paraId="581AB477">
            <w:pPr>
              <w:rPr>
                <w:rFonts w:ascii="Arial"/>
                <w:color w:val="000000" w:themeColor="text1"/>
                <w:highlight w:val="none"/>
                <w14:textFill>
                  <w14:solidFill>
                    <w14:schemeClr w14:val="tx1"/>
                  </w14:solidFill>
                </w14:textFill>
              </w:rPr>
            </w:pPr>
          </w:p>
        </w:tc>
        <w:tc>
          <w:tcPr>
            <w:tcW w:w="2444" w:type="dxa"/>
          </w:tcPr>
          <w:p w14:paraId="567ABCCA">
            <w:pPr>
              <w:rPr>
                <w:rFonts w:ascii="Arial"/>
                <w:color w:val="000000" w:themeColor="text1"/>
                <w:highlight w:val="none"/>
                <w14:textFill>
                  <w14:solidFill>
                    <w14:schemeClr w14:val="tx1"/>
                  </w14:solidFill>
                </w14:textFill>
              </w:rPr>
            </w:pPr>
          </w:p>
        </w:tc>
        <w:tc>
          <w:tcPr>
            <w:tcW w:w="750" w:type="dxa"/>
          </w:tcPr>
          <w:p w14:paraId="73D2E9D5">
            <w:pPr>
              <w:rPr>
                <w:rFonts w:ascii="Arial"/>
                <w:color w:val="000000" w:themeColor="text1"/>
                <w:highlight w:val="none"/>
                <w14:textFill>
                  <w14:solidFill>
                    <w14:schemeClr w14:val="tx1"/>
                  </w14:solidFill>
                </w14:textFill>
              </w:rPr>
            </w:pPr>
          </w:p>
        </w:tc>
        <w:tc>
          <w:tcPr>
            <w:tcW w:w="705" w:type="dxa"/>
          </w:tcPr>
          <w:p w14:paraId="2397E5B0">
            <w:pPr>
              <w:rPr>
                <w:rFonts w:ascii="Arial"/>
                <w:color w:val="000000" w:themeColor="text1"/>
                <w:highlight w:val="none"/>
                <w14:textFill>
                  <w14:solidFill>
                    <w14:schemeClr w14:val="tx1"/>
                  </w14:solidFill>
                </w14:textFill>
              </w:rPr>
            </w:pPr>
          </w:p>
        </w:tc>
        <w:tc>
          <w:tcPr>
            <w:tcW w:w="753" w:type="dxa"/>
          </w:tcPr>
          <w:p w14:paraId="0C7CA16E">
            <w:pPr>
              <w:rPr>
                <w:rFonts w:ascii="Arial"/>
                <w:color w:val="000000" w:themeColor="text1"/>
                <w:highlight w:val="none"/>
                <w14:textFill>
                  <w14:solidFill>
                    <w14:schemeClr w14:val="tx1"/>
                  </w14:solidFill>
                </w14:textFill>
              </w:rPr>
            </w:pPr>
          </w:p>
        </w:tc>
        <w:tc>
          <w:tcPr>
            <w:tcW w:w="1036" w:type="dxa"/>
          </w:tcPr>
          <w:p w14:paraId="723027FC">
            <w:pPr>
              <w:rPr>
                <w:rFonts w:ascii="Arial"/>
                <w:color w:val="000000" w:themeColor="text1"/>
                <w:highlight w:val="none"/>
                <w14:textFill>
                  <w14:solidFill>
                    <w14:schemeClr w14:val="tx1"/>
                  </w14:solidFill>
                </w14:textFill>
              </w:rPr>
            </w:pPr>
          </w:p>
        </w:tc>
      </w:tr>
      <w:tr w14:paraId="10098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045B7F58">
            <w:pPr>
              <w:rPr>
                <w:rFonts w:ascii="Arial"/>
                <w:color w:val="000000" w:themeColor="text1"/>
                <w:highlight w:val="none"/>
                <w14:textFill>
                  <w14:solidFill>
                    <w14:schemeClr w14:val="tx1"/>
                  </w14:solidFill>
                </w14:textFill>
              </w:rPr>
            </w:pPr>
          </w:p>
        </w:tc>
        <w:tc>
          <w:tcPr>
            <w:tcW w:w="1356" w:type="dxa"/>
          </w:tcPr>
          <w:p w14:paraId="07A81CAF">
            <w:pPr>
              <w:rPr>
                <w:rFonts w:ascii="Arial"/>
                <w:color w:val="000000" w:themeColor="text1"/>
                <w:highlight w:val="none"/>
                <w14:textFill>
                  <w14:solidFill>
                    <w14:schemeClr w14:val="tx1"/>
                  </w14:solidFill>
                </w14:textFill>
              </w:rPr>
            </w:pPr>
          </w:p>
        </w:tc>
        <w:tc>
          <w:tcPr>
            <w:tcW w:w="802" w:type="dxa"/>
          </w:tcPr>
          <w:p w14:paraId="3BEFA26A">
            <w:pPr>
              <w:rPr>
                <w:rFonts w:ascii="Arial"/>
                <w:color w:val="000000" w:themeColor="text1"/>
                <w:highlight w:val="none"/>
                <w14:textFill>
                  <w14:solidFill>
                    <w14:schemeClr w14:val="tx1"/>
                  </w14:solidFill>
                </w14:textFill>
              </w:rPr>
            </w:pPr>
          </w:p>
        </w:tc>
        <w:tc>
          <w:tcPr>
            <w:tcW w:w="735" w:type="dxa"/>
          </w:tcPr>
          <w:p w14:paraId="6A60C658">
            <w:pPr>
              <w:rPr>
                <w:rFonts w:ascii="Arial"/>
                <w:color w:val="000000" w:themeColor="text1"/>
                <w:highlight w:val="none"/>
                <w14:textFill>
                  <w14:solidFill>
                    <w14:schemeClr w14:val="tx1"/>
                  </w14:solidFill>
                </w14:textFill>
              </w:rPr>
            </w:pPr>
          </w:p>
        </w:tc>
        <w:tc>
          <w:tcPr>
            <w:tcW w:w="2444" w:type="dxa"/>
          </w:tcPr>
          <w:p w14:paraId="706D08A3">
            <w:pPr>
              <w:rPr>
                <w:rFonts w:ascii="Arial"/>
                <w:color w:val="000000" w:themeColor="text1"/>
                <w:highlight w:val="none"/>
                <w14:textFill>
                  <w14:solidFill>
                    <w14:schemeClr w14:val="tx1"/>
                  </w14:solidFill>
                </w14:textFill>
              </w:rPr>
            </w:pPr>
          </w:p>
        </w:tc>
        <w:tc>
          <w:tcPr>
            <w:tcW w:w="750" w:type="dxa"/>
          </w:tcPr>
          <w:p w14:paraId="29C99B75">
            <w:pPr>
              <w:rPr>
                <w:rFonts w:ascii="Arial"/>
                <w:color w:val="000000" w:themeColor="text1"/>
                <w:highlight w:val="none"/>
                <w14:textFill>
                  <w14:solidFill>
                    <w14:schemeClr w14:val="tx1"/>
                  </w14:solidFill>
                </w14:textFill>
              </w:rPr>
            </w:pPr>
          </w:p>
        </w:tc>
        <w:tc>
          <w:tcPr>
            <w:tcW w:w="705" w:type="dxa"/>
          </w:tcPr>
          <w:p w14:paraId="4CFE6465">
            <w:pPr>
              <w:rPr>
                <w:rFonts w:ascii="Arial"/>
                <w:color w:val="000000" w:themeColor="text1"/>
                <w:highlight w:val="none"/>
                <w14:textFill>
                  <w14:solidFill>
                    <w14:schemeClr w14:val="tx1"/>
                  </w14:solidFill>
                </w14:textFill>
              </w:rPr>
            </w:pPr>
          </w:p>
        </w:tc>
        <w:tc>
          <w:tcPr>
            <w:tcW w:w="753" w:type="dxa"/>
          </w:tcPr>
          <w:p w14:paraId="4EAB27F3">
            <w:pPr>
              <w:rPr>
                <w:rFonts w:ascii="Arial"/>
                <w:color w:val="000000" w:themeColor="text1"/>
                <w:highlight w:val="none"/>
                <w14:textFill>
                  <w14:solidFill>
                    <w14:schemeClr w14:val="tx1"/>
                  </w14:solidFill>
                </w14:textFill>
              </w:rPr>
            </w:pPr>
          </w:p>
        </w:tc>
        <w:tc>
          <w:tcPr>
            <w:tcW w:w="1036" w:type="dxa"/>
          </w:tcPr>
          <w:p w14:paraId="268E48E3">
            <w:pPr>
              <w:rPr>
                <w:rFonts w:ascii="Arial"/>
                <w:color w:val="000000" w:themeColor="text1"/>
                <w:highlight w:val="none"/>
                <w14:textFill>
                  <w14:solidFill>
                    <w14:schemeClr w14:val="tx1"/>
                  </w14:solidFill>
                </w14:textFill>
              </w:rPr>
            </w:pPr>
          </w:p>
        </w:tc>
      </w:tr>
      <w:tr w14:paraId="7908C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27DA2547">
            <w:pPr>
              <w:rPr>
                <w:rFonts w:ascii="Arial"/>
                <w:color w:val="000000" w:themeColor="text1"/>
                <w:highlight w:val="none"/>
                <w14:textFill>
                  <w14:solidFill>
                    <w14:schemeClr w14:val="tx1"/>
                  </w14:solidFill>
                </w14:textFill>
              </w:rPr>
            </w:pPr>
          </w:p>
        </w:tc>
        <w:tc>
          <w:tcPr>
            <w:tcW w:w="1356" w:type="dxa"/>
          </w:tcPr>
          <w:p w14:paraId="281D0D2C">
            <w:pPr>
              <w:rPr>
                <w:rFonts w:ascii="Arial"/>
                <w:color w:val="000000" w:themeColor="text1"/>
                <w:highlight w:val="none"/>
                <w14:textFill>
                  <w14:solidFill>
                    <w14:schemeClr w14:val="tx1"/>
                  </w14:solidFill>
                </w14:textFill>
              </w:rPr>
            </w:pPr>
          </w:p>
        </w:tc>
        <w:tc>
          <w:tcPr>
            <w:tcW w:w="802" w:type="dxa"/>
          </w:tcPr>
          <w:p w14:paraId="71B6E821">
            <w:pPr>
              <w:rPr>
                <w:rFonts w:ascii="Arial"/>
                <w:color w:val="000000" w:themeColor="text1"/>
                <w:highlight w:val="none"/>
                <w14:textFill>
                  <w14:solidFill>
                    <w14:schemeClr w14:val="tx1"/>
                  </w14:solidFill>
                </w14:textFill>
              </w:rPr>
            </w:pPr>
          </w:p>
        </w:tc>
        <w:tc>
          <w:tcPr>
            <w:tcW w:w="735" w:type="dxa"/>
          </w:tcPr>
          <w:p w14:paraId="5614EBBE">
            <w:pPr>
              <w:rPr>
                <w:rFonts w:ascii="Arial"/>
                <w:color w:val="000000" w:themeColor="text1"/>
                <w:highlight w:val="none"/>
                <w14:textFill>
                  <w14:solidFill>
                    <w14:schemeClr w14:val="tx1"/>
                  </w14:solidFill>
                </w14:textFill>
              </w:rPr>
            </w:pPr>
          </w:p>
        </w:tc>
        <w:tc>
          <w:tcPr>
            <w:tcW w:w="2444" w:type="dxa"/>
          </w:tcPr>
          <w:p w14:paraId="5C1E1D87">
            <w:pPr>
              <w:rPr>
                <w:rFonts w:ascii="Arial"/>
                <w:color w:val="000000" w:themeColor="text1"/>
                <w:highlight w:val="none"/>
                <w14:textFill>
                  <w14:solidFill>
                    <w14:schemeClr w14:val="tx1"/>
                  </w14:solidFill>
                </w14:textFill>
              </w:rPr>
            </w:pPr>
          </w:p>
        </w:tc>
        <w:tc>
          <w:tcPr>
            <w:tcW w:w="750" w:type="dxa"/>
          </w:tcPr>
          <w:p w14:paraId="19DC48B2">
            <w:pPr>
              <w:rPr>
                <w:rFonts w:ascii="Arial"/>
                <w:color w:val="000000" w:themeColor="text1"/>
                <w:highlight w:val="none"/>
                <w14:textFill>
                  <w14:solidFill>
                    <w14:schemeClr w14:val="tx1"/>
                  </w14:solidFill>
                </w14:textFill>
              </w:rPr>
            </w:pPr>
          </w:p>
        </w:tc>
        <w:tc>
          <w:tcPr>
            <w:tcW w:w="705" w:type="dxa"/>
          </w:tcPr>
          <w:p w14:paraId="4CA7233F">
            <w:pPr>
              <w:rPr>
                <w:rFonts w:ascii="Arial"/>
                <w:color w:val="000000" w:themeColor="text1"/>
                <w:highlight w:val="none"/>
                <w14:textFill>
                  <w14:solidFill>
                    <w14:schemeClr w14:val="tx1"/>
                  </w14:solidFill>
                </w14:textFill>
              </w:rPr>
            </w:pPr>
          </w:p>
        </w:tc>
        <w:tc>
          <w:tcPr>
            <w:tcW w:w="753" w:type="dxa"/>
          </w:tcPr>
          <w:p w14:paraId="53FF63E6">
            <w:pPr>
              <w:rPr>
                <w:rFonts w:ascii="Arial"/>
                <w:color w:val="000000" w:themeColor="text1"/>
                <w:highlight w:val="none"/>
                <w14:textFill>
                  <w14:solidFill>
                    <w14:schemeClr w14:val="tx1"/>
                  </w14:solidFill>
                </w14:textFill>
              </w:rPr>
            </w:pPr>
          </w:p>
        </w:tc>
        <w:tc>
          <w:tcPr>
            <w:tcW w:w="1036" w:type="dxa"/>
          </w:tcPr>
          <w:p w14:paraId="1AC3BD5D">
            <w:pPr>
              <w:rPr>
                <w:rFonts w:ascii="Arial"/>
                <w:color w:val="000000" w:themeColor="text1"/>
                <w:highlight w:val="none"/>
                <w14:textFill>
                  <w14:solidFill>
                    <w14:schemeClr w14:val="tx1"/>
                  </w14:solidFill>
                </w14:textFill>
              </w:rPr>
            </w:pPr>
          </w:p>
        </w:tc>
      </w:tr>
      <w:tr w14:paraId="24E82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4C814335">
            <w:pPr>
              <w:rPr>
                <w:rFonts w:ascii="Arial"/>
                <w:color w:val="000000" w:themeColor="text1"/>
                <w:highlight w:val="none"/>
                <w14:textFill>
                  <w14:solidFill>
                    <w14:schemeClr w14:val="tx1"/>
                  </w14:solidFill>
                </w14:textFill>
              </w:rPr>
            </w:pPr>
          </w:p>
        </w:tc>
        <w:tc>
          <w:tcPr>
            <w:tcW w:w="1356" w:type="dxa"/>
          </w:tcPr>
          <w:p w14:paraId="6BD12E89">
            <w:pPr>
              <w:rPr>
                <w:rFonts w:ascii="Arial"/>
                <w:color w:val="000000" w:themeColor="text1"/>
                <w:highlight w:val="none"/>
                <w14:textFill>
                  <w14:solidFill>
                    <w14:schemeClr w14:val="tx1"/>
                  </w14:solidFill>
                </w14:textFill>
              </w:rPr>
            </w:pPr>
          </w:p>
        </w:tc>
        <w:tc>
          <w:tcPr>
            <w:tcW w:w="802" w:type="dxa"/>
          </w:tcPr>
          <w:p w14:paraId="42F84327">
            <w:pPr>
              <w:rPr>
                <w:rFonts w:ascii="Arial"/>
                <w:color w:val="000000" w:themeColor="text1"/>
                <w:highlight w:val="none"/>
                <w14:textFill>
                  <w14:solidFill>
                    <w14:schemeClr w14:val="tx1"/>
                  </w14:solidFill>
                </w14:textFill>
              </w:rPr>
            </w:pPr>
          </w:p>
        </w:tc>
        <w:tc>
          <w:tcPr>
            <w:tcW w:w="735" w:type="dxa"/>
          </w:tcPr>
          <w:p w14:paraId="29EBB0A0">
            <w:pPr>
              <w:rPr>
                <w:rFonts w:ascii="Arial"/>
                <w:color w:val="000000" w:themeColor="text1"/>
                <w:highlight w:val="none"/>
                <w14:textFill>
                  <w14:solidFill>
                    <w14:schemeClr w14:val="tx1"/>
                  </w14:solidFill>
                </w14:textFill>
              </w:rPr>
            </w:pPr>
          </w:p>
        </w:tc>
        <w:tc>
          <w:tcPr>
            <w:tcW w:w="2444" w:type="dxa"/>
          </w:tcPr>
          <w:p w14:paraId="17B70E8A">
            <w:pPr>
              <w:rPr>
                <w:rFonts w:ascii="Arial"/>
                <w:color w:val="000000" w:themeColor="text1"/>
                <w:highlight w:val="none"/>
                <w14:textFill>
                  <w14:solidFill>
                    <w14:schemeClr w14:val="tx1"/>
                  </w14:solidFill>
                </w14:textFill>
              </w:rPr>
            </w:pPr>
          </w:p>
        </w:tc>
        <w:tc>
          <w:tcPr>
            <w:tcW w:w="750" w:type="dxa"/>
          </w:tcPr>
          <w:p w14:paraId="499FC2D9">
            <w:pPr>
              <w:rPr>
                <w:rFonts w:ascii="Arial"/>
                <w:color w:val="000000" w:themeColor="text1"/>
                <w:highlight w:val="none"/>
                <w14:textFill>
                  <w14:solidFill>
                    <w14:schemeClr w14:val="tx1"/>
                  </w14:solidFill>
                </w14:textFill>
              </w:rPr>
            </w:pPr>
          </w:p>
        </w:tc>
        <w:tc>
          <w:tcPr>
            <w:tcW w:w="705" w:type="dxa"/>
          </w:tcPr>
          <w:p w14:paraId="0255887E">
            <w:pPr>
              <w:rPr>
                <w:rFonts w:ascii="Arial"/>
                <w:color w:val="000000" w:themeColor="text1"/>
                <w:highlight w:val="none"/>
                <w14:textFill>
                  <w14:solidFill>
                    <w14:schemeClr w14:val="tx1"/>
                  </w14:solidFill>
                </w14:textFill>
              </w:rPr>
            </w:pPr>
          </w:p>
        </w:tc>
        <w:tc>
          <w:tcPr>
            <w:tcW w:w="753" w:type="dxa"/>
          </w:tcPr>
          <w:p w14:paraId="73B7F158">
            <w:pPr>
              <w:rPr>
                <w:rFonts w:ascii="Arial"/>
                <w:color w:val="000000" w:themeColor="text1"/>
                <w:highlight w:val="none"/>
                <w14:textFill>
                  <w14:solidFill>
                    <w14:schemeClr w14:val="tx1"/>
                  </w14:solidFill>
                </w14:textFill>
              </w:rPr>
            </w:pPr>
          </w:p>
        </w:tc>
        <w:tc>
          <w:tcPr>
            <w:tcW w:w="1036" w:type="dxa"/>
          </w:tcPr>
          <w:p w14:paraId="72B112F6">
            <w:pPr>
              <w:rPr>
                <w:rFonts w:ascii="Arial"/>
                <w:color w:val="000000" w:themeColor="text1"/>
                <w:highlight w:val="none"/>
                <w14:textFill>
                  <w14:solidFill>
                    <w14:schemeClr w14:val="tx1"/>
                  </w14:solidFill>
                </w14:textFill>
              </w:rPr>
            </w:pPr>
          </w:p>
        </w:tc>
      </w:tr>
      <w:tr w14:paraId="77C4A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0C0A4D9D">
            <w:pPr>
              <w:rPr>
                <w:rFonts w:ascii="Arial"/>
                <w:color w:val="000000" w:themeColor="text1"/>
                <w:highlight w:val="none"/>
                <w14:textFill>
                  <w14:solidFill>
                    <w14:schemeClr w14:val="tx1"/>
                  </w14:solidFill>
                </w14:textFill>
              </w:rPr>
            </w:pPr>
          </w:p>
        </w:tc>
        <w:tc>
          <w:tcPr>
            <w:tcW w:w="1356" w:type="dxa"/>
          </w:tcPr>
          <w:p w14:paraId="605BF073">
            <w:pPr>
              <w:rPr>
                <w:rFonts w:ascii="Arial"/>
                <w:color w:val="000000" w:themeColor="text1"/>
                <w:highlight w:val="none"/>
                <w14:textFill>
                  <w14:solidFill>
                    <w14:schemeClr w14:val="tx1"/>
                  </w14:solidFill>
                </w14:textFill>
              </w:rPr>
            </w:pPr>
          </w:p>
        </w:tc>
        <w:tc>
          <w:tcPr>
            <w:tcW w:w="802" w:type="dxa"/>
          </w:tcPr>
          <w:p w14:paraId="7AE0F3A2">
            <w:pPr>
              <w:rPr>
                <w:rFonts w:ascii="Arial"/>
                <w:color w:val="000000" w:themeColor="text1"/>
                <w:highlight w:val="none"/>
                <w14:textFill>
                  <w14:solidFill>
                    <w14:schemeClr w14:val="tx1"/>
                  </w14:solidFill>
                </w14:textFill>
              </w:rPr>
            </w:pPr>
          </w:p>
        </w:tc>
        <w:tc>
          <w:tcPr>
            <w:tcW w:w="735" w:type="dxa"/>
          </w:tcPr>
          <w:p w14:paraId="714B7440">
            <w:pPr>
              <w:rPr>
                <w:rFonts w:ascii="Arial"/>
                <w:color w:val="000000" w:themeColor="text1"/>
                <w:highlight w:val="none"/>
                <w14:textFill>
                  <w14:solidFill>
                    <w14:schemeClr w14:val="tx1"/>
                  </w14:solidFill>
                </w14:textFill>
              </w:rPr>
            </w:pPr>
          </w:p>
        </w:tc>
        <w:tc>
          <w:tcPr>
            <w:tcW w:w="2444" w:type="dxa"/>
          </w:tcPr>
          <w:p w14:paraId="7ECC79E5">
            <w:pPr>
              <w:rPr>
                <w:rFonts w:ascii="Arial"/>
                <w:color w:val="000000" w:themeColor="text1"/>
                <w:highlight w:val="none"/>
                <w14:textFill>
                  <w14:solidFill>
                    <w14:schemeClr w14:val="tx1"/>
                  </w14:solidFill>
                </w14:textFill>
              </w:rPr>
            </w:pPr>
          </w:p>
        </w:tc>
        <w:tc>
          <w:tcPr>
            <w:tcW w:w="750" w:type="dxa"/>
          </w:tcPr>
          <w:p w14:paraId="15E5EF84">
            <w:pPr>
              <w:rPr>
                <w:rFonts w:ascii="Arial"/>
                <w:color w:val="000000" w:themeColor="text1"/>
                <w:highlight w:val="none"/>
                <w14:textFill>
                  <w14:solidFill>
                    <w14:schemeClr w14:val="tx1"/>
                  </w14:solidFill>
                </w14:textFill>
              </w:rPr>
            </w:pPr>
          </w:p>
        </w:tc>
        <w:tc>
          <w:tcPr>
            <w:tcW w:w="705" w:type="dxa"/>
          </w:tcPr>
          <w:p w14:paraId="7E150833">
            <w:pPr>
              <w:rPr>
                <w:rFonts w:ascii="Arial"/>
                <w:color w:val="000000" w:themeColor="text1"/>
                <w:highlight w:val="none"/>
                <w14:textFill>
                  <w14:solidFill>
                    <w14:schemeClr w14:val="tx1"/>
                  </w14:solidFill>
                </w14:textFill>
              </w:rPr>
            </w:pPr>
          </w:p>
        </w:tc>
        <w:tc>
          <w:tcPr>
            <w:tcW w:w="753" w:type="dxa"/>
          </w:tcPr>
          <w:p w14:paraId="6C30EE5F">
            <w:pPr>
              <w:rPr>
                <w:rFonts w:ascii="Arial"/>
                <w:color w:val="000000" w:themeColor="text1"/>
                <w:highlight w:val="none"/>
                <w14:textFill>
                  <w14:solidFill>
                    <w14:schemeClr w14:val="tx1"/>
                  </w14:solidFill>
                </w14:textFill>
              </w:rPr>
            </w:pPr>
          </w:p>
        </w:tc>
        <w:tc>
          <w:tcPr>
            <w:tcW w:w="1036" w:type="dxa"/>
          </w:tcPr>
          <w:p w14:paraId="7BDCFEDF">
            <w:pPr>
              <w:rPr>
                <w:rFonts w:ascii="Arial"/>
                <w:color w:val="000000" w:themeColor="text1"/>
                <w:highlight w:val="none"/>
                <w14:textFill>
                  <w14:solidFill>
                    <w14:schemeClr w14:val="tx1"/>
                  </w14:solidFill>
                </w14:textFill>
              </w:rPr>
            </w:pPr>
          </w:p>
        </w:tc>
      </w:tr>
      <w:tr w14:paraId="55425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1890C422">
            <w:pPr>
              <w:rPr>
                <w:rFonts w:ascii="Arial"/>
                <w:color w:val="000000" w:themeColor="text1"/>
                <w:highlight w:val="none"/>
                <w14:textFill>
                  <w14:solidFill>
                    <w14:schemeClr w14:val="tx1"/>
                  </w14:solidFill>
                </w14:textFill>
              </w:rPr>
            </w:pPr>
          </w:p>
        </w:tc>
        <w:tc>
          <w:tcPr>
            <w:tcW w:w="1356" w:type="dxa"/>
          </w:tcPr>
          <w:p w14:paraId="281E9873">
            <w:pPr>
              <w:rPr>
                <w:rFonts w:ascii="Arial"/>
                <w:color w:val="000000" w:themeColor="text1"/>
                <w:highlight w:val="none"/>
                <w14:textFill>
                  <w14:solidFill>
                    <w14:schemeClr w14:val="tx1"/>
                  </w14:solidFill>
                </w14:textFill>
              </w:rPr>
            </w:pPr>
          </w:p>
        </w:tc>
        <w:tc>
          <w:tcPr>
            <w:tcW w:w="802" w:type="dxa"/>
          </w:tcPr>
          <w:p w14:paraId="1947255B">
            <w:pPr>
              <w:rPr>
                <w:rFonts w:ascii="Arial"/>
                <w:color w:val="000000" w:themeColor="text1"/>
                <w:highlight w:val="none"/>
                <w14:textFill>
                  <w14:solidFill>
                    <w14:schemeClr w14:val="tx1"/>
                  </w14:solidFill>
                </w14:textFill>
              </w:rPr>
            </w:pPr>
          </w:p>
        </w:tc>
        <w:tc>
          <w:tcPr>
            <w:tcW w:w="735" w:type="dxa"/>
          </w:tcPr>
          <w:p w14:paraId="35B33A2E">
            <w:pPr>
              <w:rPr>
                <w:rFonts w:ascii="Arial"/>
                <w:color w:val="000000" w:themeColor="text1"/>
                <w:highlight w:val="none"/>
                <w14:textFill>
                  <w14:solidFill>
                    <w14:schemeClr w14:val="tx1"/>
                  </w14:solidFill>
                </w14:textFill>
              </w:rPr>
            </w:pPr>
          </w:p>
        </w:tc>
        <w:tc>
          <w:tcPr>
            <w:tcW w:w="2444" w:type="dxa"/>
          </w:tcPr>
          <w:p w14:paraId="4887DD01">
            <w:pPr>
              <w:rPr>
                <w:rFonts w:ascii="Arial"/>
                <w:color w:val="000000" w:themeColor="text1"/>
                <w:highlight w:val="none"/>
                <w14:textFill>
                  <w14:solidFill>
                    <w14:schemeClr w14:val="tx1"/>
                  </w14:solidFill>
                </w14:textFill>
              </w:rPr>
            </w:pPr>
          </w:p>
        </w:tc>
        <w:tc>
          <w:tcPr>
            <w:tcW w:w="750" w:type="dxa"/>
          </w:tcPr>
          <w:p w14:paraId="59C2F780">
            <w:pPr>
              <w:rPr>
                <w:rFonts w:ascii="Arial"/>
                <w:color w:val="000000" w:themeColor="text1"/>
                <w:highlight w:val="none"/>
                <w14:textFill>
                  <w14:solidFill>
                    <w14:schemeClr w14:val="tx1"/>
                  </w14:solidFill>
                </w14:textFill>
              </w:rPr>
            </w:pPr>
          </w:p>
        </w:tc>
        <w:tc>
          <w:tcPr>
            <w:tcW w:w="705" w:type="dxa"/>
          </w:tcPr>
          <w:p w14:paraId="6BA255EC">
            <w:pPr>
              <w:rPr>
                <w:rFonts w:ascii="Arial"/>
                <w:color w:val="000000" w:themeColor="text1"/>
                <w:highlight w:val="none"/>
                <w14:textFill>
                  <w14:solidFill>
                    <w14:schemeClr w14:val="tx1"/>
                  </w14:solidFill>
                </w14:textFill>
              </w:rPr>
            </w:pPr>
          </w:p>
        </w:tc>
        <w:tc>
          <w:tcPr>
            <w:tcW w:w="753" w:type="dxa"/>
          </w:tcPr>
          <w:p w14:paraId="0031A0B1">
            <w:pPr>
              <w:rPr>
                <w:rFonts w:ascii="Arial"/>
                <w:color w:val="000000" w:themeColor="text1"/>
                <w:highlight w:val="none"/>
                <w14:textFill>
                  <w14:solidFill>
                    <w14:schemeClr w14:val="tx1"/>
                  </w14:solidFill>
                </w14:textFill>
              </w:rPr>
            </w:pPr>
          </w:p>
        </w:tc>
        <w:tc>
          <w:tcPr>
            <w:tcW w:w="1036" w:type="dxa"/>
          </w:tcPr>
          <w:p w14:paraId="01C71204">
            <w:pPr>
              <w:rPr>
                <w:rFonts w:ascii="Arial"/>
                <w:color w:val="000000" w:themeColor="text1"/>
                <w:highlight w:val="none"/>
                <w14:textFill>
                  <w14:solidFill>
                    <w14:schemeClr w14:val="tx1"/>
                  </w14:solidFill>
                </w14:textFill>
              </w:rPr>
            </w:pPr>
          </w:p>
        </w:tc>
      </w:tr>
      <w:tr w14:paraId="01FDA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24C56E97">
            <w:pPr>
              <w:rPr>
                <w:rFonts w:ascii="Arial"/>
                <w:color w:val="000000" w:themeColor="text1"/>
                <w:highlight w:val="none"/>
                <w14:textFill>
                  <w14:solidFill>
                    <w14:schemeClr w14:val="tx1"/>
                  </w14:solidFill>
                </w14:textFill>
              </w:rPr>
            </w:pPr>
          </w:p>
        </w:tc>
        <w:tc>
          <w:tcPr>
            <w:tcW w:w="1356" w:type="dxa"/>
          </w:tcPr>
          <w:p w14:paraId="6BED9480">
            <w:pPr>
              <w:rPr>
                <w:rFonts w:ascii="Arial"/>
                <w:color w:val="000000" w:themeColor="text1"/>
                <w:highlight w:val="none"/>
                <w14:textFill>
                  <w14:solidFill>
                    <w14:schemeClr w14:val="tx1"/>
                  </w14:solidFill>
                </w14:textFill>
              </w:rPr>
            </w:pPr>
          </w:p>
        </w:tc>
        <w:tc>
          <w:tcPr>
            <w:tcW w:w="802" w:type="dxa"/>
          </w:tcPr>
          <w:p w14:paraId="5B18A5C7">
            <w:pPr>
              <w:rPr>
                <w:rFonts w:ascii="Arial"/>
                <w:color w:val="000000" w:themeColor="text1"/>
                <w:highlight w:val="none"/>
                <w14:textFill>
                  <w14:solidFill>
                    <w14:schemeClr w14:val="tx1"/>
                  </w14:solidFill>
                </w14:textFill>
              </w:rPr>
            </w:pPr>
          </w:p>
        </w:tc>
        <w:tc>
          <w:tcPr>
            <w:tcW w:w="735" w:type="dxa"/>
          </w:tcPr>
          <w:p w14:paraId="672C4E8F">
            <w:pPr>
              <w:rPr>
                <w:rFonts w:ascii="Arial"/>
                <w:color w:val="000000" w:themeColor="text1"/>
                <w:highlight w:val="none"/>
                <w14:textFill>
                  <w14:solidFill>
                    <w14:schemeClr w14:val="tx1"/>
                  </w14:solidFill>
                </w14:textFill>
              </w:rPr>
            </w:pPr>
          </w:p>
        </w:tc>
        <w:tc>
          <w:tcPr>
            <w:tcW w:w="2444" w:type="dxa"/>
          </w:tcPr>
          <w:p w14:paraId="27A75AB9">
            <w:pPr>
              <w:rPr>
                <w:rFonts w:ascii="Arial"/>
                <w:color w:val="000000" w:themeColor="text1"/>
                <w:highlight w:val="none"/>
                <w14:textFill>
                  <w14:solidFill>
                    <w14:schemeClr w14:val="tx1"/>
                  </w14:solidFill>
                </w14:textFill>
              </w:rPr>
            </w:pPr>
          </w:p>
        </w:tc>
        <w:tc>
          <w:tcPr>
            <w:tcW w:w="750" w:type="dxa"/>
          </w:tcPr>
          <w:p w14:paraId="254EAFDF">
            <w:pPr>
              <w:rPr>
                <w:rFonts w:ascii="Arial"/>
                <w:color w:val="000000" w:themeColor="text1"/>
                <w:highlight w:val="none"/>
                <w14:textFill>
                  <w14:solidFill>
                    <w14:schemeClr w14:val="tx1"/>
                  </w14:solidFill>
                </w14:textFill>
              </w:rPr>
            </w:pPr>
          </w:p>
        </w:tc>
        <w:tc>
          <w:tcPr>
            <w:tcW w:w="705" w:type="dxa"/>
          </w:tcPr>
          <w:p w14:paraId="49FE1445">
            <w:pPr>
              <w:rPr>
                <w:rFonts w:ascii="Arial"/>
                <w:color w:val="000000" w:themeColor="text1"/>
                <w:highlight w:val="none"/>
                <w14:textFill>
                  <w14:solidFill>
                    <w14:schemeClr w14:val="tx1"/>
                  </w14:solidFill>
                </w14:textFill>
              </w:rPr>
            </w:pPr>
          </w:p>
        </w:tc>
        <w:tc>
          <w:tcPr>
            <w:tcW w:w="753" w:type="dxa"/>
          </w:tcPr>
          <w:p w14:paraId="536B2AD7">
            <w:pPr>
              <w:rPr>
                <w:rFonts w:ascii="Arial"/>
                <w:color w:val="000000" w:themeColor="text1"/>
                <w:highlight w:val="none"/>
                <w14:textFill>
                  <w14:solidFill>
                    <w14:schemeClr w14:val="tx1"/>
                  </w14:solidFill>
                </w14:textFill>
              </w:rPr>
            </w:pPr>
          </w:p>
        </w:tc>
        <w:tc>
          <w:tcPr>
            <w:tcW w:w="1036" w:type="dxa"/>
          </w:tcPr>
          <w:p w14:paraId="528D05B9">
            <w:pPr>
              <w:rPr>
                <w:rFonts w:ascii="Arial"/>
                <w:color w:val="000000" w:themeColor="text1"/>
                <w:highlight w:val="none"/>
                <w14:textFill>
                  <w14:solidFill>
                    <w14:schemeClr w14:val="tx1"/>
                  </w14:solidFill>
                </w14:textFill>
              </w:rPr>
            </w:pPr>
          </w:p>
        </w:tc>
      </w:tr>
      <w:tr w14:paraId="236AB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6FFBD38C">
            <w:pPr>
              <w:rPr>
                <w:rFonts w:ascii="Arial"/>
                <w:color w:val="000000" w:themeColor="text1"/>
                <w:highlight w:val="none"/>
                <w14:textFill>
                  <w14:solidFill>
                    <w14:schemeClr w14:val="tx1"/>
                  </w14:solidFill>
                </w14:textFill>
              </w:rPr>
            </w:pPr>
          </w:p>
        </w:tc>
        <w:tc>
          <w:tcPr>
            <w:tcW w:w="1356" w:type="dxa"/>
          </w:tcPr>
          <w:p w14:paraId="502DFD46">
            <w:pPr>
              <w:rPr>
                <w:rFonts w:ascii="Arial"/>
                <w:color w:val="000000" w:themeColor="text1"/>
                <w:highlight w:val="none"/>
                <w14:textFill>
                  <w14:solidFill>
                    <w14:schemeClr w14:val="tx1"/>
                  </w14:solidFill>
                </w14:textFill>
              </w:rPr>
            </w:pPr>
          </w:p>
        </w:tc>
        <w:tc>
          <w:tcPr>
            <w:tcW w:w="802" w:type="dxa"/>
          </w:tcPr>
          <w:p w14:paraId="73B717FB">
            <w:pPr>
              <w:rPr>
                <w:rFonts w:ascii="Arial"/>
                <w:color w:val="000000" w:themeColor="text1"/>
                <w:highlight w:val="none"/>
                <w14:textFill>
                  <w14:solidFill>
                    <w14:schemeClr w14:val="tx1"/>
                  </w14:solidFill>
                </w14:textFill>
              </w:rPr>
            </w:pPr>
          </w:p>
        </w:tc>
        <w:tc>
          <w:tcPr>
            <w:tcW w:w="735" w:type="dxa"/>
          </w:tcPr>
          <w:p w14:paraId="05E8BF42">
            <w:pPr>
              <w:rPr>
                <w:rFonts w:ascii="Arial"/>
                <w:color w:val="000000" w:themeColor="text1"/>
                <w:highlight w:val="none"/>
                <w14:textFill>
                  <w14:solidFill>
                    <w14:schemeClr w14:val="tx1"/>
                  </w14:solidFill>
                </w14:textFill>
              </w:rPr>
            </w:pPr>
          </w:p>
        </w:tc>
        <w:tc>
          <w:tcPr>
            <w:tcW w:w="2444" w:type="dxa"/>
          </w:tcPr>
          <w:p w14:paraId="10F97F1A">
            <w:pPr>
              <w:rPr>
                <w:rFonts w:ascii="Arial"/>
                <w:color w:val="000000" w:themeColor="text1"/>
                <w:highlight w:val="none"/>
                <w14:textFill>
                  <w14:solidFill>
                    <w14:schemeClr w14:val="tx1"/>
                  </w14:solidFill>
                </w14:textFill>
              </w:rPr>
            </w:pPr>
          </w:p>
        </w:tc>
        <w:tc>
          <w:tcPr>
            <w:tcW w:w="750" w:type="dxa"/>
          </w:tcPr>
          <w:p w14:paraId="30E6ED3E">
            <w:pPr>
              <w:rPr>
                <w:rFonts w:ascii="Arial"/>
                <w:color w:val="000000" w:themeColor="text1"/>
                <w:highlight w:val="none"/>
                <w14:textFill>
                  <w14:solidFill>
                    <w14:schemeClr w14:val="tx1"/>
                  </w14:solidFill>
                </w14:textFill>
              </w:rPr>
            </w:pPr>
          </w:p>
        </w:tc>
        <w:tc>
          <w:tcPr>
            <w:tcW w:w="705" w:type="dxa"/>
          </w:tcPr>
          <w:p w14:paraId="6DE32039">
            <w:pPr>
              <w:rPr>
                <w:rFonts w:ascii="Arial"/>
                <w:color w:val="000000" w:themeColor="text1"/>
                <w:highlight w:val="none"/>
                <w14:textFill>
                  <w14:solidFill>
                    <w14:schemeClr w14:val="tx1"/>
                  </w14:solidFill>
                </w14:textFill>
              </w:rPr>
            </w:pPr>
          </w:p>
        </w:tc>
        <w:tc>
          <w:tcPr>
            <w:tcW w:w="753" w:type="dxa"/>
          </w:tcPr>
          <w:p w14:paraId="392627DB">
            <w:pPr>
              <w:rPr>
                <w:rFonts w:ascii="Arial"/>
                <w:color w:val="000000" w:themeColor="text1"/>
                <w:highlight w:val="none"/>
                <w14:textFill>
                  <w14:solidFill>
                    <w14:schemeClr w14:val="tx1"/>
                  </w14:solidFill>
                </w14:textFill>
              </w:rPr>
            </w:pPr>
          </w:p>
        </w:tc>
        <w:tc>
          <w:tcPr>
            <w:tcW w:w="1036" w:type="dxa"/>
          </w:tcPr>
          <w:p w14:paraId="72B92D28">
            <w:pPr>
              <w:rPr>
                <w:rFonts w:ascii="Arial"/>
                <w:color w:val="000000" w:themeColor="text1"/>
                <w:highlight w:val="none"/>
                <w14:textFill>
                  <w14:solidFill>
                    <w14:schemeClr w14:val="tx1"/>
                  </w14:solidFill>
                </w14:textFill>
              </w:rPr>
            </w:pPr>
          </w:p>
        </w:tc>
      </w:tr>
      <w:tr w14:paraId="18090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4789802E">
            <w:pPr>
              <w:rPr>
                <w:rFonts w:ascii="Arial"/>
                <w:color w:val="000000" w:themeColor="text1"/>
                <w:highlight w:val="none"/>
                <w14:textFill>
                  <w14:solidFill>
                    <w14:schemeClr w14:val="tx1"/>
                  </w14:solidFill>
                </w14:textFill>
              </w:rPr>
            </w:pPr>
          </w:p>
        </w:tc>
        <w:tc>
          <w:tcPr>
            <w:tcW w:w="1356" w:type="dxa"/>
          </w:tcPr>
          <w:p w14:paraId="170FE723">
            <w:pPr>
              <w:rPr>
                <w:rFonts w:ascii="Arial"/>
                <w:color w:val="000000" w:themeColor="text1"/>
                <w:highlight w:val="none"/>
                <w14:textFill>
                  <w14:solidFill>
                    <w14:schemeClr w14:val="tx1"/>
                  </w14:solidFill>
                </w14:textFill>
              </w:rPr>
            </w:pPr>
          </w:p>
        </w:tc>
        <w:tc>
          <w:tcPr>
            <w:tcW w:w="802" w:type="dxa"/>
          </w:tcPr>
          <w:p w14:paraId="7167085A">
            <w:pPr>
              <w:rPr>
                <w:rFonts w:ascii="Arial"/>
                <w:color w:val="000000" w:themeColor="text1"/>
                <w:highlight w:val="none"/>
                <w14:textFill>
                  <w14:solidFill>
                    <w14:schemeClr w14:val="tx1"/>
                  </w14:solidFill>
                </w14:textFill>
              </w:rPr>
            </w:pPr>
          </w:p>
        </w:tc>
        <w:tc>
          <w:tcPr>
            <w:tcW w:w="735" w:type="dxa"/>
          </w:tcPr>
          <w:p w14:paraId="78B70190">
            <w:pPr>
              <w:rPr>
                <w:rFonts w:ascii="Arial"/>
                <w:color w:val="000000" w:themeColor="text1"/>
                <w:highlight w:val="none"/>
                <w14:textFill>
                  <w14:solidFill>
                    <w14:schemeClr w14:val="tx1"/>
                  </w14:solidFill>
                </w14:textFill>
              </w:rPr>
            </w:pPr>
          </w:p>
        </w:tc>
        <w:tc>
          <w:tcPr>
            <w:tcW w:w="2444" w:type="dxa"/>
          </w:tcPr>
          <w:p w14:paraId="72E4E212">
            <w:pPr>
              <w:rPr>
                <w:rFonts w:ascii="Arial"/>
                <w:color w:val="000000" w:themeColor="text1"/>
                <w:highlight w:val="none"/>
                <w14:textFill>
                  <w14:solidFill>
                    <w14:schemeClr w14:val="tx1"/>
                  </w14:solidFill>
                </w14:textFill>
              </w:rPr>
            </w:pPr>
          </w:p>
        </w:tc>
        <w:tc>
          <w:tcPr>
            <w:tcW w:w="750" w:type="dxa"/>
          </w:tcPr>
          <w:p w14:paraId="069EFA9D">
            <w:pPr>
              <w:rPr>
                <w:rFonts w:ascii="Arial"/>
                <w:color w:val="000000" w:themeColor="text1"/>
                <w:highlight w:val="none"/>
                <w14:textFill>
                  <w14:solidFill>
                    <w14:schemeClr w14:val="tx1"/>
                  </w14:solidFill>
                </w14:textFill>
              </w:rPr>
            </w:pPr>
          </w:p>
        </w:tc>
        <w:tc>
          <w:tcPr>
            <w:tcW w:w="705" w:type="dxa"/>
          </w:tcPr>
          <w:p w14:paraId="441D81DB">
            <w:pPr>
              <w:rPr>
                <w:rFonts w:ascii="Arial"/>
                <w:color w:val="000000" w:themeColor="text1"/>
                <w:highlight w:val="none"/>
                <w14:textFill>
                  <w14:solidFill>
                    <w14:schemeClr w14:val="tx1"/>
                  </w14:solidFill>
                </w14:textFill>
              </w:rPr>
            </w:pPr>
          </w:p>
        </w:tc>
        <w:tc>
          <w:tcPr>
            <w:tcW w:w="753" w:type="dxa"/>
          </w:tcPr>
          <w:p w14:paraId="1ECDC326">
            <w:pPr>
              <w:rPr>
                <w:rFonts w:ascii="Arial"/>
                <w:color w:val="000000" w:themeColor="text1"/>
                <w:highlight w:val="none"/>
                <w14:textFill>
                  <w14:solidFill>
                    <w14:schemeClr w14:val="tx1"/>
                  </w14:solidFill>
                </w14:textFill>
              </w:rPr>
            </w:pPr>
          </w:p>
        </w:tc>
        <w:tc>
          <w:tcPr>
            <w:tcW w:w="1036" w:type="dxa"/>
          </w:tcPr>
          <w:p w14:paraId="18932158">
            <w:pPr>
              <w:rPr>
                <w:rFonts w:ascii="Arial"/>
                <w:color w:val="000000" w:themeColor="text1"/>
                <w:highlight w:val="none"/>
                <w14:textFill>
                  <w14:solidFill>
                    <w14:schemeClr w14:val="tx1"/>
                  </w14:solidFill>
                </w14:textFill>
              </w:rPr>
            </w:pPr>
          </w:p>
        </w:tc>
      </w:tr>
      <w:tr w14:paraId="6C2B8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tcPr>
          <w:p w14:paraId="1480880E">
            <w:pPr>
              <w:rPr>
                <w:rFonts w:ascii="Arial"/>
                <w:color w:val="000000" w:themeColor="text1"/>
                <w:highlight w:val="none"/>
                <w14:textFill>
                  <w14:solidFill>
                    <w14:schemeClr w14:val="tx1"/>
                  </w14:solidFill>
                </w14:textFill>
              </w:rPr>
            </w:pPr>
          </w:p>
        </w:tc>
        <w:tc>
          <w:tcPr>
            <w:tcW w:w="1356" w:type="dxa"/>
          </w:tcPr>
          <w:p w14:paraId="440548F4">
            <w:pPr>
              <w:rPr>
                <w:rFonts w:ascii="Arial"/>
                <w:color w:val="000000" w:themeColor="text1"/>
                <w:highlight w:val="none"/>
                <w14:textFill>
                  <w14:solidFill>
                    <w14:schemeClr w14:val="tx1"/>
                  </w14:solidFill>
                </w14:textFill>
              </w:rPr>
            </w:pPr>
          </w:p>
        </w:tc>
        <w:tc>
          <w:tcPr>
            <w:tcW w:w="802" w:type="dxa"/>
          </w:tcPr>
          <w:p w14:paraId="5FA217D0">
            <w:pPr>
              <w:rPr>
                <w:rFonts w:ascii="Arial"/>
                <w:color w:val="000000" w:themeColor="text1"/>
                <w:highlight w:val="none"/>
                <w14:textFill>
                  <w14:solidFill>
                    <w14:schemeClr w14:val="tx1"/>
                  </w14:solidFill>
                </w14:textFill>
              </w:rPr>
            </w:pPr>
          </w:p>
        </w:tc>
        <w:tc>
          <w:tcPr>
            <w:tcW w:w="735" w:type="dxa"/>
          </w:tcPr>
          <w:p w14:paraId="67CD318B">
            <w:pPr>
              <w:rPr>
                <w:rFonts w:ascii="Arial"/>
                <w:color w:val="000000" w:themeColor="text1"/>
                <w:highlight w:val="none"/>
                <w14:textFill>
                  <w14:solidFill>
                    <w14:schemeClr w14:val="tx1"/>
                  </w14:solidFill>
                </w14:textFill>
              </w:rPr>
            </w:pPr>
          </w:p>
        </w:tc>
        <w:tc>
          <w:tcPr>
            <w:tcW w:w="2444" w:type="dxa"/>
          </w:tcPr>
          <w:p w14:paraId="4E7AEBC1">
            <w:pPr>
              <w:rPr>
                <w:rFonts w:ascii="Arial"/>
                <w:color w:val="000000" w:themeColor="text1"/>
                <w:highlight w:val="none"/>
                <w14:textFill>
                  <w14:solidFill>
                    <w14:schemeClr w14:val="tx1"/>
                  </w14:solidFill>
                </w14:textFill>
              </w:rPr>
            </w:pPr>
          </w:p>
        </w:tc>
        <w:tc>
          <w:tcPr>
            <w:tcW w:w="750" w:type="dxa"/>
          </w:tcPr>
          <w:p w14:paraId="03C589F0">
            <w:pPr>
              <w:rPr>
                <w:rFonts w:ascii="Arial"/>
                <w:color w:val="000000" w:themeColor="text1"/>
                <w:highlight w:val="none"/>
                <w14:textFill>
                  <w14:solidFill>
                    <w14:schemeClr w14:val="tx1"/>
                  </w14:solidFill>
                </w14:textFill>
              </w:rPr>
            </w:pPr>
          </w:p>
        </w:tc>
        <w:tc>
          <w:tcPr>
            <w:tcW w:w="705" w:type="dxa"/>
          </w:tcPr>
          <w:p w14:paraId="3346F2F1">
            <w:pPr>
              <w:rPr>
                <w:rFonts w:ascii="Arial"/>
                <w:color w:val="000000" w:themeColor="text1"/>
                <w:highlight w:val="none"/>
                <w14:textFill>
                  <w14:solidFill>
                    <w14:schemeClr w14:val="tx1"/>
                  </w14:solidFill>
                </w14:textFill>
              </w:rPr>
            </w:pPr>
          </w:p>
        </w:tc>
        <w:tc>
          <w:tcPr>
            <w:tcW w:w="753" w:type="dxa"/>
          </w:tcPr>
          <w:p w14:paraId="1CB2DBD3">
            <w:pPr>
              <w:rPr>
                <w:rFonts w:ascii="Arial"/>
                <w:color w:val="000000" w:themeColor="text1"/>
                <w:highlight w:val="none"/>
                <w14:textFill>
                  <w14:solidFill>
                    <w14:schemeClr w14:val="tx1"/>
                  </w14:solidFill>
                </w14:textFill>
              </w:rPr>
            </w:pPr>
          </w:p>
        </w:tc>
        <w:tc>
          <w:tcPr>
            <w:tcW w:w="1036" w:type="dxa"/>
          </w:tcPr>
          <w:p w14:paraId="172B49C7">
            <w:pPr>
              <w:rPr>
                <w:rFonts w:ascii="Arial"/>
                <w:color w:val="000000" w:themeColor="text1"/>
                <w:highlight w:val="none"/>
                <w14:textFill>
                  <w14:solidFill>
                    <w14:schemeClr w14:val="tx1"/>
                  </w14:solidFill>
                </w14:textFill>
              </w:rPr>
            </w:pPr>
          </w:p>
        </w:tc>
      </w:tr>
    </w:tbl>
    <w:p w14:paraId="594AF292">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13F2FEAF">
      <w:pPr>
        <w:spacing w:before="58" w:line="220" w:lineRule="auto"/>
        <w:ind w:left="118"/>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pacing w:val="-1"/>
          <w:sz w:val="18"/>
          <w:szCs w:val="18"/>
          <w:highlight w:val="none"/>
          <w14:textFill>
            <w14:solidFill>
              <w14:schemeClr w14:val="tx1"/>
            </w14:solidFill>
          </w14:textFill>
        </w:rPr>
        <w:t>注：</w:t>
      </w:r>
      <w:r>
        <w:rPr>
          <w:rFonts w:ascii="宋体" w:hAnsi="宋体" w:cs="宋体"/>
          <w:color w:val="000000" w:themeColor="text1"/>
          <w:spacing w:val="-1"/>
          <w:sz w:val="18"/>
          <w:szCs w:val="18"/>
          <w:highlight w:val="none"/>
          <w14:textFill>
            <w14:solidFill>
              <w14:schemeClr w14:val="tx1"/>
            </w14:solidFill>
          </w14:textFill>
        </w:rPr>
        <w:t>到达工地价格应明确是否含税。</w:t>
      </w:r>
    </w:p>
    <w:p w14:paraId="2229B5F8">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65900B74">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4AED1706">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2E156CF3">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74B129E9">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6FEF494E">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496CCF55">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74445BEF">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46CD4C5B">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7A1E00C8">
      <w:pPr>
        <w:pStyle w:val="83"/>
        <w:adjustRightInd w:val="0"/>
        <w:snapToGrid w:val="0"/>
        <w:spacing w:line="360" w:lineRule="auto"/>
        <w:ind w:firstLine="480" w:firstLineChars="200"/>
        <w:rPr>
          <w:rFonts w:ascii="宋体" w:cs="宋体"/>
          <w:color w:val="000000" w:themeColor="text1"/>
          <w:sz w:val="24"/>
          <w:highlight w:val="none"/>
          <w14:textFill>
            <w14:solidFill>
              <w14:schemeClr w14:val="tx1"/>
            </w14:solidFill>
          </w14:textFill>
        </w:rPr>
      </w:pPr>
    </w:p>
    <w:p w14:paraId="7FD40EF3">
      <w:pPr>
        <w:pStyle w:val="74"/>
        <w:spacing w:line="360" w:lineRule="auto"/>
        <w:rPr>
          <w:rFonts w:ascii="宋体"/>
          <w:color w:val="000000" w:themeColor="text1"/>
          <w:sz w:val="24"/>
          <w:szCs w:val="24"/>
          <w:highlight w:val="none"/>
          <w14:textFill>
            <w14:solidFill>
              <w14:schemeClr w14:val="tx1"/>
            </w14:solidFill>
          </w14:textFill>
        </w:rPr>
      </w:pPr>
      <w:bookmarkStart w:id="370" w:name="_Toc15870"/>
      <w:bookmarkStart w:id="371" w:name="_Toc7289"/>
      <w:r>
        <w:rPr>
          <w:rFonts w:hint="eastAsia" w:ascii="宋体" w:hAnsi="宋体"/>
          <w:color w:val="000000" w:themeColor="text1"/>
          <w:sz w:val="24"/>
          <w:szCs w:val="24"/>
          <w:highlight w:val="none"/>
          <w14:textFill>
            <w14:solidFill>
              <w14:schemeClr w14:val="tx1"/>
            </w14:solidFill>
          </w14:textFill>
        </w:rPr>
        <w:t>附件十一</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统一采购供应材料一览表</w:t>
      </w:r>
      <w:bookmarkEnd w:id="370"/>
      <w:bookmarkEnd w:id="371"/>
    </w:p>
    <w:p w14:paraId="41074ABE">
      <w:pPr>
        <w:pStyle w:val="83"/>
        <w:rPr>
          <w:rFonts w:ascii="宋体" w:cs="宋体"/>
          <w:color w:val="000000" w:themeColor="text1"/>
          <w:sz w:val="24"/>
          <w:highlight w:val="none"/>
          <w14:textFill>
            <w14:solidFill>
              <w14:schemeClr w14:val="tx1"/>
            </w14:solidFill>
          </w14:textFill>
        </w:rPr>
      </w:pPr>
    </w:p>
    <w:p w14:paraId="381C6E90">
      <w:pPr>
        <w:spacing w:before="221" w:line="224" w:lineRule="auto"/>
        <w:ind w:left="2901"/>
        <w:rPr>
          <w:rFonts w:hint="eastAsia" w:ascii="宋体" w:hAnsi="宋体" w:cs="宋体"/>
          <w:color w:val="000000" w:themeColor="text1"/>
          <w:sz w:val="31"/>
          <w:szCs w:val="31"/>
          <w:highlight w:val="none"/>
          <w14:textFill>
            <w14:solidFill>
              <w14:schemeClr w14:val="tx1"/>
            </w14:solidFill>
          </w14:textFill>
        </w:rPr>
      </w:pPr>
      <w:r>
        <w:rPr>
          <w:rFonts w:ascii="宋体" w:hAnsi="宋体" w:cs="宋体"/>
          <w:b/>
          <w:bCs/>
          <w:color w:val="000000" w:themeColor="text1"/>
          <w:spacing w:val="6"/>
          <w:sz w:val="31"/>
          <w:szCs w:val="31"/>
          <w:highlight w:val="none"/>
          <w14:textFill>
            <w14:solidFill>
              <w14:schemeClr w14:val="tx1"/>
            </w14:solidFill>
          </w14:textFill>
        </w:rPr>
        <w:t>统一采购供应材料一览表</w:t>
      </w:r>
    </w:p>
    <w:p w14:paraId="378AB5B8">
      <w:pPr>
        <w:spacing w:line="94" w:lineRule="exact"/>
        <w:rPr>
          <w:color w:val="000000" w:themeColor="text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356"/>
        <w:gridCol w:w="802"/>
        <w:gridCol w:w="735"/>
        <w:gridCol w:w="2444"/>
        <w:gridCol w:w="750"/>
        <w:gridCol w:w="705"/>
        <w:gridCol w:w="753"/>
        <w:gridCol w:w="1036"/>
      </w:tblGrid>
      <w:tr w14:paraId="73CC9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11" w:type="dxa"/>
            <w:vAlign w:val="center"/>
          </w:tcPr>
          <w:p w14:paraId="1516B577">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序号</w:t>
            </w:r>
          </w:p>
        </w:tc>
        <w:tc>
          <w:tcPr>
            <w:tcW w:w="1356" w:type="dxa"/>
            <w:vAlign w:val="center"/>
          </w:tcPr>
          <w:p w14:paraId="477E7143">
            <w:pPr>
              <w:pStyle w:val="124"/>
              <w:ind w:hanging="106"/>
              <w:jc w:val="center"/>
              <w:rPr>
                <w:rFonts w:hint="eastAsia"/>
                <w:color w:val="000000" w:themeColor="text1"/>
                <w:highlight w:val="none"/>
                <w14:textFill>
                  <w14:solidFill>
                    <w14:schemeClr w14:val="tx1"/>
                  </w14:solidFill>
                </w14:textFill>
              </w:rPr>
            </w:pPr>
            <w:r>
              <w:rPr>
                <w:color w:val="000000" w:themeColor="text1"/>
                <w:spacing w:val="8"/>
                <w:highlight w:val="none"/>
                <w14:textFill>
                  <w14:solidFill>
                    <w14:schemeClr w14:val="tx1"/>
                  </w14:solidFill>
                </w14:textFill>
              </w:rPr>
              <w:t>材料品种或</w:t>
            </w:r>
            <w:r>
              <w:rPr>
                <w:color w:val="000000" w:themeColor="text1"/>
                <w:spacing w:val="6"/>
                <w:highlight w:val="none"/>
                <w14:textFill>
                  <w14:solidFill>
                    <w14:schemeClr w14:val="tx1"/>
                  </w14:solidFill>
                </w14:textFill>
              </w:rPr>
              <w:t>设备型号</w:t>
            </w:r>
          </w:p>
        </w:tc>
        <w:tc>
          <w:tcPr>
            <w:tcW w:w="802" w:type="dxa"/>
            <w:vAlign w:val="center"/>
          </w:tcPr>
          <w:p w14:paraId="54F17FB4">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单位</w:t>
            </w:r>
          </w:p>
        </w:tc>
        <w:tc>
          <w:tcPr>
            <w:tcW w:w="735" w:type="dxa"/>
            <w:vAlign w:val="center"/>
          </w:tcPr>
          <w:p w14:paraId="4FCF68B4">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数量</w:t>
            </w:r>
          </w:p>
        </w:tc>
        <w:tc>
          <w:tcPr>
            <w:tcW w:w="2444" w:type="dxa"/>
            <w:vAlign w:val="center"/>
          </w:tcPr>
          <w:p w14:paraId="40C59735">
            <w:pPr>
              <w:pStyle w:val="124"/>
              <w:jc w:val="center"/>
              <w:rPr>
                <w:rFonts w:hint="eastAsia"/>
                <w:color w:val="000000" w:themeColor="text1"/>
                <w:sz w:val="10"/>
                <w:szCs w:val="10"/>
                <w:highlight w:val="none"/>
                <w14:textFill>
                  <w14:solidFill>
                    <w14:schemeClr w14:val="tx1"/>
                  </w14:solidFill>
                </w14:textFill>
              </w:rPr>
            </w:pPr>
            <w:r>
              <w:rPr>
                <w:color w:val="000000" w:themeColor="text1"/>
                <w:spacing w:val="8"/>
                <w:position w:val="1"/>
                <w:highlight w:val="none"/>
                <w14:textFill>
                  <w14:solidFill>
                    <w14:schemeClr w14:val="tx1"/>
                  </w14:solidFill>
                </w14:textFill>
              </w:rPr>
              <w:t>到达工地价格（元）</w:t>
            </w:r>
          </w:p>
        </w:tc>
        <w:tc>
          <w:tcPr>
            <w:tcW w:w="750" w:type="dxa"/>
            <w:vAlign w:val="center"/>
          </w:tcPr>
          <w:p w14:paraId="42B4F59F">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质量</w:t>
            </w:r>
          </w:p>
          <w:p w14:paraId="31987648">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等级</w:t>
            </w:r>
          </w:p>
        </w:tc>
        <w:tc>
          <w:tcPr>
            <w:tcW w:w="705" w:type="dxa"/>
            <w:vAlign w:val="center"/>
          </w:tcPr>
          <w:p w14:paraId="349D6170">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供应</w:t>
            </w:r>
          </w:p>
          <w:p w14:paraId="5A0F9C37">
            <w:pPr>
              <w:pStyle w:val="124"/>
              <w:jc w:val="center"/>
              <w:rPr>
                <w:rFonts w:hint="eastAsia"/>
                <w:color w:val="000000" w:themeColor="text1"/>
                <w:highlight w:val="none"/>
                <w14:textFill>
                  <w14:solidFill>
                    <w14:schemeClr w14:val="tx1"/>
                  </w14:solidFill>
                </w14:textFill>
              </w:rPr>
            </w:pPr>
            <w:r>
              <w:rPr>
                <w:color w:val="000000" w:themeColor="text1"/>
                <w:spacing w:val="-1"/>
                <w:highlight w:val="none"/>
                <w14:textFill>
                  <w14:solidFill>
                    <w14:schemeClr w14:val="tx1"/>
                  </w14:solidFill>
                </w14:textFill>
              </w:rPr>
              <w:t>时间</w:t>
            </w:r>
          </w:p>
        </w:tc>
        <w:tc>
          <w:tcPr>
            <w:tcW w:w="753" w:type="dxa"/>
            <w:vAlign w:val="center"/>
          </w:tcPr>
          <w:p w14:paraId="22CE540B">
            <w:pPr>
              <w:pStyle w:val="124"/>
              <w:jc w:val="center"/>
              <w:rPr>
                <w:rFonts w:hint="eastAsia"/>
                <w:color w:val="000000" w:themeColor="text1"/>
                <w:highlight w:val="none"/>
                <w14:textFill>
                  <w14:solidFill>
                    <w14:schemeClr w14:val="tx1"/>
                  </w14:solidFill>
                </w14:textFill>
              </w:rPr>
            </w:pPr>
            <w:r>
              <w:rPr>
                <w:color w:val="000000" w:themeColor="text1"/>
                <w:spacing w:val="5"/>
                <w:highlight w:val="none"/>
                <w14:textFill>
                  <w14:solidFill>
                    <w14:schemeClr w14:val="tx1"/>
                  </w14:solidFill>
                </w14:textFill>
              </w:rPr>
              <w:t>送达</w:t>
            </w:r>
          </w:p>
          <w:p w14:paraId="02204072">
            <w:pPr>
              <w:pStyle w:val="124"/>
              <w:jc w:val="center"/>
              <w:rPr>
                <w:rFonts w:hint="eastAsia"/>
                <w:color w:val="000000" w:themeColor="text1"/>
                <w:highlight w:val="none"/>
                <w14:textFill>
                  <w14:solidFill>
                    <w14:schemeClr w14:val="tx1"/>
                  </w14:solidFill>
                </w14:textFill>
              </w:rPr>
            </w:pPr>
            <w:r>
              <w:rPr>
                <w:color w:val="000000" w:themeColor="text1"/>
                <w:spacing w:val="4"/>
                <w:highlight w:val="none"/>
                <w14:textFill>
                  <w14:solidFill>
                    <w14:schemeClr w14:val="tx1"/>
                  </w14:solidFill>
                </w14:textFill>
              </w:rPr>
              <w:t>地点</w:t>
            </w:r>
          </w:p>
        </w:tc>
        <w:tc>
          <w:tcPr>
            <w:tcW w:w="1036" w:type="dxa"/>
            <w:vAlign w:val="center"/>
          </w:tcPr>
          <w:p w14:paraId="70EDF224">
            <w:pPr>
              <w:pStyle w:val="124"/>
              <w:jc w:val="center"/>
              <w:rPr>
                <w:rFonts w:hint="eastAsia"/>
                <w:color w:val="000000" w:themeColor="text1"/>
                <w:highlight w:val="none"/>
                <w14:textFill>
                  <w14:solidFill>
                    <w14:schemeClr w14:val="tx1"/>
                  </w14:solidFill>
                </w14:textFill>
              </w:rPr>
            </w:pPr>
            <w:r>
              <w:rPr>
                <w:color w:val="000000" w:themeColor="text1"/>
                <w:spacing w:val="3"/>
                <w:highlight w:val="none"/>
                <w14:textFill>
                  <w14:solidFill>
                    <w14:schemeClr w14:val="tx1"/>
                  </w14:solidFill>
                </w14:textFill>
              </w:rPr>
              <w:t>备注</w:t>
            </w:r>
          </w:p>
        </w:tc>
      </w:tr>
      <w:tr w14:paraId="7C791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598FCFB9">
            <w:pPr>
              <w:rPr>
                <w:rFonts w:ascii="Arial"/>
                <w:color w:val="000000" w:themeColor="text1"/>
                <w:highlight w:val="none"/>
                <w14:textFill>
                  <w14:solidFill>
                    <w14:schemeClr w14:val="tx1"/>
                  </w14:solidFill>
                </w14:textFill>
              </w:rPr>
            </w:pPr>
          </w:p>
        </w:tc>
        <w:tc>
          <w:tcPr>
            <w:tcW w:w="1356" w:type="dxa"/>
          </w:tcPr>
          <w:p w14:paraId="36C650D1">
            <w:pPr>
              <w:rPr>
                <w:rFonts w:ascii="Arial"/>
                <w:color w:val="000000" w:themeColor="text1"/>
                <w:highlight w:val="none"/>
                <w14:textFill>
                  <w14:solidFill>
                    <w14:schemeClr w14:val="tx1"/>
                  </w14:solidFill>
                </w14:textFill>
              </w:rPr>
            </w:pPr>
          </w:p>
        </w:tc>
        <w:tc>
          <w:tcPr>
            <w:tcW w:w="802" w:type="dxa"/>
          </w:tcPr>
          <w:p w14:paraId="75CBD921">
            <w:pPr>
              <w:rPr>
                <w:rFonts w:ascii="Arial"/>
                <w:color w:val="000000" w:themeColor="text1"/>
                <w:highlight w:val="none"/>
                <w14:textFill>
                  <w14:solidFill>
                    <w14:schemeClr w14:val="tx1"/>
                  </w14:solidFill>
                </w14:textFill>
              </w:rPr>
            </w:pPr>
          </w:p>
        </w:tc>
        <w:tc>
          <w:tcPr>
            <w:tcW w:w="735" w:type="dxa"/>
          </w:tcPr>
          <w:p w14:paraId="2FF0178C">
            <w:pPr>
              <w:rPr>
                <w:rFonts w:ascii="Arial"/>
                <w:color w:val="000000" w:themeColor="text1"/>
                <w:highlight w:val="none"/>
                <w14:textFill>
                  <w14:solidFill>
                    <w14:schemeClr w14:val="tx1"/>
                  </w14:solidFill>
                </w14:textFill>
              </w:rPr>
            </w:pPr>
          </w:p>
        </w:tc>
        <w:tc>
          <w:tcPr>
            <w:tcW w:w="2444" w:type="dxa"/>
          </w:tcPr>
          <w:p w14:paraId="6837E6EE">
            <w:pPr>
              <w:rPr>
                <w:rFonts w:ascii="Arial"/>
                <w:color w:val="000000" w:themeColor="text1"/>
                <w:highlight w:val="none"/>
                <w14:textFill>
                  <w14:solidFill>
                    <w14:schemeClr w14:val="tx1"/>
                  </w14:solidFill>
                </w14:textFill>
              </w:rPr>
            </w:pPr>
          </w:p>
        </w:tc>
        <w:tc>
          <w:tcPr>
            <w:tcW w:w="750" w:type="dxa"/>
          </w:tcPr>
          <w:p w14:paraId="6DD066FF">
            <w:pPr>
              <w:rPr>
                <w:rFonts w:ascii="Arial"/>
                <w:color w:val="000000" w:themeColor="text1"/>
                <w:highlight w:val="none"/>
                <w14:textFill>
                  <w14:solidFill>
                    <w14:schemeClr w14:val="tx1"/>
                  </w14:solidFill>
                </w14:textFill>
              </w:rPr>
            </w:pPr>
          </w:p>
        </w:tc>
        <w:tc>
          <w:tcPr>
            <w:tcW w:w="705" w:type="dxa"/>
          </w:tcPr>
          <w:p w14:paraId="35C27A94">
            <w:pPr>
              <w:rPr>
                <w:rFonts w:ascii="Arial"/>
                <w:color w:val="000000" w:themeColor="text1"/>
                <w:highlight w:val="none"/>
                <w14:textFill>
                  <w14:solidFill>
                    <w14:schemeClr w14:val="tx1"/>
                  </w14:solidFill>
                </w14:textFill>
              </w:rPr>
            </w:pPr>
          </w:p>
        </w:tc>
        <w:tc>
          <w:tcPr>
            <w:tcW w:w="753" w:type="dxa"/>
          </w:tcPr>
          <w:p w14:paraId="2EACD38C">
            <w:pPr>
              <w:rPr>
                <w:rFonts w:ascii="Arial"/>
                <w:color w:val="000000" w:themeColor="text1"/>
                <w:highlight w:val="none"/>
                <w14:textFill>
                  <w14:solidFill>
                    <w14:schemeClr w14:val="tx1"/>
                  </w14:solidFill>
                </w14:textFill>
              </w:rPr>
            </w:pPr>
          </w:p>
        </w:tc>
        <w:tc>
          <w:tcPr>
            <w:tcW w:w="1036" w:type="dxa"/>
          </w:tcPr>
          <w:p w14:paraId="41CC0A19">
            <w:pPr>
              <w:rPr>
                <w:rFonts w:ascii="Arial"/>
                <w:color w:val="000000" w:themeColor="text1"/>
                <w:highlight w:val="none"/>
                <w14:textFill>
                  <w14:solidFill>
                    <w14:schemeClr w14:val="tx1"/>
                  </w14:solidFill>
                </w14:textFill>
              </w:rPr>
            </w:pPr>
          </w:p>
        </w:tc>
      </w:tr>
      <w:tr w14:paraId="40EA0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520ECB21">
            <w:pPr>
              <w:rPr>
                <w:rFonts w:ascii="Arial"/>
                <w:color w:val="000000" w:themeColor="text1"/>
                <w:highlight w:val="none"/>
                <w14:textFill>
                  <w14:solidFill>
                    <w14:schemeClr w14:val="tx1"/>
                  </w14:solidFill>
                </w14:textFill>
              </w:rPr>
            </w:pPr>
          </w:p>
        </w:tc>
        <w:tc>
          <w:tcPr>
            <w:tcW w:w="1356" w:type="dxa"/>
          </w:tcPr>
          <w:p w14:paraId="50BD8C0E">
            <w:pPr>
              <w:rPr>
                <w:rFonts w:ascii="Arial"/>
                <w:color w:val="000000" w:themeColor="text1"/>
                <w:highlight w:val="none"/>
                <w14:textFill>
                  <w14:solidFill>
                    <w14:schemeClr w14:val="tx1"/>
                  </w14:solidFill>
                </w14:textFill>
              </w:rPr>
            </w:pPr>
          </w:p>
        </w:tc>
        <w:tc>
          <w:tcPr>
            <w:tcW w:w="802" w:type="dxa"/>
          </w:tcPr>
          <w:p w14:paraId="49222846">
            <w:pPr>
              <w:rPr>
                <w:rFonts w:ascii="Arial"/>
                <w:color w:val="000000" w:themeColor="text1"/>
                <w:highlight w:val="none"/>
                <w14:textFill>
                  <w14:solidFill>
                    <w14:schemeClr w14:val="tx1"/>
                  </w14:solidFill>
                </w14:textFill>
              </w:rPr>
            </w:pPr>
          </w:p>
        </w:tc>
        <w:tc>
          <w:tcPr>
            <w:tcW w:w="735" w:type="dxa"/>
          </w:tcPr>
          <w:p w14:paraId="4DD6F805">
            <w:pPr>
              <w:rPr>
                <w:rFonts w:ascii="Arial"/>
                <w:color w:val="000000" w:themeColor="text1"/>
                <w:highlight w:val="none"/>
                <w14:textFill>
                  <w14:solidFill>
                    <w14:schemeClr w14:val="tx1"/>
                  </w14:solidFill>
                </w14:textFill>
              </w:rPr>
            </w:pPr>
          </w:p>
        </w:tc>
        <w:tc>
          <w:tcPr>
            <w:tcW w:w="2444" w:type="dxa"/>
          </w:tcPr>
          <w:p w14:paraId="1882C48D">
            <w:pPr>
              <w:rPr>
                <w:rFonts w:ascii="Arial"/>
                <w:color w:val="000000" w:themeColor="text1"/>
                <w:highlight w:val="none"/>
                <w14:textFill>
                  <w14:solidFill>
                    <w14:schemeClr w14:val="tx1"/>
                  </w14:solidFill>
                </w14:textFill>
              </w:rPr>
            </w:pPr>
          </w:p>
        </w:tc>
        <w:tc>
          <w:tcPr>
            <w:tcW w:w="750" w:type="dxa"/>
          </w:tcPr>
          <w:p w14:paraId="04C542D9">
            <w:pPr>
              <w:rPr>
                <w:rFonts w:ascii="Arial"/>
                <w:color w:val="000000" w:themeColor="text1"/>
                <w:highlight w:val="none"/>
                <w14:textFill>
                  <w14:solidFill>
                    <w14:schemeClr w14:val="tx1"/>
                  </w14:solidFill>
                </w14:textFill>
              </w:rPr>
            </w:pPr>
          </w:p>
        </w:tc>
        <w:tc>
          <w:tcPr>
            <w:tcW w:w="705" w:type="dxa"/>
          </w:tcPr>
          <w:p w14:paraId="692CA4AF">
            <w:pPr>
              <w:rPr>
                <w:rFonts w:ascii="Arial"/>
                <w:color w:val="000000" w:themeColor="text1"/>
                <w:highlight w:val="none"/>
                <w14:textFill>
                  <w14:solidFill>
                    <w14:schemeClr w14:val="tx1"/>
                  </w14:solidFill>
                </w14:textFill>
              </w:rPr>
            </w:pPr>
          </w:p>
        </w:tc>
        <w:tc>
          <w:tcPr>
            <w:tcW w:w="753" w:type="dxa"/>
          </w:tcPr>
          <w:p w14:paraId="7F19A431">
            <w:pPr>
              <w:rPr>
                <w:rFonts w:ascii="Arial"/>
                <w:color w:val="000000" w:themeColor="text1"/>
                <w:highlight w:val="none"/>
                <w14:textFill>
                  <w14:solidFill>
                    <w14:schemeClr w14:val="tx1"/>
                  </w14:solidFill>
                </w14:textFill>
              </w:rPr>
            </w:pPr>
          </w:p>
        </w:tc>
        <w:tc>
          <w:tcPr>
            <w:tcW w:w="1036" w:type="dxa"/>
          </w:tcPr>
          <w:p w14:paraId="44245D97">
            <w:pPr>
              <w:rPr>
                <w:rFonts w:ascii="Arial"/>
                <w:color w:val="000000" w:themeColor="text1"/>
                <w:highlight w:val="none"/>
                <w14:textFill>
                  <w14:solidFill>
                    <w14:schemeClr w14:val="tx1"/>
                  </w14:solidFill>
                </w14:textFill>
              </w:rPr>
            </w:pPr>
          </w:p>
        </w:tc>
      </w:tr>
      <w:tr w14:paraId="2C91C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43221DE5">
            <w:pPr>
              <w:rPr>
                <w:rFonts w:ascii="Arial"/>
                <w:color w:val="000000" w:themeColor="text1"/>
                <w:highlight w:val="none"/>
                <w14:textFill>
                  <w14:solidFill>
                    <w14:schemeClr w14:val="tx1"/>
                  </w14:solidFill>
                </w14:textFill>
              </w:rPr>
            </w:pPr>
          </w:p>
        </w:tc>
        <w:tc>
          <w:tcPr>
            <w:tcW w:w="1356" w:type="dxa"/>
          </w:tcPr>
          <w:p w14:paraId="36652F16">
            <w:pPr>
              <w:rPr>
                <w:rFonts w:ascii="Arial"/>
                <w:color w:val="000000" w:themeColor="text1"/>
                <w:highlight w:val="none"/>
                <w14:textFill>
                  <w14:solidFill>
                    <w14:schemeClr w14:val="tx1"/>
                  </w14:solidFill>
                </w14:textFill>
              </w:rPr>
            </w:pPr>
          </w:p>
        </w:tc>
        <w:tc>
          <w:tcPr>
            <w:tcW w:w="802" w:type="dxa"/>
          </w:tcPr>
          <w:p w14:paraId="746E49B6">
            <w:pPr>
              <w:rPr>
                <w:rFonts w:ascii="Arial"/>
                <w:color w:val="000000" w:themeColor="text1"/>
                <w:highlight w:val="none"/>
                <w14:textFill>
                  <w14:solidFill>
                    <w14:schemeClr w14:val="tx1"/>
                  </w14:solidFill>
                </w14:textFill>
              </w:rPr>
            </w:pPr>
          </w:p>
        </w:tc>
        <w:tc>
          <w:tcPr>
            <w:tcW w:w="735" w:type="dxa"/>
          </w:tcPr>
          <w:p w14:paraId="1C5F745A">
            <w:pPr>
              <w:rPr>
                <w:rFonts w:ascii="Arial"/>
                <w:color w:val="000000" w:themeColor="text1"/>
                <w:highlight w:val="none"/>
                <w14:textFill>
                  <w14:solidFill>
                    <w14:schemeClr w14:val="tx1"/>
                  </w14:solidFill>
                </w14:textFill>
              </w:rPr>
            </w:pPr>
          </w:p>
        </w:tc>
        <w:tc>
          <w:tcPr>
            <w:tcW w:w="2444" w:type="dxa"/>
          </w:tcPr>
          <w:p w14:paraId="0D9C1A43">
            <w:pPr>
              <w:rPr>
                <w:rFonts w:ascii="Arial"/>
                <w:color w:val="000000" w:themeColor="text1"/>
                <w:highlight w:val="none"/>
                <w14:textFill>
                  <w14:solidFill>
                    <w14:schemeClr w14:val="tx1"/>
                  </w14:solidFill>
                </w14:textFill>
              </w:rPr>
            </w:pPr>
          </w:p>
        </w:tc>
        <w:tc>
          <w:tcPr>
            <w:tcW w:w="750" w:type="dxa"/>
          </w:tcPr>
          <w:p w14:paraId="1F4E0036">
            <w:pPr>
              <w:rPr>
                <w:rFonts w:ascii="Arial"/>
                <w:color w:val="000000" w:themeColor="text1"/>
                <w:highlight w:val="none"/>
                <w14:textFill>
                  <w14:solidFill>
                    <w14:schemeClr w14:val="tx1"/>
                  </w14:solidFill>
                </w14:textFill>
              </w:rPr>
            </w:pPr>
          </w:p>
        </w:tc>
        <w:tc>
          <w:tcPr>
            <w:tcW w:w="705" w:type="dxa"/>
          </w:tcPr>
          <w:p w14:paraId="1AAA6626">
            <w:pPr>
              <w:rPr>
                <w:rFonts w:ascii="Arial"/>
                <w:color w:val="000000" w:themeColor="text1"/>
                <w:highlight w:val="none"/>
                <w14:textFill>
                  <w14:solidFill>
                    <w14:schemeClr w14:val="tx1"/>
                  </w14:solidFill>
                </w14:textFill>
              </w:rPr>
            </w:pPr>
          </w:p>
        </w:tc>
        <w:tc>
          <w:tcPr>
            <w:tcW w:w="753" w:type="dxa"/>
          </w:tcPr>
          <w:p w14:paraId="380C651B">
            <w:pPr>
              <w:rPr>
                <w:rFonts w:ascii="Arial"/>
                <w:color w:val="000000" w:themeColor="text1"/>
                <w:highlight w:val="none"/>
                <w14:textFill>
                  <w14:solidFill>
                    <w14:schemeClr w14:val="tx1"/>
                  </w14:solidFill>
                </w14:textFill>
              </w:rPr>
            </w:pPr>
          </w:p>
        </w:tc>
        <w:tc>
          <w:tcPr>
            <w:tcW w:w="1036" w:type="dxa"/>
          </w:tcPr>
          <w:p w14:paraId="5FECAF22">
            <w:pPr>
              <w:rPr>
                <w:rFonts w:ascii="Arial"/>
                <w:color w:val="000000" w:themeColor="text1"/>
                <w:highlight w:val="none"/>
                <w14:textFill>
                  <w14:solidFill>
                    <w14:schemeClr w14:val="tx1"/>
                  </w14:solidFill>
                </w14:textFill>
              </w:rPr>
            </w:pPr>
          </w:p>
        </w:tc>
      </w:tr>
      <w:tr w14:paraId="1D8F0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751AB6FF">
            <w:pPr>
              <w:rPr>
                <w:rFonts w:ascii="Arial"/>
                <w:color w:val="000000" w:themeColor="text1"/>
                <w:highlight w:val="none"/>
                <w14:textFill>
                  <w14:solidFill>
                    <w14:schemeClr w14:val="tx1"/>
                  </w14:solidFill>
                </w14:textFill>
              </w:rPr>
            </w:pPr>
          </w:p>
        </w:tc>
        <w:tc>
          <w:tcPr>
            <w:tcW w:w="1356" w:type="dxa"/>
          </w:tcPr>
          <w:p w14:paraId="5DD9B5DE">
            <w:pPr>
              <w:rPr>
                <w:rFonts w:ascii="Arial"/>
                <w:color w:val="000000" w:themeColor="text1"/>
                <w:highlight w:val="none"/>
                <w14:textFill>
                  <w14:solidFill>
                    <w14:schemeClr w14:val="tx1"/>
                  </w14:solidFill>
                </w14:textFill>
              </w:rPr>
            </w:pPr>
          </w:p>
        </w:tc>
        <w:tc>
          <w:tcPr>
            <w:tcW w:w="802" w:type="dxa"/>
          </w:tcPr>
          <w:p w14:paraId="590FD12E">
            <w:pPr>
              <w:rPr>
                <w:rFonts w:ascii="Arial"/>
                <w:color w:val="000000" w:themeColor="text1"/>
                <w:highlight w:val="none"/>
                <w14:textFill>
                  <w14:solidFill>
                    <w14:schemeClr w14:val="tx1"/>
                  </w14:solidFill>
                </w14:textFill>
              </w:rPr>
            </w:pPr>
          </w:p>
        </w:tc>
        <w:tc>
          <w:tcPr>
            <w:tcW w:w="735" w:type="dxa"/>
          </w:tcPr>
          <w:p w14:paraId="0508C80E">
            <w:pPr>
              <w:rPr>
                <w:rFonts w:ascii="Arial"/>
                <w:color w:val="000000" w:themeColor="text1"/>
                <w:highlight w:val="none"/>
                <w14:textFill>
                  <w14:solidFill>
                    <w14:schemeClr w14:val="tx1"/>
                  </w14:solidFill>
                </w14:textFill>
              </w:rPr>
            </w:pPr>
          </w:p>
        </w:tc>
        <w:tc>
          <w:tcPr>
            <w:tcW w:w="2444" w:type="dxa"/>
          </w:tcPr>
          <w:p w14:paraId="4EC99F01">
            <w:pPr>
              <w:rPr>
                <w:rFonts w:ascii="Arial"/>
                <w:color w:val="000000" w:themeColor="text1"/>
                <w:highlight w:val="none"/>
                <w14:textFill>
                  <w14:solidFill>
                    <w14:schemeClr w14:val="tx1"/>
                  </w14:solidFill>
                </w14:textFill>
              </w:rPr>
            </w:pPr>
          </w:p>
        </w:tc>
        <w:tc>
          <w:tcPr>
            <w:tcW w:w="750" w:type="dxa"/>
          </w:tcPr>
          <w:p w14:paraId="48EECFDB">
            <w:pPr>
              <w:rPr>
                <w:rFonts w:ascii="Arial"/>
                <w:color w:val="000000" w:themeColor="text1"/>
                <w:highlight w:val="none"/>
                <w14:textFill>
                  <w14:solidFill>
                    <w14:schemeClr w14:val="tx1"/>
                  </w14:solidFill>
                </w14:textFill>
              </w:rPr>
            </w:pPr>
          </w:p>
        </w:tc>
        <w:tc>
          <w:tcPr>
            <w:tcW w:w="705" w:type="dxa"/>
          </w:tcPr>
          <w:p w14:paraId="05F71193">
            <w:pPr>
              <w:rPr>
                <w:rFonts w:ascii="Arial"/>
                <w:color w:val="000000" w:themeColor="text1"/>
                <w:highlight w:val="none"/>
                <w14:textFill>
                  <w14:solidFill>
                    <w14:schemeClr w14:val="tx1"/>
                  </w14:solidFill>
                </w14:textFill>
              </w:rPr>
            </w:pPr>
          </w:p>
        </w:tc>
        <w:tc>
          <w:tcPr>
            <w:tcW w:w="753" w:type="dxa"/>
          </w:tcPr>
          <w:p w14:paraId="00E50FD5">
            <w:pPr>
              <w:rPr>
                <w:rFonts w:ascii="Arial"/>
                <w:color w:val="000000" w:themeColor="text1"/>
                <w:highlight w:val="none"/>
                <w14:textFill>
                  <w14:solidFill>
                    <w14:schemeClr w14:val="tx1"/>
                  </w14:solidFill>
                </w14:textFill>
              </w:rPr>
            </w:pPr>
          </w:p>
        </w:tc>
        <w:tc>
          <w:tcPr>
            <w:tcW w:w="1036" w:type="dxa"/>
          </w:tcPr>
          <w:p w14:paraId="6C7F3280">
            <w:pPr>
              <w:rPr>
                <w:rFonts w:ascii="Arial"/>
                <w:color w:val="000000" w:themeColor="text1"/>
                <w:highlight w:val="none"/>
                <w14:textFill>
                  <w14:solidFill>
                    <w14:schemeClr w14:val="tx1"/>
                  </w14:solidFill>
                </w14:textFill>
              </w:rPr>
            </w:pPr>
          </w:p>
        </w:tc>
      </w:tr>
      <w:tr w14:paraId="7558D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1EFC1115">
            <w:pPr>
              <w:rPr>
                <w:rFonts w:ascii="Arial"/>
                <w:color w:val="000000" w:themeColor="text1"/>
                <w:highlight w:val="none"/>
                <w14:textFill>
                  <w14:solidFill>
                    <w14:schemeClr w14:val="tx1"/>
                  </w14:solidFill>
                </w14:textFill>
              </w:rPr>
            </w:pPr>
          </w:p>
        </w:tc>
        <w:tc>
          <w:tcPr>
            <w:tcW w:w="1356" w:type="dxa"/>
          </w:tcPr>
          <w:p w14:paraId="1DCDB766">
            <w:pPr>
              <w:rPr>
                <w:rFonts w:ascii="Arial"/>
                <w:color w:val="000000" w:themeColor="text1"/>
                <w:highlight w:val="none"/>
                <w14:textFill>
                  <w14:solidFill>
                    <w14:schemeClr w14:val="tx1"/>
                  </w14:solidFill>
                </w14:textFill>
              </w:rPr>
            </w:pPr>
          </w:p>
        </w:tc>
        <w:tc>
          <w:tcPr>
            <w:tcW w:w="802" w:type="dxa"/>
          </w:tcPr>
          <w:p w14:paraId="456BB144">
            <w:pPr>
              <w:rPr>
                <w:rFonts w:ascii="Arial"/>
                <w:color w:val="000000" w:themeColor="text1"/>
                <w:highlight w:val="none"/>
                <w14:textFill>
                  <w14:solidFill>
                    <w14:schemeClr w14:val="tx1"/>
                  </w14:solidFill>
                </w14:textFill>
              </w:rPr>
            </w:pPr>
          </w:p>
        </w:tc>
        <w:tc>
          <w:tcPr>
            <w:tcW w:w="735" w:type="dxa"/>
          </w:tcPr>
          <w:p w14:paraId="02E664FC">
            <w:pPr>
              <w:rPr>
                <w:rFonts w:ascii="Arial"/>
                <w:color w:val="000000" w:themeColor="text1"/>
                <w:highlight w:val="none"/>
                <w14:textFill>
                  <w14:solidFill>
                    <w14:schemeClr w14:val="tx1"/>
                  </w14:solidFill>
                </w14:textFill>
              </w:rPr>
            </w:pPr>
          </w:p>
        </w:tc>
        <w:tc>
          <w:tcPr>
            <w:tcW w:w="2444" w:type="dxa"/>
          </w:tcPr>
          <w:p w14:paraId="06D3C823">
            <w:pPr>
              <w:rPr>
                <w:rFonts w:ascii="Arial"/>
                <w:color w:val="000000" w:themeColor="text1"/>
                <w:highlight w:val="none"/>
                <w14:textFill>
                  <w14:solidFill>
                    <w14:schemeClr w14:val="tx1"/>
                  </w14:solidFill>
                </w14:textFill>
              </w:rPr>
            </w:pPr>
          </w:p>
        </w:tc>
        <w:tc>
          <w:tcPr>
            <w:tcW w:w="750" w:type="dxa"/>
          </w:tcPr>
          <w:p w14:paraId="33E346BA">
            <w:pPr>
              <w:rPr>
                <w:rFonts w:ascii="Arial"/>
                <w:color w:val="000000" w:themeColor="text1"/>
                <w:highlight w:val="none"/>
                <w14:textFill>
                  <w14:solidFill>
                    <w14:schemeClr w14:val="tx1"/>
                  </w14:solidFill>
                </w14:textFill>
              </w:rPr>
            </w:pPr>
          </w:p>
        </w:tc>
        <w:tc>
          <w:tcPr>
            <w:tcW w:w="705" w:type="dxa"/>
          </w:tcPr>
          <w:p w14:paraId="1A12D1A4">
            <w:pPr>
              <w:rPr>
                <w:rFonts w:ascii="Arial"/>
                <w:color w:val="000000" w:themeColor="text1"/>
                <w:highlight w:val="none"/>
                <w14:textFill>
                  <w14:solidFill>
                    <w14:schemeClr w14:val="tx1"/>
                  </w14:solidFill>
                </w14:textFill>
              </w:rPr>
            </w:pPr>
          </w:p>
        </w:tc>
        <w:tc>
          <w:tcPr>
            <w:tcW w:w="753" w:type="dxa"/>
          </w:tcPr>
          <w:p w14:paraId="7D9ADBB5">
            <w:pPr>
              <w:rPr>
                <w:rFonts w:ascii="Arial"/>
                <w:color w:val="000000" w:themeColor="text1"/>
                <w:highlight w:val="none"/>
                <w14:textFill>
                  <w14:solidFill>
                    <w14:schemeClr w14:val="tx1"/>
                  </w14:solidFill>
                </w14:textFill>
              </w:rPr>
            </w:pPr>
          </w:p>
        </w:tc>
        <w:tc>
          <w:tcPr>
            <w:tcW w:w="1036" w:type="dxa"/>
          </w:tcPr>
          <w:p w14:paraId="67E1E84C">
            <w:pPr>
              <w:rPr>
                <w:rFonts w:ascii="Arial"/>
                <w:color w:val="000000" w:themeColor="text1"/>
                <w:highlight w:val="none"/>
                <w14:textFill>
                  <w14:solidFill>
                    <w14:schemeClr w14:val="tx1"/>
                  </w14:solidFill>
                </w14:textFill>
              </w:rPr>
            </w:pPr>
          </w:p>
        </w:tc>
      </w:tr>
      <w:tr w14:paraId="14D15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1FFB634E">
            <w:pPr>
              <w:rPr>
                <w:rFonts w:ascii="Arial"/>
                <w:color w:val="000000" w:themeColor="text1"/>
                <w:highlight w:val="none"/>
                <w14:textFill>
                  <w14:solidFill>
                    <w14:schemeClr w14:val="tx1"/>
                  </w14:solidFill>
                </w14:textFill>
              </w:rPr>
            </w:pPr>
          </w:p>
        </w:tc>
        <w:tc>
          <w:tcPr>
            <w:tcW w:w="1356" w:type="dxa"/>
          </w:tcPr>
          <w:p w14:paraId="668AABEA">
            <w:pPr>
              <w:rPr>
                <w:rFonts w:ascii="Arial"/>
                <w:color w:val="000000" w:themeColor="text1"/>
                <w:highlight w:val="none"/>
                <w14:textFill>
                  <w14:solidFill>
                    <w14:schemeClr w14:val="tx1"/>
                  </w14:solidFill>
                </w14:textFill>
              </w:rPr>
            </w:pPr>
          </w:p>
        </w:tc>
        <w:tc>
          <w:tcPr>
            <w:tcW w:w="802" w:type="dxa"/>
          </w:tcPr>
          <w:p w14:paraId="7E841FB1">
            <w:pPr>
              <w:rPr>
                <w:rFonts w:ascii="Arial"/>
                <w:color w:val="000000" w:themeColor="text1"/>
                <w:highlight w:val="none"/>
                <w14:textFill>
                  <w14:solidFill>
                    <w14:schemeClr w14:val="tx1"/>
                  </w14:solidFill>
                </w14:textFill>
              </w:rPr>
            </w:pPr>
          </w:p>
        </w:tc>
        <w:tc>
          <w:tcPr>
            <w:tcW w:w="735" w:type="dxa"/>
          </w:tcPr>
          <w:p w14:paraId="5A27BB11">
            <w:pPr>
              <w:rPr>
                <w:rFonts w:ascii="Arial"/>
                <w:color w:val="000000" w:themeColor="text1"/>
                <w:highlight w:val="none"/>
                <w14:textFill>
                  <w14:solidFill>
                    <w14:schemeClr w14:val="tx1"/>
                  </w14:solidFill>
                </w14:textFill>
              </w:rPr>
            </w:pPr>
          </w:p>
        </w:tc>
        <w:tc>
          <w:tcPr>
            <w:tcW w:w="2444" w:type="dxa"/>
          </w:tcPr>
          <w:p w14:paraId="007EAE15">
            <w:pPr>
              <w:rPr>
                <w:rFonts w:ascii="Arial"/>
                <w:color w:val="000000" w:themeColor="text1"/>
                <w:highlight w:val="none"/>
                <w14:textFill>
                  <w14:solidFill>
                    <w14:schemeClr w14:val="tx1"/>
                  </w14:solidFill>
                </w14:textFill>
              </w:rPr>
            </w:pPr>
          </w:p>
        </w:tc>
        <w:tc>
          <w:tcPr>
            <w:tcW w:w="750" w:type="dxa"/>
          </w:tcPr>
          <w:p w14:paraId="3843B066">
            <w:pPr>
              <w:rPr>
                <w:rFonts w:ascii="Arial"/>
                <w:color w:val="000000" w:themeColor="text1"/>
                <w:highlight w:val="none"/>
                <w14:textFill>
                  <w14:solidFill>
                    <w14:schemeClr w14:val="tx1"/>
                  </w14:solidFill>
                </w14:textFill>
              </w:rPr>
            </w:pPr>
          </w:p>
        </w:tc>
        <w:tc>
          <w:tcPr>
            <w:tcW w:w="705" w:type="dxa"/>
          </w:tcPr>
          <w:p w14:paraId="27EC7E53">
            <w:pPr>
              <w:rPr>
                <w:rFonts w:ascii="Arial"/>
                <w:color w:val="000000" w:themeColor="text1"/>
                <w:highlight w:val="none"/>
                <w14:textFill>
                  <w14:solidFill>
                    <w14:schemeClr w14:val="tx1"/>
                  </w14:solidFill>
                </w14:textFill>
              </w:rPr>
            </w:pPr>
          </w:p>
        </w:tc>
        <w:tc>
          <w:tcPr>
            <w:tcW w:w="753" w:type="dxa"/>
          </w:tcPr>
          <w:p w14:paraId="59299174">
            <w:pPr>
              <w:rPr>
                <w:rFonts w:ascii="Arial"/>
                <w:color w:val="000000" w:themeColor="text1"/>
                <w:highlight w:val="none"/>
                <w14:textFill>
                  <w14:solidFill>
                    <w14:schemeClr w14:val="tx1"/>
                  </w14:solidFill>
                </w14:textFill>
              </w:rPr>
            </w:pPr>
          </w:p>
        </w:tc>
        <w:tc>
          <w:tcPr>
            <w:tcW w:w="1036" w:type="dxa"/>
          </w:tcPr>
          <w:p w14:paraId="22507287">
            <w:pPr>
              <w:rPr>
                <w:rFonts w:ascii="Arial"/>
                <w:color w:val="000000" w:themeColor="text1"/>
                <w:highlight w:val="none"/>
                <w14:textFill>
                  <w14:solidFill>
                    <w14:schemeClr w14:val="tx1"/>
                  </w14:solidFill>
                </w14:textFill>
              </w:rPr>
            </w:pPr>
          </w:p>
        </w:tc>
      </w:tr>
      <w:tr w14:paraId="10AAE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4B1E3C64">
            <w:pPr>
              <w:rPr>
                <w:rFonts w:ascii="Arial"/>
                <w:color w:val="000000" w:themeColor="text1"/>
                <w:highlight w:val="none"/>
                <w14:textFill>
                  <w14:solidFill>
                    <w14:schemeClr w14:val="tx1"/>
                  </w14:solidFill>
                </w14:textFill>
              </w:rPr>
            </w:pPr>
          </w:p>
        </w:tc>
        <w:tc>
          <w:tcPr>
            <w:tcW w:w="1356" w:type="dxa"/>
          </w:tcPr>
          <w:p w14:paraId="5CB1922A">
            <w:pPr>
              <w:rPr>
                <w:rFonts w:ascii="Arial"/>
                <w:color w:val="000000" w:themeColor="text1"/>
                <w:highlight w:val="none"/>
                <w14:textFill>
                  <w14:solidFill>
                    <w14:schemeClr w14:val="tx1"/>
                  </w14:solidFill>
                </w14:textFill>
              </w:rPr>
            </w:pPr>
          </w:p>
        </w:tc>
        <w:tc>
          <w:tcPr>
            <w:tcW w:w="802" w:type="dxa"/>
          </w:tcPr>
          <w:p w14:paraId="18C6D98F">
            <w:pPr>
              <w:rPr>
                <w:rFonts w:ascii="Arial"/>
                <w:color w:val="000000" w:themeColor="text1"/>
                <w:highlight w:val="none"/>
                <w14:textFill>
                  <w14:solidFill>
                    <w14:schemeClr w14:val="tx1"/>
                  </w14:solidFill>
                </w14:textFill>
              </w:rPr>
            </w:pPr>
          </w:p>
        </w:tc>
        <w:tc>
          <w:tcPr>
            <w:tcW w:w="735" w:type="dxa"/>
          </w:tcPr>
          <w:p w14:paraId="5CDEE2F5">
            <w:pPr>
              <w:rPr>
                <w:rFonts w:ascii="Arial"/>
                <w:color w:val="000000" w:themeColor="text1"/>
                <w:highlight w:val="none"/>
                <w14:textFill>
                  <w14:solidFill>
                    <w14:schemeClr w14:val="tx1"/>
                  </w14:solidFill>
                </w14:textFill>
              </w:rPr>
            </w:pPr>
          </w:p>
        </w:tc>
        <w:tc>
          <w:tcPr>
            <w:tcW w:w="2444" w:type="dxa"/>
          </w:tcPr>
          <w:p w14:paraId="095137F2">
            <w:pPr>
              <w:rPr>
                <w:rFonts w:ascii="Arial"/>
                <w:color w:val="000000" w:themeColor="text1"/>
                <w:highlight w:val="none"/>
                <w14:textFill>
                  <w14:solidFill>
                    <w14:schemeClr w14:val="tx1"/>
                  </w14:solidFill>
                </w14:textFill>
              </w:rPr>
            </w:pPr>
          </w:p>
        </w:tc>
        <w:tc>
          <w:tcPr>
            <w:tcW w:w="750" w:type="dxa"/>
          </w:tcPr>
          <w:p w14:paraId="6144B90E">
            <w:pPr>
              <w:rPr>
                <w:rFonts w:ascii="Arial"/>
                <w:color w:val="000000" w:themeColor="text1"/>
                <w:highlight w:val="none"/>
                <w14:textFill>
                  <w14:solidFill>
                    <w14:schemeClr w14:val="tx1"/>
                  </w14:solidFill>
                </w14:textFill>
              </w:rPr>
            </w:pPr>
          </w:p>
        </w:tc>
        <w:tc>
          <w:tcPr>
            <w:tcW w:w="705" w:type="dxa"/>
          </w:tcPr>
          <w:p w14:paraId="1606DD15">
            <w:pPr>
              <w:rPr>
                <w:rFonts w:ascii="Arial"/>
                <w:color w:val="000000" w:themeColor="text1"/>
                <w:highlight w:val="none"/>
                <w14:textFill>
                  <w14:solidFill>
                    <w14:schemeClr w14:val="tx1"/>
                  </w14:solidFill>
                </w14:textFill>
              </w:rPr>
            </w:pPr>
          </w:p>
        </w:tc>
        <w:tc>
          <w:tcPr>
            <w:tcW w:w="753" w:type="dxa"/>
          </w:tcPr>
          <w:p w14:paraId="0CF6A1EE">
            <w:pPr>
              <w:rPr>
                <w:rFonts w:ascii="Arial"/>
                <w:color w:val="000000" w:themeColor="text1"/>
                <w:highlight w:val="none"/>
                <w14:textFill>
                  <w14:solidFill>
                    <w14:schemeClr w14:val="tx1"/>
                  </w14:solidFill>
                </w14:textFill>
              </w:rPr>
            </w:pPr>
          </w:p>
        </w:tc>
        <w:tc>
          <w:tcPr>
            <w:tcW w:w="1036" w:type="dxa"/>
          </w:tcPr>
          <w:p w14:paraId="43EBAF32">
            <w:pPr>
              <w:rPr>
                <w:rFonts w:ascii="Arial"/>
                <w:color w:val="000000" w:themeColor="text1"/>
                <w:highlight w:val="none"/>
                <w14:textFill>
                  <w14:solidFill>
                    <w14:schemeClr w14:val="tx1"/>
                  </w14:solidFill>
                </w14:textFill>
              </w:rPr>
            </w:pPr>
          </w:p>
        </w:tc>
      </w:tr>
      <w:tr w14:paraId="00A4E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37AEB2A1">
            <w:pPr>
              <w:rPr>
                <w:rFonts w:ascii="Arial"/>
                <w:color w:val="000000" w:themeColor="text1"/>
                <w:highlight w:val="none"/>
                <w14:textFill>
                  <w14:solidFill>
                    <w14:schemeClr w14:val="tx1"/>
                  </w14:solidFill>
                </w14:textFill>
              </w:rPr>
            </w:pPr>
          </w:p>
        </w:tc>
        <w:tc>
          <w:tcPr>
            <w:tcW w:w="1356" w:type="dxa"/>
          </w:tcPr>
          <w:p w14:paraId="436D0C10">
            <w:pPr>
              <w:rPr>
                <w:rFonts w:ascii="Arial"/>
                <w:color w:val="000000" w:themeColor="text1"/>
                <w:highlight w:val="none"/>
                <w14:textFill>
                  <w14:solidFill>
                    <w14:schemeClr w14:val="tx1"/>
                  </w14:solidFill>
                </w14:textFill>
              </w:rPr>
            </w:pPr>
          </w:p>
        </w:tc>
        <w:tc>
          <w:tcPr>
            <w:tcW w:w="802" w:type="dxa"/>
          </w:tcPr>
          <w:p w14:paraId="336A8C87">
            <w:pPr>
              <w:rPr>
                <w:rFonts w:ascii="Arial"/>
                <w:color w:val="000000" w:themeColor="text1"/>
                <w:highlight w:val="none"/>
                <w14:textFill>
                  <w14:solidFill>
                    <w14:schemeClr w14:val="tx1"/>
                  </w14:solidFill>
                </w14:textFill>
              </w:rPr>
            </w:pPr>
          </w:p>
        </w:tc>
        <w:tc>
          <w:tcPr>
            <w:tcW w:w="735" w:type="dxa"/>
          </w:tcPr>
          <w:p w14:paraId="5AC7B758">
            <w:pPr>
              <w:rPr>
                <w:rFonts w:ascii="Arial"/>
                <w:color w:val="000000" w:themeColor="text1"/>
                <w:highlight w:val="none"/>
                <w14:textFill>
                  <w14:solidFill>
                    <w14:schemeClr w14:val="tx1"/>
                  </w14:solidFill>
                </w14:textFill>
              </w:rPr>
            </w:pPr>
          </w:p>
        </w:tc>
        <w:tc>
          <w:tcPr>
            <w:tcW w:w="2444" w:type="dxa"/>
          </w:tcPr>
          <w:p w14:paraId="50A17A09">
            <w:pPr>
              <w:rPr>
                <w:rFonts w:ascii="Arial"/>
                <w:color w:val="000000" w:themeColor="text1"/>
                <w:highlight w:val="none"/>
                <w14:textFill>
                  <w14:solidFill>
                    <w14:schemeClr w14:val="tx1"/>
                  </w14:solidFill>
                </w14:textFill>
              </w:rPr>
            </w:pPr>
          </w:p>
        </w:tc>
        <w:tc>
          <w:tcPr>
            <w:tcW w:w="750" w:type="dxa"/>
          </w:tcPr>
          <w:p w14:paraId="6362A6FA">
            <w:pPr>
              <w:rPr>
                <w:rFonts w:ascii="Arial"/>
                <w:color w:val="000000" w:themeColor="text1"/>
                <w:highlight w:val="none"/>
                <w14:textFill>
                  <w14:solidFill>
                    <w14:schemeClr w14:val="tx1"/>
                  </w14:solidFill>
                </w14:textFill>
              </w:rPr>
            </w:pPr>
          </w:p>
        </w:tc>
        <w:tc>
          <w:tcPr>
            <w:tcW w:w="705" w:type="dxa"/>
          </w:tcPr>
          <w:p w14:paraId="75D8C060">
            <w:pPr>
              <w:rPr>
                <w:rFonts w:ascii="Arial"/>
                <w:color w:val="000000" w:themeColor="text1"/>
                <w:highlight w:val="none"/>
                <w14:textFill>
                  <w14:solidFill>
                    <w14:schemeClr w14:val="tx1"/>
                  </w14:solidFill>
                </w14:textFill>
              </w:rPr>
            </w:pPr>
          </w:p>
        </w:tc>
        <w:tc>
          <w:tcPr>
            <w:tcW w:w="753" w:type="dxa"/>
          </w:tcPr>
          <w:p w14:paraId="69916363">
            <w:pPr>
              <w:rPr>
                <w:rFonts w:ascii="Arial"/>
                <w:color w:val="000000" w:themeColor="text1"/>
                <w:highlight w:val="none"/>
                <w14:textFill>
                  <w14:solidFill>
                    <w14:schemeClr w14:val="tx1"/>
                  </w14:solidFill>
                </w14:textFill>
              </w:rPr>
            </w:pPr>
          </w:p>
        </w:tc>
        <w:tc>
          <w:tcPr>
            <w:tcW w:w="1036" w:type="dxa"/>
          </w:tcPr>
          <w:p w14:paraId="52DE0866">
            <w:pPr>
              <w:rPr>
                <w:rFonts w:ascii="Arial"/>
                <w:color w:val="000000" w:themeColor="text1"/>
                <w:highlight w:val="none"/>
                <w14:textFill>
                  <w14:solidFill>
                    <w14:schemeClr w14:val="tx1"/>
                  </w14:solidFill>
                </w14:textFill>
              </w:rPr>
            </w:pPr>
          </w:p>
        </w:tc>
      </w:tr>
      <w:tr w14:paraId="20E9B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1F9658BA">
            <w:pPr>
              <w:rPr>
                <w:rFonts w:ascii="Arial"/>
                <w:color w:val="000000" w:themeColor="text1"/>
                <w:highlight w:val="none"/>
                <w14:textFill>
                  <w14:solidFill>
                    <w14:schemeClr w14:val="tx1"/>
                  </w14:solidFill>
                </w14:textFill>
              </w:rPr>
            </w:pPr>
          </w:p>
        </w:tc>
        <w:tc>
          <w:tcPr>
            <w:tcW w:w="1356" w:type="dxa"/>
          </w:tcPr>
          <w:p w14:paraId="53C5BC0D">
            <w:pPr>
              <w:rPr>
                <w:rFonts w:ascii="Arial"/>
                <w:color w:val="000000" w:themeColor="text1"/>
                <w:highlight w:val="none"/>
                <w14:textFill>
                  <w14:solidFill>
                    <w14:schemeClr w14:val="tx1"/>
                  </w14:solidFill>
                </w14:textFill>
              </w:rPr>
            </w:pPr>
          </w:p>
        </w:tc>
        <w:tc>
          <w:tcPr>
            <w:tcW w:w="802" w:type="dxa"/>
          </w:tcPr>
          <w:p w14:paraId="51E1EA6A">
            <w:pPr>
              <w:rPr>
                <w:rFonts w:ascii="Arial"/>
                <w:color w:val="000000" w:themeColor="text1"/>
                <w:highlight w:val="none"/>
                <w14:textFill>
                  <w14:solidFill>
                    <w14:schemeClr w14:val="tx1"/>
                  </w14:solidFill>
                </w14:textFill>
              </w:rPr>
            </w:pPr>
          </w:p>
        </w:tc>
        <w:tc>
          <w:tcPr>
            <w:tcW w:w="735" w:type="dxa"/>
          </w:tcPr>
          <w:p w14:paraId="4AF52EAF">
            <w:pPr>
              <w:rPr>
                <w:rFonts w:ascii="Arial"/>
                <w:color w:val="000000" w:themeColor="text1"/>
                <w:highlight w:val="none"/>
                <w14:textFill>
                  <w14:solidFill>
                    <w14:schemeClr w14:val="tx1"/>
                  </w14:solidFill>
                </w14:textFill>
              </w:rPr>
            </w:pPr>
          </w:p>
        </w:tc>
        <w:tc>
          <w:tcPr>
            <w:tcW w:w="2444" w:type="dxa"/>
          </w:tcPr>
          <w:p w14:paraId="5C0CAD13">
            <w:pPr>
              <w:rPr>
                <w:rFonts w:ascii="Arial"/>
                <w:color w:val="000000" w:themeColor="text1"/>
                <w:highlight w:val="none"/>
                <w14:textFill>
                  <w14:solidFill>
                    <w14:schemeClr w14:val="tx1"/>
                  </w14:solidFill>
                </w14:textFill>
              </w:rPr>
            </w:pPr>
          </w:p>
        </w:tc>
        <w:tc>
          <w:tcPr>
            <w:tcW w:w="750" w:type="dxa"/>
          </w:tcPr>
          <w:p w14:paraId="2A9270E8">
            <w:pPr>
              <w:rPr>
                <w:rFonts w:ascii="Arial"/>
                <w:color w:val="000000" w:themeColor="text1"/>
                <w:highlight w:val="none"/>
                <w14:textFill>
                  <w14:solidFill>
                    <w14:schemeClr w14:val="tx1"/>
                  </w14:solidFill>
                </w14:textFill>
              </w:rPr>
            </w:pPr>
          </w:p>
        </w:tc>
        <w:tc>
          <w:tcPr>
            <w:tcW w:w="705" w:type="dxa"/>
          </w:tcPr>
          <w:p w14:paraId="0F2A7C13">
            <w:pPr>
              <w:rPr>
                <w:rFonts w:ascii="Arial"/>
                <w:color w:val="000000" w:themeColor="text1"/>
                <w:highlight w:val="none"/>
                <w14:textFill>
                  <w14:solidFill>
                    <w14:schemeClr w14:val="tx1"/>
                  </w14:solidFill>
                </w14:textFill>
              </w:rPr>
            </w:pPr>
          </w:p>
        </w:tc>
        <w:tc>
          <w:tcPr>
            <w:tcW w:w="753" w:type="dxa"/>
          </w:tcPr>
          <w:p w14:paraId="7637002D">
            <w:pPr>
              <w:rPr>
                <w:rFonts w:ascii="Arial"/>
                <w:color w:val="000000" w:themeColor="text1"/>
                <w:highlight w:val="none"/>
                <w14:textFill>
                  <w14:solidFill>
                    <w14:schemeClr w14:val="tx1"/>
                  </w14:solidFill>
                </w14:textFill>
              </w:rPr>
            </w:pPr>
          </w:p>
        </w:tc>
        <w:tc>
          <w:tcPr>
            <w:tcW w:w="1036" w:type="dxa"/>
          </w:tcPr>
          <w:p w14:paraId="4DAA5F7A">
            <w:pPr>
              <w:rPr>
                <w:rFonts w:ascii="Arial"/>
                <w:color w:val="000000" w:themeColor="text1"/>
                <w:highlight w:val="none"/>
                <w14:textFill>
                  <w14:solidFill>
                    <w14:schemeClr w14:val="tx1"/>
                  </w14:solidFill>
                </w14:textFill>
              </w:rPr>
            </w:pPr>
          </w:p>
        </w:tc>
      </w:tr>
      <w:tr w14:paraId="34A46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331050E8">
            <w:pPr>
              <w:rPr>
                <w:rFonts w:ascii="Arial"/>
                <w:color w:val="000000" w:themeColor="text1"/>
                <w:highlight w:val="none"/>
                <w14:textFill>
                  <w14:solidFill>
                    <w14:schemeClr w14:val="tx1"/>
                  </w14:solidFill>
                </w14:textFill>
              </w:rPr>
            </w:pPr>
          </w:p>
        </w:tc>
        <w:tc>
          <w:tcPr>
            <w:tcW w:w="1356" w:type="dxa"/>
          </w:tcPr>
          <w:p w14:paraId="331855ED">
            <w:pPr>
              <w:rPr>
                <w:rFonts w:ascii="Arial"/>
                <w:color w:val="000000" w:themeColor="text1"/>
                <w:highlight w:val="none"/>
                <w14:textFill>
                  <w14:solidFill>
                    <w14:schemeClr w14:val="tx1"/>
                  </w14:solidFill>
                </w14:textFill>
              </w:rPr>
            </w:pPr>
          </w:p>
        </w:tc>
        <w:tc>
          <w:tcPr>
            <w:tcW w:w="802" w:type="dxa"/>
          </w:tcPr>
          <w:p w14:paraId="6B13707D">
            <w:pPr>
              <w:rPr>
                <w:rFonts w:ascii="Arial"/>
                <w:color w:val="000000" w:themeColor="text1"/>
                <w:highlight w:val="none"/>
                <w14:textFill>
                  <w14:solidFill>
                    <w14:schemeClr w14:val="tx1"/>
                  </w14:solidFill>
                </w14:textFill>
              </w:rPr>
            </w:pPr>
          </w:p>
        </w:tc>
        <w:tc>
          <w:tcPr>
            <w:tcW w:w="735" w:type="dxa"/>
          </w:tcPr>
          <w:p w14:paraId="44E38442">
            <w:pPr>
              <w:rPr>
                <w:rFonts w:ascii="Arial"/>
                <w:color w:val="000000" w:themeColor="text1"/>
                <w:highlight w:val="none"/>
                <w14:textFill>
                  <w14:solidFill>
                    <w14:schemeClr w14:val="tx1"/>
                  </w14:solidFill>
                </w14:textFill>
              </w:rPr>
            </w:pPr>
          </w:p>
        </w:tc>
        <w:tc>
          <w:tcPr>
            <w:tcW w:w="2444" w:type="dxa"/>
          </w:tcPr>
          <w:p w14:paraId="0CF882FA">
            <w:pPr>
              <w:rPr>
                <w:rFonts w:ascii="Arial"/>
                <w:color w:val="000000" w:themeColor="text1"/>
                <w:highlight w:val="none"/>
                <w14:textFill>
                  <w14:solidFill>
                    <w14:schemeClr w14:val="tx1"/>
                  </w14:solidFill>
                </w14:textFill>
              </w:rPr>
            </w:pPr>
          </w:p>
        </w:tc>
        <w:tc>
          <w:tcPr>
            <w:tcW w:w="750" w:type="dxa"/>
          </w:tcPr>
          <w:p w14:paraId="184E2537">
            <w:pPr>
              <w:rPr>
                <w:rFonts w:ascii="Arial"/>
                <w:color w:val="000000" w:themeColor="text1"/>
                <w:highlight w:val="none"/>
                <w14:textFill>
                  <w14:solidFill>
                    <w14:schemeClr w14:val="tx1"/>
                  </w14:solidFill>
                </w14:textFill>
              </w:rPr>
            </w:pPr>
          </w:p>
        </w:tc>
        <w:tc>
          <w:tcPr>
            <w:tcW w:w="705" w:type="dxa"/>
          </w:tcPr>
          <w:p w14:paraId="02CCDC06">
            <w:pPr>
              <w:rPr>
                <w:rFonts w:ascii="Arial"/>
                <w:color w:val="000000" w:themeColor="text1"/>
                <w:highlight w:val="none"/>
                <w14:textFill>
                  <w14:solidFill>
                    <w14:schemeClr w14:val="tx1"/>
                  </w14:solidFill>
                </w14:textFill>
              </w:rPr>
            </w:pPr>
          </w:p>
        </w:tc>
        <w:tc>
          <w:tcPr>
            <w:tcW w:w="753" w:type="dxa"/>
          </w:tcPr>
          <w:p w14:paraId="5DB069E6">
            <w:pPr>
              <w:rPr>
                <w:rFonts w:ascii="Arial"/>
                <w:color w:val="000000" w:themeColor="text1"/>
                <w:highlight w:val="none"/>
                <w14:textFill>
                  <w14:solidFill>
                    <w14:schemeClr w14:val="tx1"/>
                  </w14:solidFill>
                </w14:textFill>
              </w:rPr>
            </w:pPr>
          </w:p>
        </w:tc>
        <w:tc>
          <w:tcPr>
            <w:tcW w:w="1036" w:type="dxa"/>
          </w:tcPr>
          <w:p w14:paraId="21BDC722">
            <w:pPr>
              <w:rPr>
                <w:rFonts w:ascii="Arial"/>
                <w:color w:val="000000" w:themeColor="text1"/>
                <w:highlight w:val="none"/>
                <w14:textFill>
                  <w14:solidFill>
                    <w14:schemeClr w14:val="tx1"/>
                  </w14:solidFill>
                </w14:textFill>
              </w:rPr>
            </w:pPr>
          </w:p>
        </w:tc>
      </w:tr>
      <w:tr w14:paraId="27253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50C62F6E">
            <w:pPr>
              <w:rPr>
                <w:rFonts w:ascii="Arial"/>
                <w:color w:val="000000" w:themeColor="text1"/>
                <w:highlight w:val="none"/>
                <w14:textFill>
                  <w14:solidFill>
                    <w14:schemeClr w14:val="tx1"/>
                  </w14:solidFill>
                </w14:textFill>
              </w:rPr>
            </w:pPr>
          </w:p>
        </w:tc>
        <w:tc>
          <w:tcPr>
            <w:tcW w:w="1356" w:type="dxa"/>
          </w:tcPr>
          <w:p w14:paraId="17A6CC10">
            <w:pPr>
              <w:rPr>
                <w:rFonts w:ascii="Arial"/>
                <w:color w:val="000000" w:themeColor="text1"/>
                <w:highlight w:val="none"/>
                <w14:textFill>
                  <w14:solidFill>
                    <w14:schemeClr w14:val="tx1"/>
                  </w14:solidFill>
                </w14:textFill>
              </w:rPr>
            </w:pPr>
          </w:p>
        </w:tc>
        <w:tc>
          <w:tcPr>
            <w:tcW w:w="802" w:type="dxa"/>
          </w:tcPr>
          <w:p w14:paraId="58927EA9">
            <w:pPr>
              <w:rPr>
                <w:rFonts w:ascii="Arial"/>
                <w:color w:val="000000" w:themeColor="text1"/>
                <w:highlight w:val="none"/>
                <w14:textFill>
                  <w14:solidFill>
                    <w14:schemeClr w14:val="tx1"/>
                  </w14:solidFill>
                </w14:textFill>
              </w:rPr>
            </w:pPr>
          </w:p>
        </w:tc>
        <w:tc>
          <w:tcPr>
            <w:tcW w:w="735" w:type="dxa"/>
          </w:tcPr>
          <w:p w14:paraId="72C5370D">
            <w:pPr>
              <w:rPr>
                <w:rFonts w:ascii="Arial"/>
                <w:color w:val="000000" w:themeColor="text1"/>
                <w:highlight w:val="none"/>
                <w14:textFill>
                  <w14:solidFill>
                    <w14:schemeClr w14:val="tx1"/>
                  </w14:solidFill>
                </w14:textFill>
              </w:rPr>
            </w:pPr>
          </w:p>
        </w:tc>
        <w:tc>
          <w:tcPr>
            <w:tcW w:w="2444" w:type="dxa"/>
          </w:tcPr>
          <w:p w14:paraId="65B3C419">
            <w:pPr>
              <w:rPr>
                <w:rFonts w:ascii="Arial"/>
                <w:color w:val="000000" w:themeColor="text1"/>
                <w:highlight w:val="none"/>
                <w14:textFill>
                  <w14:solidFill>
                    <w14:schemeClr w14:val="tx1"/>
                  </w14:solidFill>
                </w14:textFill>
              </w:rPr>
            </w:pPr>
          </w:p>
        </w:tc>
        <w:tc>
          <w:tcPr>
            <w:tcW w:w="750" w:type="dxa"/>
          </w:tcPr>
          <w:p w14:paraId="359FA301">
            <w:pPr>
              <w:rPr>
                <w:rFonts w:ascii="Arial"/>
                <w:color w:val="000000" w:themeColor="text1"/>
                <w:highlight w:val="none"/>
                <w14:textFill>
                  <w14:solidFill>
                    <w14:schemeClr w14:val="tx1"/>
                  </w14:solidFill>
                </w14:textFill>
              </w:rPr>
            </w:pPr>
          </w:p>
        </w:tc>
        <w:tc>
          <w:tcPr>
            <w:tcW w:w="705" w:type="dxa"/>
          </w:tcPr>
          <w:p w14:paraId="5FFE2A78">
            <w:pPr>
              <w:rPr>
                <w:rFonts w:ascii="Arial"/>
                <w:color w:val="000000" w:themeColor="text1"/>
                <w:highlight w:val="none"/>
                <w14:textFill>
                  <w14:solidFill>
                    <w14:schemeClr w14:val="tx1"/>
                  </w14:solidFill>
                </w14:textFill>
              </w:rPr>
            </w:pPr>
          </w:p>
        </w:tc>
        <w:tc>
          <w:tcPr>
            <w:tcW w:w="753" w:type="dxa"/>
          </w:tcPr>
          <w:p w14:paraId="4B1DDDA1">
            <w:pPr>
              <w:rPr>
                <w:rFonts w:ascii="Arial"/>
                <w:color w:val="000000" w:themeColor="text1"/>
                <w:highlight w:val="none"/>
                <w14:textFill>
                  <w14:solidFill>
                    <w14:schemeClr w14:val="tx1"/>
                  </w14:solidFill>
                </w14:textFill>
              </w:rPr>
            </w:pPr>
          </w:p>
        </w:tc>
        <w:tc>
          <w:tcPr>
            <w:tcW w:w="1036" w:type="dxa"/>
          </w:tcPr>
          <w:p w14:paraId="02A6C1C5">
            <w:pPr>
              <w:rPr>
                <w:rFonts w:ascii="Arial"/>
                <w:color w:val="000000" w:themeColor="text1"/>
                <w:highlight w:val="none"/>
                <w14:textFill>
                  <w14:solidFill>
                    <w14:schemeClr w14:val="tx1"/>
                  </w14:solidFill>
                </w14:textFill>
              </w:rPr>
            </w:pPr>
          </w:p>
        </w:tc>
      </w:tr>
      <w:tr w14:paraId="7DA05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tcPr>
          <w:p w14:paraId="06EF1FDB">
            <w:pPr>
              <w:rPr>
                <w:rFonts w:ascii="Arial"/>
                <w:color w:val="000000" w:themeColor="text1"/>
                <w:highlight w:val="none"/>
                <w14:textFill>
                  <w14:solidFill>
                    <w14:schemeClr w14:val="tx1"/>
                  </w14:solidFill>
                </w14:textFill>
              </w:rPr>
            </w:pPr>
          </w:p>
        </w:tc>
        <w:tc>
          <w:tcPr>
            <w:tcW w:w="1356" w:type="dxa"/>
          </w:tcPr>
          <w:p w14:paraId="407B6DE1">
            <w:pPr>
              <w:rPr>
                <w:rFonts w:ascii="Arial"/>
                <w:color w:val="000000" w:themeColor="text1"/>
                <w:highlight w:val="none"/>
                <w14:textFill>
                  <w14:solidFill>
                    <w14:schemeClr w14:val="tx1"/>
                  </w14:solidFill>
                </w14:textFill>
              </w:rPr>
            </w:pPr>
          </w:p>
        </w:tc>
        <w:tc>
          <w:tcPr>
            <w:tcW w:w="802" w:type="dxa"/>
          </w:tcPr>
          <w:p w14:paraId="41ADC048">
            <w:pPr>
              <w:rPr>
                <w:rFonts w:ascii="Arial"/>
                <w:color w:val="000000" w:themeColor="text1"/>
                <w:highlight w:val="none"/>
                <w14:textFill>
                  <w14:solidFill>
                    <w14:schemeClr w14:val="tx1"/>
                  </w14:solidFill>
                </w14:textFill>
              </w:rPr>
            </w:pPr>
          </w:p>
        </w:tc>
        <w:tc>
          <w:tcPr>
            <w:tcW w:w="735" w:type="dxa"/>
          </w:tcPr>
          <w:p w14:paraId="0E1E6470">
            <w:pPr>
              <w:rPr>
                <w:rFonts w:ascii="Arial"/>
                <w:color w:val="000000" w:themeColor="text1"/>
                <w:highlight w:val="none"/>
                <w14:textFill>
                  <w14:solidFill>
                    <w14:schemeClr w14:val="tx1"/>
                  </w14:solidFill>
                </w14:textFill>
              </w:rPr>
            </w:pPr>
          </w:p>
        </w:tc>
        <w:tc>
          <w:tcPr>
            <w:tcW w:w="2444" w:type="dxa"/>
          </w:tcPr>
          <w:p w14:paraId="5D56072C">
            <w:pPr>
              <w:rPr>
                <w:rFonts w:ascii="Arial"/>
                <w:color w:val="000000" w:themeColor="text1"/>
                <w:highlight w:val="none"/>
                <w14:textFill>
                  <w14:solidFill>
                    <w14:schemeClr w14:val="tx1"/>
                  </w14:solidFill>
                </w14:textFill>
              </w:rPr>
            </w:pPr>
          </w:p>
        </w:tc>
        <w:tc>
          <w:tcPr>
            <w:tcW w:w="750" w:type="dxa"/>
          </w:tcPr>
          <w:p w14:paraId="70CE2191">
            <w:pPr>
              <w:rPr>
                <w:rFonts w:ascii="Arial"/>
                <w:color w:val="000000" w:themeColor="text1"/>
                <w:highlight w:val="none"/>
                <w14:textFill>
                  <w14:solidFill>
                    <w14:schemeClr w14:val="tx1"/>
                  </w14:solidFill>
                </w14:textFill>
              </w:rPr>
            </w:pPr>
          </w:p>
        </w:tc>
        <w:tc>
          <w:tcPr>
            <w:tcW w:w="705" w:type="dxa"/>
          </w:tcPr>
          <w:p w14:paraId="4C5D6B7C">
            <w:pPr>
              <w:rPr>
                <w:rFonts w:ascii="Arial"/>
                <w:color w:val="000000" w:themeColor="text1"/>
                <w:highlight w:val="none"/>
                <w14:textFill>
                  <w14:solidFill>
                    <w14:schemeClr w14:val="tx1"/>
                  </w14:solidFill>
                </w14:textFill>
              </w:rPr>
            </w:pPr>
          </w:p>
        </w:tc>
        <w:tc>
          <w:tcPr>
            <w:tcW w:w="753" w:type="dxa"/>
          </w:tcPr>
          <w:p w14:paraId="4CB3C776">
            <w:pPr>
              <w:rPr>
                <w:rFonts w:ascii="Arial"/>
                <w:color w:val="000000" w:themeColor="text1"/>
                <w:highlight w:val="none"/>
                <w14:textFill>
                  <w14:solidFill>
                    <w14:schemeClr w14:val="tx1"/>
                  </w14:solidFill>
                </w14:textFill>
              </w:rPr>
            </w:pPr>
          </w:p>
        </w:tc>
        <w:tc>
          <w:tcPr>
            <w:tcW w:w="1036" w:type="dxa"/>
          </w:tcPr>
          <w:p w14:paraId="2A170F6C">
            <w:pPr>
              <w:rPr>
                <w:rFonts w:ascii="Arial"/>
                <w:color w:val="000000" w:themeColor="text1"/>
                <w:highlight w:val="none"/>
                <w14:textFill>
                  <w14:solidFill>
                    <w14:schemeClr w14:val="tx1"/>
                  </w14:solidFill>
                </w14:textFill>
              </w:rPr>
            </w:pPr>
          </w:p>
        </w:tc>
      </w:tr>
    </w:tbl>
    <w:p w14:paraId="74B4A91E">
      <w:pPr>
        <w:pStyle w:val="3"/>
        <w:rPr>
          <w:color w:val="000000" w:themeColor="text1"/>
          <w:highlight w:val="none"/>
          <w14:textFill>
            <w14:solidFill>
              <w14:schemeClr w14:val="tx1"/>
            </w14:solidFill>
          </w14:textFill>
        </w:rPr>
      </w:pPr>
    </w:p>
    <w:p w14:paraId="2984288C">
      <w:pPr>
        <w:spacing w:before="58" w:line="220" w:lineRule="auto"/>
        <w:ind w:left="118"/>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pacing w:val="-1"/>
          <w:sz w:val="18"/>
          <w:szCs w:val="18"/>
          <w:highlight w:val="none"/>
          <w14:textFill>
            <w14:solidFill>
              <w14:schemeClr w14:val="tx1"/>
            </w14:solidFill>
          </w14:textFill>
        </w:rPr>
        <w:t>注：</w:t>
      </w:r>
      <w:r>
        <w:rPr>
          <w:rFonts w:ascii="宋体" w:hAnsi="宋体" w:cs="宋体"/>
          <w:color w:val="000000" w:themeColor="text1"/>
          <w:spacing w:val="-1"/>
          <w:sz w:val="18"/>
          <w:szCs w:val="18"/>
          <w:highlight w:val="none"/>
          <w14:textFill>
            <w14:solidFill>
              <w14:schemeClr w14:val="tx1"/>
            </w14:solidFill>
          </w14:textFill>
        </w:rPr>
        <w:t>到达工地价格应明确是否含税。</w:t>
      </w:r>
    </w:p>
    <w:p w14:paraId="33BC407C">
      <w:pPr>
        <w:pStyle w:val="83"/>
        <w:rPr>
          <w:rFonts w:ascii="宋体" w:cs="宋体"/>
          <w:color w:val="000000" w:themeColor="text1"/>
          <w:sz w:val="28"/>
          <w:szCs w:val="28"/>
          <w:highlight w:val="none"/>
          <w14:textFill>
            <w14:solidFill>
              <w14:schemeClr w14:val="tx1"/>
            </w14:solidFill>
          </w14:textFill>
        </w:rPr>
      </w:pPr>
    </w:p>
    <w:p w14:paraId="0B8E9987">
      <w:pPr>
        <w:pStyle w:val="83"/>
        <w:rPr>
          <w:rFonts w:ascii="宋体" w:cs="宋体"/>
          <w:color w:val="000000" w:themeColor="text1"/>
          <w:sz w:val="28"/>
          <w:szCs w:val="28"/>
          <w:highlight w:val="none"/>
          <w14:textFill>
            <w14:solidFill>
              <w14:schemeClr w14:val="tx1"/>
            </w14:solidFill>
          </w14:textFill>
        </w:rPr>
      </w:pPr>
    </w:p>
    <w:p w14:paraId="40551F5E">
      <w:pPr>
        <w:pStyle w:val="83"/>
        <w:rPr>
          <w:rFonts w:ascii="宋体" w:cs="宋体"/>
          <w:color w:val="000000" w:themeColor="text1"/>
          <w:sz w:val="28"/>
          <w:szCs w:val="28"/>
          <w:highlight w:val="none"/>
          <w14:textFill>
            <w14:solidFill>
              <w14:schemeClr w14:val="tx1"/>
            </w14:solidFill>
          </w14:textFill>
        </w:rPr>
      </w:pPr>
    </w:p>
    <w:p w14:paraId="040803A0">
      <w:pPr>
        <w:pStyle w:val="83"/>
        <w:rPr>
          <w:rFonts w:ascii="宋体" w:cs="宋体"/>
          <w:color w:val="000000" w:themeColor="text1"/>
          <w:sz w:val="28"/>
          <w:szCs w:val="28"/>
          <w:highlight w:val="none"/>
          <w14:textFill>
            <w14:solidFill>
              <w14:schemeClr w14:val="tx1"/>
            </w14:solidFill>
          </w14:textFill>
        </w:rPr>
      </w:pPr>
    </w:p>
    <w:p w14:paraId="78A78CEC">
      <w:pPr>
        <w:pStyle w:val="74"/>
        <w:spacing w:line="360" w:lineRule="auto"/>
        <w:rPr>
          <w:rFonts w:ascii="宋体"/>
          <w:color w:val="000000" w:themeColor="text1"/>
          <w:sz w:val="24"/>
          <w:szCs w:val="24"/>
          <w:highlight w:val="none"/>
          <w14:textFill>
            <w14:solidFill>
              <w14:schemeClr w14:val="tx1"/>
            </w14:solidFill>
          </w14:textFill>
        </w:rPr>
      </w:pPr>
      <w:r>
        <w:rPr>
          <w:rFonts w:ascii="宋体" w:cs="宋体"/>
          <w:color w:val="000000" w:themeColor="text1"/>
          <w:sz w:val="24"/>
          <w:szCs w:val="24"/>
          <w:highlight w:val="none"/>
          <w14:textFill>
            <w14:solidFill>
              <w14:schemeClr w14:val="tx1"/>
            </w14:solidFill>
          </w14:textFill>
        </w:rPr>
        <w:br w:type="page"/>
      </w:r>
      <w:bookmarkStart w:id="372" w:name="_Toc452498667"/>
      <w:bookmarkStart w:id="373" w:name="_Toc453057198"/>
      <w:bookmarkStart w:id="374" w:name="_Toc14336"/>
      <w:bookmarkStart w:id="375" w:name="_Toc16722"/>
      <w:bookmarkStart w:id="376" w:name="_Toc452498897"/>
      <w:bookmarkStart w:id="377" w:name="_Toc451261388"/>
      <w:bookmarkStart w:id="378" w:name="_Toc453056970"/>
      <w:bookmarkStart w:id="379" w:name="_Toc7337"/>
      <w:bookmarkStart w:id="380" w:name="_Toc12047"/>
      <w:r>
        <w:rPr>
          <w:rFonts w:hint="eastAsia" w:ascii="宋体" w:hAnsi="宋体"/>
          <w:color w:val="000000" w:themeColor="text1"/>
          <w:sz w:val="24"/>
          <w:szCs w:val="24"/>
          <w:highlight w:val="none"/>
          <w14:textFill>
            <w14:solidFill>
              <w14:schemeClr w14:val="tx1"/>
            </w14:solidFill>
          </w14:textFill>
        </w:rPr>
        <w:t>附件十</w:t>
      </w:r>
      <w:bookmarkEnd w:id="372"/>
      <w:bookmarkEnd w:id="373"/>
      <w:bookmarkEnd w:id="374"/>
      <w:bookmarkEnd w:id="375"/>
      <w:bookmarkEnd w:id="376"/>
      <w:bookmarkEnd w:id="377"/>
      <w:bookmarkEnd w:id="378"/>
      <w:r>
        <w:rPr>
          <w:rFonts w:hint="eastAsia" w:ascii="宋体" w:hAnsi="宋体"/>
          <w:color w:val="000000" w:themeColor="text1"/>
          <w:sz w:val="24"/>
          <w:szCs w:val="24"/>
          <w:highlight w:val="none"/>
          <w14:textFill>
            <w14:solidFill>
              <w14:schemeClr w14:val="tx1"/>
            </w14:solidFill>
          </w14:textFill>
        </w:rPr>
        <w:t>二</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承包人违约金一览表</w:t>
      </w:r>
      <w:bookmarkEnd w:id="379"/>
      <w:bookmarkEnd w:id="380"/>
    </w:p>
    <w:p w14:paraId="556A02B4">
      <w:pPr>
        <w:pStyle w:val="83"/>
        <w:rPr>
          <w:rFonts w:ascii="宋体" w:cs="宋体"/>
          <w:b/>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 xml:space="preserve">                  </w:t>
      </w:r>
      <w:r>
        <w:rPr>
          <w:rFonts w:ascii="宋体" w:hAnsi="宋体" w:cs="宋体"/>
          <w:b/>
          <w:color w:val="000000" w:themeColor="text1"/>
          <w:sz w:val="28"/>
          <w:szCs w:val="28"/>
          <w:highlight w:val="none"/>
          <w14:textFill>
            <w14:solidFill>
              <w14:schemeClr w14:val="tx1"/>
            </w14:solidFill>
          </w14:textFill>
        </w:rPr>
        <w:t>22.1.2</w:t>
      </w:r>
      <w:r>
        <w:rPr>
          <w:rFonts w:hint="eastAsia" w:ascii="宋体" w:hAnsi="宋体" w:cs="宋体"/>
          <w:b/>
          <w:color w:val="000000" w:themeColor="text1"/>
          <w:sz w:val="28"/>
          <w:szCs w:val="28"/>
          <w:highlight w:val="none"/>
          <w14:textFill>
            <w14:solidFill>
              <w14:schemeClr w14:val="tx1"/>
            </w14:solidFill>
          </w14:textFill>
        </w:rPr>
        <w:t>附表</w:t>
      </w:r>
      <w:r>
        <w:rPr>
          <w:rFonts w:ascii="宋体" w:hAnsi="宋体" w:cs="宋体"/>
          <w:b/>
          <w:color w:val="000000" w:themeColor="text1"/>
          <w:sz w:val="28"/>
          <w:szCs w:val="28"/>
          <w:highlight w:val="none"/>
          <w14:textFill>
            <w14:solidFill>
              <w14:schemeClr w14:val="tx1"/>
            </w14:solidFill>
          </w14:textFill>
        </w:rPr>
        <w:t xml:space="preserve">   </w:t>
      </w:r>
      <w:r>
        <w:rPr>
          <w:rFonts w:hint="eastAsia" w:ascii="宋体" w:hAnsi="宋体" w:cs="宋体"/>
          <w:b/>
          <w:color w:val="000000" w:themeColor="text1"/>
          <w:sz w:val="28"/>
          <w:szCs w:val="28"/>
          <w:highlight w:val="none"/>
          <w14:textFill>
            <w14:solidFill>
              <w14:schemeClr w14:val="tx1"/>
            </w14:solidFill>
          </w14:textFill>
        </w:rPr>
        <w:t>承包人违约金一览表</w:t>
      </w: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3F2C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61" w:type="dxa"/>
          </w:tcPr>
          <w:p w14:paraId="20545CDF">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469" w:type="dxa"/>
          </w:tcPr>
          <w:p w14:paraId="5D400157">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763" w:type="dxa"/>
          </w:tcPr>
          <w:p w14:paraId="61CFC6CB">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799" w:type="dxa"/>
          </w:tcPr>
          <w:p w14:paraId="68F20CD3">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579" w:type="dxa"/>
          </w:tcPr>
          <w:p w14:paraId="32DB5D60">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6A010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126B31E4">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1A88BF9">
            <w:pPr>
              <w:kinsoku w:val="0"/>
              <w:autoSpaceDE w:val="0"/>
              <w:autoSpaceDN w:val="0"/>
              <w:adjustRightInd w:val="0"/>
              <w:snapToGrid w:val="0"/>
              <w:spacing w:before="65" w:line="271" w:lineRule="exact"/>
              <w:ind w:left="39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1469" w:type="dxa"/>
          </w:tcPr>
          <w:p w14:paraId="10132C0A">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23540F7">
            <w:pPr>
              <w:kinsoku w:val="0"/>
              <w:autoSpaceDE w:val="0"/>
              <w:autoSpaceDN w:val="0"/>
              <w:adjustRightInd w:val="0"/>
              <w:snapToGrid w:val="0"/>
              <w:spacing w:before="65" w:line="268" w:lineRule="exact"/>
              <w:ind w:left="49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1.6.1</w:t>
            </w:r>
          </w:p>
        </w:tc>
        <w:tc>
          <w:tcPr>
            <w:tcW w:w="3763" w:type="dxa"/>
          </w:tcPr>
          <w:p w14:paraId="6101791D">
            <w:pPr>
              <w:kinsoku w:val="0"/>
              <w:autoSpaceDE w:val="0"/>
              <w:autoSpaceDN w:val="0"/>
              <w:adjustRightInd w:val="0"/>
              <w:snapToGrid w:val="0"/>
              <w:spacing w:before="108" w:line="297" w:lineRule="auto"/>
              <w:ind w:left="113" w:right="105"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未经发包人同意，承包人擅自将图纸、</w:t>
            </w:r>
            <w:r>
              <w:rPr>
                <w:rFonts w:ascii="宋体" w:hAnsi="宋体" w:cs="宋体"/>
                <w:snapToGrid w:val="0"/>
                <w:color w:val="000000" w:themeColor="text1"/>
                <w:spacing w:val="21"/>
                <w:kern w:val="0"/>
                <w:sz w:val="20"/>
                <w:szCs w:val="20"/>
                <w:highlight w:val="none"/>
                <w14:textFill>
                  <w14:solidFill>
                    <w14:schemeClr w14:val="tx1"/>
                  </w14:solidFill>
                </w14:textFill>
              </w:rPr>
              <w:t>技术规范和其他技术资料提供给与本</w:t>
            </w:r>
            <w:r>
              <w:rPr>
                <w:rFonts w:ascii="宋体" w:hAnsi="宋体" w:cs="宋体"/>
                <w:snapToGrid w:val="0"/>
                <w:color w:val="000000" w:themeColor="text1"/>
                <w:spacing w:val="8"/>
                <w:kern w:val="0"/>
                <w:sz w:val="20"/>
                <w:szCs w:val="20"/>
                <w:highlight w:val="none"/>
                <w14:textFill>
                  <w14:solidFill>
                    <w14:schemeClr w14:val="tx1"/>
                  </w14:solidFill>
                </w14:textFill>
              </w:rPr>
              <w:t>工程施工无关的第三方</w:t>
            </w:r>
          </w:p>
        </w:tc>
        <w:tc>
          <w:tcPr>
            <w:tcW w:w="1799" w:type="dxa"/>
          </w:tcPr>
          <w:p w14:paraId="044095B2">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C2C8F47">
            <w:pPr>
              <w:kinsoku w:val="0"/>
              <w:autoSpaceDE w:val="0"/>
              <w:autoSpaceDN w:val="0"/>
              <w:adjustRightInd w:val="0"/>
              <w:snapToGrid w:val="0"/>
              <w:spacing w:before="65" w:line="228" w:lineRule="auto"/>
              <w:ind w:left="46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2</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5CD22F2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D9B6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6F173B68">
            <w:pPr>
              <w:kinsoku w:val="0"/>
              <w:autoSpaceDE w:val="0"/>
              <w:autoSpaceDN w:val="0"/>
              <w:adjustRightInd w:val="0"/>
              <w:snapToGrid w:val="0"/>
              <w:spacing w:before="290"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1469" w:type="dxa"/>
          </w:tcPr>
          <w:p w14:paraId="3FBC9EFB">
            <w:pPr>
              <w:kinsoku w:val="0"/>
              <w:autoSpaceDE w:val="0"/>
              <w:autoSpaceDN w:val="0"/>
              <w:adjustRightInd w:val="0"/>
              <w:snapToGrid w:val="0"/>
              <w:spacing w:before="290" w:line="267" w:lineRule="exact"/>
              <w:ind w:left="49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1.6.3</w:t>
            </w:r>
          </w:p>
        </w:tc>
        <w:tc>
          <w:tcPr>
            <w:tcW w:w="3763" w:type="dxa"/>
          </w:tcPr>
          <w:p w14:paraId="2B9B20E3">
            <w:pPr>
              <w:kinsoku w:val="0"/>
              <w:autoSpaceDE w:val="0"/>
              <w:autoSpaceDN w:val="0"/>
              <w:adjustRightInd w:val="0"/>
              <w:snapToGrid w:val="0"/>
              <w:spacing w:before="110" w:line="279" w:lineRule="auto"/>
              <w:ind w:left="133" w:right="105" w:hanging="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未得到监理人批准，承包人擅自对施工图的任何部分进行修改</w:t>
            </w:r>
          </w:p>
        </w:tc>
        <w:tc>
          <w:tcPr>
            <w:tcW w:w="1799" w:type="dxa"/>
          </w:tcPr>
          <w:p w14:paraId="0FFE9B8D">
            <w:pPr>
              <w:kinsoku w:val="0"/>
              <w:autoSpaceDE w:val="0"/>
              <w:autoSpaceDN w:val="0"/>
              <w:adjustRightInd w:val="0"/>
              <w:snapToGrid w:val="0"/>
              <w:spacing w:before="289" w:line="228" w:lineRule="auto"/>
              <w:ind w:left="46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0"/>
                <w:kern w:val="0"/>
                <w:sz w:val="20"/>
                <w:szCs w:val="20"/>
                <w:highlight w:val="none"/>
                <w:lang w:eastAsia="en-US"/>
                <w14:textFill>
                  <w14:solidFill>
                    <w14:schemeClr w14:val="tx1"/>
                  </w14:solidFill>
                </w14:textFill>
              </w:rPr>
              <w:t>2万元/次</w:t>
            </w:r>
          </w:p>
        </w:tc>
        <w:tc>
          <w:tcPr>
            <w:tcW w:w="1579" w:type="dxa"/>
          </w:tcPr>
          <w:p w14:paraId="4E8103D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F4D0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3CE767E">
            <w:pPr>
              <w:kinsoku w:val="0"/>
              <w:autoSpaceDE w:val="0"/>
              <w:autoSpaceDN w:val="0"/>
              <w:adjustRightInd w:val="0"/>
              <w:snapToGrid w:val="0"/>
              <w:spacing w:before="289" w:line="269" w:lineRule="exact"/>
              <w:ind w:left="3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1469" w:type="dxa"/>
          </w:tcPr>
          <w:p w14:paraId="0C5A2893">
            <w:pPr>
              <w:kinsoku w:val="0"/>
              <w:autoSpaceDE w:val="0"/>
              <w:autoSpaceDN w:val="0"/>
              <w:adjustRightInd w:val="0"/>
              <w:snapToGrid w:val="0"/>
              <w:spacing w:before="289" w:line="268" w:lineRule="exact"/>
              <w:ind w:left="4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3.6.2</w:t>
            </w:r>
          </w:p>
        </w:tc>
        <w:tc>
          <w:tcPr>
            <w:tcW w:w="3763" w:type="dxa"/>
          </w:tcPr>
          <w:p w14:paraId="701F6BD3">
            <w:pPr>
              <w:kinsoku w:val="0"/>
              <w:autoSpaceDE w:val="0"/>
              <w:autoSpaceDN w:val="0"/>
              <w:adjustRightInd w:val="0"/>
              <w:snapToGrid w:val="0"/>
              <w:spacing w:before="110" w:line="279" w:lineRule="auto"/>
              <w:ind w:left="115" w:right="105" w:firstLine="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0"/>
                <w:kern w:val="0"/>
                <w:sz w:val="20"/>
                <w:szCs w:val="20"/>
                <w:highlight w:val="none"/>
                <w14:textFill>
                  <w14:solidFill>
                    <w14:schemeClr w14:val="tx1"/>
                  </w14:solidFill>
                </w14:textFill>
              </w:rPr>
              <w:t>因工程质量出现问题而降低质量标准</w:t>
            </w:r>
            <w:r>
              <w:rPr>
                <w:rFonts w:ascii="宋体" w:hAnsi="宋体" w:cs="宋体"/>
                <w:snapToGrid w:val="0"/>
                <w:color w:val="000000" w:themeColor="text1"/>
                <w:spacing w:val="9"/>
                <w:kern w:val="0"/>
                <w:sz w:val="20"/>
                <w:szCs w:val="20"/>
                <w:highlight w:val="none"/>
                <w14:textFill>
                  <w14:solidFill>
                    <w14:schemeClr w14:val="tx1"/>
                  </w14:solidFill>
                </w14:textFill>
              </w:rPr>
              <w:t>或返工而造成经济和工期损失的</w:t>
            </w:r>
          </w:p>
        </w:tc>
        <w:tc>
          <w:tcPr>
            <w:tcW w:w="1799" w:type="dxa"/>
          </w:tcPr>
          <w:p w14:paraId="3622EF74">
            <w:pPr>
              <w:kinsoku w:val="0"/>
              <w:autoSpaceDE w:val="0"/>
              <w:autoSpaceDN w:val="0"/>
              <w:adjustRightInd w:val="0"/>
              <w:snapToGrid w:val="0"/>
              <w:spacing w:before="289"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30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7C61F84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8BD3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61" w:type="dxa"/>
          </w:tcPr>
          <w:p w14:paraId="1A0070E8">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4CC7E2D">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69E7E44">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A655D3F">
            <w:pPr>
              <w:kinsoku w:val="0"/>
              <w:autoSpaceDE w:val="0"/>
              <w:autoSpaceDN w:val="0"/>
              <w:adjustRightInd w:val="0"/>
              <w:snapToGrid w:val="0"/>
              <w:spacing w:before="65" w:line="270" w:lineRule="exact"/>
              <w:ind w:left="38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1469" w:type="dxa"/>
          </w:tcPr>
          <w:p w14:paraId="6F1A877A">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5B4BAEA">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7C88725">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4224291">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4.1.4</w:t>
            </w:r>
          </w:p>
        </w:tc>
        <w:tc>
          <w:tcPr>
            <w:tcW w:w="3763" w:type="dxa"/>
          </w:tcPr>
          <w:p w14:paraId="4641D26C">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7CB6A7C">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053B7D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CE0BB42">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施工组织设计未经审批即开始实施。</w:t>
            </w:r>
          </w:p>
        </w:tc>
        <w:tc>
          <w:tcPr>
            <w:tcW w:w="1799" w:type="dxa"/>
          </w:tcPr>
          <w:p w14:paraId="16D6F66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B42E6A">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F02AC7A">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2F4287E">
            <w:pPr>
              <w:kinsoku w:val="0"/>
              <w:autoSpaceDE w:val="0"/>
              <w:autoSpaceDN w:val="0"/>
              <w:adjustRightInd w:val="0"/>
              <w:snapToGrid w:val="0"/>
              <w:spacing w:before="65"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28A328DF">
            <w:pPr>
              <w:kinsoku w:val="0"/>
              <w:autoSpaceDE w:val="0"/>
              <w:autoSpaceDN w:val="0"/>
              <w:adjustRightInd w:val="0"/>
              <w:snapToGrid w:val="0"/>
              <w:spacing w:before="109" w:line="228" w:lineRule="auto"/>
              <w:ind w:left="27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属于严重违</w:t>
            </w:r>
          </w:p>
          <w:p w14:paraId="2D024E26">
            <w:pPr>
              <w:kinsoku w:val="0"/>
              <w:autoSpaceDE w:val="0"/>
              <w:autoSpaceDN w:val="0"/>
              <w:adjustRightInd w:val="0"/>
              <w:snapToGrid w:val="0"/>
              <w:spacing w:before="113" w:line="228" w:lineRule="auto"/>
              <w:ind w:left="16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约，建议参照</w:t>
            </w:r>
          </w:p>
          <w:p w14:paraId="2BCED43F">
            <w:pPr>
              <w:kinsoku w:val="0"/>
              <w:autoSpaceDE w:val="0"/>
              <w:autoSpaceDN w:val="0"/>
              <w:adjustRightInd w:val="0"/>
              <w:snapToGrid w:val="0"/>
              <w:spacing w:before="113" w:line="228" w:lineRule="auto"/>
              <w:ind w:left="15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“违规分包或</w:t>
            </w:r>
          </w:p>
          <w:p w14:paraId="68795437">
            <w:pPr>
              <w:kinsoku w:val="0"/>
              <w:autoSpaceDE w:val="0"/>
              <w:autoSpaceDN w:val="0"/>
              <w:adjustRightInd w:val="0"/>
              <w:snapToGrid w:val="0"/>
              <w:spacing w:before="113" w:line="228"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转包</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进行重</w:t>
            </w:r>
          </w:p>
          <w:p w14:paraId="3412CC1B">
            <w:pPr>
              <w:kinsoku w:val="0"/>
              <w:autoSpaceDE w:val="0"/>
              <w:autoSpaceDN w:val="0"/>
              <w:adjustRightInd w:val="0"/>
              <w:snapToGrid w:val="0"/>
              <w:spacing w:before="112" w:line="226" w:lineRule="auto"/>
              <w:ind w:left="5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罚。</w:t>
            </w:r>
          </w:p>
        </w:tc>
      </w:tr>
      <w:tr w14:paraId="43F0D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0811C4F1">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0283C7F">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B2FCD8E">
            <w:pPr>
              <w:kinsoku w:val="0"/>
              <w:autoSpaceDE w:val="0"/>
              <w:autoSpaceDN w:val="0"/>
              <w:adjustRightInd w:val="0"/>
              <w:snapToGrid w:val="0"/>
              <w:spacing w:before="65" w:line="268" w:lineRule="exact"/>
              <w:ind w:left="3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1469" w:type="dxa"/>
          </w:tcPr>
          <w:p w14:paraId="0016228A">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886BB9B">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75CE832">
            <w:pPr>
              <w:kinsoku w:val="0"/>
              <w:autoSpaceDE w:val="0"/>
              <w:autoSpaceDN w:val="0"/>
              <w:adjustRightInd w:val="0"/>
              <w:snapToGrid w:val="0"/>
              <w:spacing w:before="65" w:line="267"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4.1.4</w:t>
            </w:r>
          </w:p>
        </w:tc>
        <w:tc>
          <w:tcPr>
            <w:tcW w:w="3763" w:type="dxa"/>
          </w:tcPr>
          <w:p w14:paraId="5724989E">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9316C04">
            <w:pPr>
              <w:kinsoku w:val="0"/>
              <w:autoSpaceDE w:val="0"/>
              <w:autoSpaceDN w:val="0"/>
              <w:adjustRightInd w:val="0"/>
              <w:snapToGrid w:val="0"/>
              <w:spacing w:before="65" w:line="334" w:lineRule="auto"/>
              <w:ind w:left="115" w:right="10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0"/>
                <w:kern w:val="0"/>
                <w:sz w:val="20"/>
                <w:szCs w:val="20"/>
                <w:highlight w:val="none"/>
                <w14:textFill>
                  <w14:solidFill>
                    <w14:schemeClr w14:val="tx1"/>
                  </w14:solidFill>
                </w14:textFill>
              </w:rPr>
              <w:t>未按批复的施工组织设计方案组织施</w:t>
            </w:r>
            <w:r>
              <w:rPr>
                <w:rFonts w:ascii="宋体" w:hAnsi="宋体" w:cs="宋体"/>
                <w:snapToGrid w:val="0"/>
                <w:color w:val="000000" w:themeColor="text1"/>
                <w:spacing w:val="7"/>
                <w:kern w:val="0"/>
                <w:sz w:val="20"/>
                <w:szCs w:val="20"/>
                <w:highlight w:val="none"/>
                <w14:textFill>
                  <w14:solidFill>
                    <w14:schemeClr w14:val="tx1"/>
                  </w14:solidFill>
                </w14:textFill>
              </w:rPr>
              <w:t>工，随意调整或变更。</w:t>
            </w:r>
          </w:p>
        </w:tc>
        <w:tc>
          <w:tcPr>
            <w:tcW w:w="1799" w:type="dxa"/>
          </w:tcPr>
          <w:p w14:paraId="4E142C3A">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9A577B7">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56BE389">
            <w:pPr>
              <w:kinsoku w:val="0"/>
              <w:autoSpaceDE w:val="0"/>
              <w:autoSpaceDN w:val="0"/>
              <w:adjustRightInd w:val="0"/>
              <w:snapToGrid w:val="0"/>
              <w:spacing w:before="65" w:line="228" w:lineRule="auto"/>
              <w:ind w:left="46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2</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6A3148E4">
            <w:pPr>
              <w:kinsoku w:val="0"/>
              <w:autoSpaceDE w:val="0"/>
              <w:autoSpaceDN w:val="0"/>
              <w:adjustRightInd w:val="0"/>
              <w:snapToGrid w:val="0"/>
              <w:spacing w:before="110" w:line="228" w:lineRule="auto"/>
              <w:ind w:left="16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参照“擅自对</w:t>
            </w:r>
          </w:p>
          <w:p w14:paraId="70C003C6">
            <w:pPr>
              <w:kinsoku w:val="0"/>
              <w:autoSpaceDE w:val="0"/>
              <w:autoSpaceDN w:val="0"/>
              <w:adjustRightInd w:val="0"/>
              <w:snapToGrid w:val="0"/>
              <w:spacing w:before="112" w:line="228" w:lineRule="auto"/>
              <w:ind w:left="16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施工图的任何</w:t>
            </w:r>
          </w:p>
          <w:p w14:paraId="12421ED8">
            <w:pPr>
              <w:kinsoku w:val="0"/>
              <w:autoSpaceDE w:val="0"/>
              <w:autoSpaceDN w:val="0"/>
              <w:adjustRightInd w:val="0"/>
              <w:snapToGrid w:val="0"/>
              <w:spacing w:before="113" w:line="228" w:lineRule="auto"/>
              <w:ind w:left="2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部分进行修</w:t>
            </w:r>
          </w:p>
          <w:p w14:paraId="56838FEB">
            <w:pPr>
              <w:kinsoku w:val="0"/>
              <w:autoSpaceDE w:val="0"/>
              <w:autoSpaceDN w:val="0"/>
              <w:adjustRightInd w:val="0"/>
              <w:snapToGrid w:val="0"/>
              <w:spacing w:before="113" w:line="225" w:lineRule="auto"/>
              <w:ind w:right="15"/>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订</w:t>
            </w:r>
            <w:r>
              <w:rPr>
                <w:rFonts w:ascii="宋体" w:hAnsi="宋体" w:cs="宋体"/>
                <w:snapToGrid w:val="0"/>
                <w:color w:val="000000" w:themeColor="text1"/>
                <w:spacing w:val="-6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”进行处罚。</w:t>
            </w:r>
          </w:p>
        </w:tc>
      </w:tr>
      <w:tr w14:paraId="7CC5E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21F4598A">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F58604B">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48FE88C">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E49D8D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B126C2">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9B19CB9">
            <w:pPr>
              <w:kinsoku w:val="0"/>
              <w:autoSpaceDE w:val="0"/>
              <w:autoSpaceDN w:val="0"/>
              <w:adjustRightInd w:val="0"/>
              <w:snapToGrid w:val="0"/>
              <w:spacing w:before="65" w:line="268" w:lineRule="exact"/>
              <w:ind w:left="38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1469" w:type="dxa"/>
          </w:tcPr>
          <w:p w14:paraId="64B08B40">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C450DF0">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F4B4951">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DCE9F4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B6108C0">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CFDC3BF">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4.1.4</w:t>
            </w:r>
          </w:p>
        </w:tc>
        <w:tc>
          <w:tcPr>
            <w:tcW w:w="3763" w:type="dxa"/>
          </w:tcPr>
          <w:p w14:paraId="0AC606B4">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A77553E">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AA72F63">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049CED2">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919C803">
            <w:pPr>
              <w:kinsoku w:val="0"/>
              <w:autoSpaceDE w:val="0"/>
              <w:autoSpaceDN w:val="0"/>
              <w:adjustRightInd w:val="0"/>
              <w:snapToGrid w:val="0"/>
              <w:spacing w:before="65" w:line="334" w:lineRule="auto"/>
              <w:ind w:left="115" w:right="105" w:firstLine="2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9"/>
                <w:kern w:val="0"/>
                <w:sz w:val="20"/>
                <w:szCs w:val="20"/>
                <w:highlight w:val="none"/>
                <w14:textFill>
                  <w14:solidFill>
                    <w14:schemeClr w14:val="tx1"/>
                  </w14:solidFill>
                </w14:textFill>
              </w:rPr>
              <w:t>已实施的超过一定规模的危险性较大</w:t>
            </w:r>
            <w:r>
              <w:rPr>
                <w:rFonts w:ascii="宋体" w:hAnsi="宋体" w:cs="宋体"/>
                <w:snapToGrid w:val="0"/>
                <w:color w:val="000000" w:themeColor="text1"/>
                <w:spacing w:val="8"/>
                <w:kern w:val="0"/>
                <w:sz w:val="20"/>
                <w:szCs w:val="20"/>
                <w:highlight w:val="none"/>
                <w14:textFill>
                  <w14:solidFill>
                    <w14:schemeClr w14:val="tx1"/>
                  </w14:solidFill>
                </w14:textFill>
              </w:rPr>
              <w:t>工程未组织专家论证、审查。</w:t>
            </w:r>
          </w:p>
        </w:tc>
        <w:tc>
          <w:tcPr>
            <w:tcW w:w="1799" w:type="dxa"/>
          </w:tcPr>
          <w:p w14:paraId="39EB9ECD">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B8C03FE">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B8AFA91">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FD0E9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E5DF8F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12EE45">
            <w:pPr>
              <w:kinsoku w:val="0"/>
              <w:autoSpaceDE w:val="0"/>
              <w:autoSpaceDN w:val="0"/>
              <w:adjustRightInd w:val="0"/>
              <w:snapToGrid w:val="0"/>
              <w:spacing w:before="65"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579" w:type="dxa"/>
          </w:tcPr>
          <w:p w14:paraId="20924DE6">
            <w:pPr>
              <w:kinsoku w:val="0"/>
              <w:autoSpaceDE w:val="0"/>
              <w:autoSpaceDN w:val="0"/>
              <w:adjustRightInd w:val="0"/>
              <w:snapToGrid w:val="0"/>
              <w:spacing w:before="110" w:line="228" w:lineRule="auto"/>
              <w:ind w:left="16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参照“擅自对</w:t>
            </w:r>
          </w:p>
          <w:p w14:paraId="35774179">
            <w:pPr>
              <w:kinsoku w:val="0"/>
              <w:autoSpaceDE w:val="0"/>
              <w:autoSpaceDN w:val="0"/>
              <w:adjustRightInd w:val="0"/>
              <w:snapToGrid w:val="0"/>
              <w:spacing w:before="112" w:line="228" w:lineRule="auto"/>
              <w:ind w:left="16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施工图的任何</w:t>
            </w:r>
          </w:p>
          <w:p w14:paraId="538F0254">
            <w:pPr>
              <w:kinsoku w:val="0"/>
              <w:autoSpaceDE w:val="0"/>
              <w:autoSpaceDN w:val="0"/>
              <w:adjustRightInd w:val="0"/>
              <w:snapToGrid w:val="0"/>
              <w:spacing w:before="113" w:line="228" w:lineRule="auto"/>
              <w:ind w:left="2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部分进行修</w:t>
            </w:r>
          </w:p>
          <w:p w14:paraId="56CB41AB">
            <w:pPr>
              <w:kinsoku w:val="0"/>
              <w:autoSpaceDE w:val="0"/>
              <w:autoSpaceDN w:val="0"/>
              <w:adjustRightInd w:val="0"/>
              <w:snapToGrid w:val="0"/>
              <w:spacing w:before="113" w:line="228" w:lineRule="auto"/>
              <w:ind w:right="15"/>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订</w:t>
            </w:r>
            <w:r>
              <w:rPr>
                <w:rFonts w:ascii="宋体" w:hAnsi="宋体" w:cs="宋体"/>
                <w:snapToGrid w:val="0"/>
                <w:color w:val="000000" w:themeColor="text1"/>
                <w:spacing w:val="-6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”进行处罚。</w:t>
            </w:r>
          </w:p>
          <w:p w14:paraId="76361D3C">
            <w:pPr>
              <w:kinsoku w:val="0"/>
              <w:autoSpaceDE w:val="0"/>
              <w:autoSpaceDN w:val="0"/>
              <w:adjustRightInd w:val="0"/>
              <w:snapToGrid w:val="0"/>
              <w:spacing w:before="112"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3456149C">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67C18D60">
            <w:pPr>
              <w:kinsoku w:val="0"/>
              <w:autoSpaceDE w:val="0"/>
              <w:autoSpaceDN w:val="0"/>
              <w:adjustRightInd w:val="0"/>
              <w:snapToGrid w:val="0"/>
              <w:spacing w:before="113"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659A851E">
            <w:pPr>
              <w:kinsoku w:val="0"/>
              <w:autoSpaceDE w:val="0"/>
              <w:autoSpaceDN w:val="0"/>
              <w:adjustRightInd w:val="0"/>
              <w:snapToGrid w:val="0"/>
              <w:spacing w:before="113" w:line="225"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38BC0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012B47C8">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BC9C43E">
            <w:pPr>
              <w:kinsoku w:val="0"/>
              <w:autoSpaceDE w:val="0"/>
              <w:autoSpaceDN w:val="0"/>
              <w:adjustRightInd w:val="0"/>
              <w:snapToGrid w:val="0"/>
              <w:spacing w:before="65" w:line="269" w:lineRule="exact"/>
              <w:ind w:left="38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1469" w:type="dxa"/>
          </w:tcPr>
          <w:p w14:paraId="45044124">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E58E6EE">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4.1.4</w:t>
            </w:r>
          </w:p>
        </w:tc>
        <w:tc>
          <w:tcPr>
            <w:tcW w:w="3763" w:type="dxa"/>
          </w:tcPr>
          <w:p w14:paraId="68E2D2B5">
            <w:pPr>
              <w:kinsoku w:val="0"/>
              <w:autoSpaceDE w:val="0"/>
              <w:autoSpaceDN w:val="0"/>
              <w:adjustRightInd w:val="0"/>
              <w:snapToGrid w:val="0"/>
              <w:spacing w:before="111" w:line="296" w:lineRule="auto"/>
              <w:ind w:left="113" w:right="105" w:firstLine="1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因设计出现重大变更、施工方法发生重</w:t>
            </w:r>
            <w:r>
              <w:rPr>
                <w:rFonts w:ascii="宋体" w:hAnsi="宋体" w:cs="宋体"/>
                <w:snapToGrid w:val="0"/>
                <w:color w:val="000000" w:themeColor="text1"/>
                <w:spacing w:val="8"/>
                <w:kern w:val="0"/>
                <w:sz w:val="20"/>
                <w:szCs w:val="20"/>
                <w:highlight w:val="none"/>
                <w14:textFill>
                  <w14:solidFill>
                    <w14:schemeClr w14:val="tx1"/>
                  </w14:solidFill>
                </w14:textFill>
              </w:rPr>
              <w:t>大调整、外部施工环境或施工条件发生重大变化等未及时进行修编的。</w:t>
            </w:r>
          </w:p>
        </w:tc>
        <w:tc>
          <w:tcPr>
            <w:tcW w:w="1799" w:type="dxa"/>
          </w:tcPr>
          <w:p w14:paraId="533169F2">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24F2B6A">
            <w:pPr>
              <w:kinsoku w:val="0"/>
              <w:autoSpaceDE w:val="0"/>
              <w:autoSpaceDN w:val="0"/>
              <w:adjustRightInd w:val="0"/>
              <w:snapToGrid w:val="0"/>
              <w:spacing w:before="65" w:line="228" w:lineRule="auto"/>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万元/次</w:t>
            </w:r>
          </w:p>
        </w:tc>
        <w:tc>
          <w:tcPr>
            <w:tcW w:w="1579" w:type="dxa"/>
          </w:tcPr>
          <w:p w14:paraId="704D004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C79E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0CD5C52F">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096709B">
            <w:pPr>
              <w:kinsoku w:val="0"/>
              <w:autoSpaceDE w:val="0"/>
              <w:autoSpaceDN w:val="0"/>
              <w:adjustRightInd w:val="0"/>
              <w:snapToGrid w:val="0"/>
              <w:spacing w:before="65" w:line="269" w:lineRule="exact"/>
              <w:ind w:left="38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1469" w:type="dxa"/>
          </w:tcPr>
          <w:p w14:paraId="33F6E425">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A8B023C">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4.1.9</w:t>
            </w:r>
          </w:p>
        </w:tc>
        <w:tc>
          <w:tcPr>
            <w:tcW w:w="3763" w:type="dxa"/>
          </w:tcPr>
          <w:p w14:paraId="76868EF4">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942220E">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承包人拒绝按规定履行维护和照管的</w:t>
            </w:r>
          </w:p>
        </w:tc>
        <w:tc>
          <w:tcPr>
            <w:tcW w:w="1799" w:type="dxa"/>
          </w:tcPr>
          <w:p w14:paraId="3508CDA6">
            <w:pPr>
              <w:kinsoku w:val="0"/>
              <w:autoSpaceDE w:val="0"/>
              <w:autoSpaceDN w:val="0"/>
              <w:adjustRightInd w:val="0"/>
              <w:snapToGrid w:val="0"/>
              <w:spacing w:before="114" w:line="228" w:lineRule="auto"/>
              <w:ind w:left="15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0"/>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万元/天，直至</w:t>
            </w:r>
          </w:p>
          <w:p w14:paraId="59127AC2">
            <w:pPr>
              <w:kinsoku w:val="0"/>
              <w:autoSpaceDE w:val="0"/>
              <w:autoSpaceDN w:val="0"/>
              <w:adjustRightInd w:val="0"/>
              <w:snapToGrid w:val="0"/>
              <w:spacing w:before="112" w:line="228" w:lineRule="auto"/>
              <w:ind w:left="1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工程交工并移交</w:t>
            </w:r>
          </w:p>
          <w:p w14:paraId="1CA28FA0">
            <w:pPr>
              <w:kinsoku w:val="0"/>
              <w:autoSpaceDE w:val="0"/>
              <w:autoSpaceDN w:val="0"/>
              <w:adjustRightInd w:val="0"/>
              <w:snapToGrid w:val="0"/>
              <w:spacing w:before="113" w:line="222" w:lineRule="auto"/>
              <w:ind w:left="27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给发包人为止</w:t>
            </w:r>
          </w:p>
        </w:tc>
        <w:tc>
          <w:tcPr>
            <w:tcW w:w="1579" w:type="dxa"/>
          </w:tcPr>
          <w:p w14:paraId="7A1C72E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41AD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861" w:type="dxa"/>
          </w:tcPr>
          <w:p w14:paraId="6178AA35">
            <w:pPr>
              <w:kinsoku w:val="0"/>
              <w:autoSpaceDE w:val="0"/>
              <w:autoSpaceDN w:val="0"/>
              <w:adjustRightInd w:val="0"/>
              <w:snapToGrid w:val="0"/>
              <w:spacing w:before="293" w:line="269" w:lineRule="exact"/>
              <w:ind w:left="38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1469" w:type="dxa"/>
          </w:tcPr>
          <w:p w14:paraId="72CA529A">
            <w:pPr>
              <w:kinsoku w:val="0"/>
              <w:autoSpaceDE w:val="0"/>
              <w:autoSpaceDN w:val="0"/>
              <w:adjustRightInd w:val="0"/>
              <w:snapToGrid w:val="0"/>
              <w:spacing w:before="293" w:line="268" w:lineRule="exact"/>
              <w:ind w:left="58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4.2</w:t>
            </w:r>
          </w:p>
        </w:tc>
        <w:tc>
          <w:tcPr>
            <w:tcW w:w="3763" w:type="dxa"/>
          </w:tcPr>
          <w:p w14:paraId="243421EE">
            <w:pPr>
              <w:kinsoku w:val="0"/>
              <w:autoSpaceDE w:val="0"/>
              <w:autoSpaceDN w:val="0"/>
              <w:adjustRightInd w:val="0"/>
              <w:snapToGrid w:val="0"/>
              <w:spacing w:before="114" w:line="278" w:lineRule="auto"/>
              <w:ind w:left="114" w:right="102"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未在履约保证金保函期限到期前</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w:t>
            </w:r>
            <w:r>
              <w:rPr>
                <w:rFonts w:ascii="宋体" w:hAnsi="宋体" w:cs="宋体"/>
                <w:snapToGrid w:val="0"/>
                <w:color w:val="000000" w:themeColor="text1"/>
                <w:spacing w:val="-4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个月</w:t>
            </w:r>
            <w:r>
              <w:rPr>
                <w:rFonts w:ascii="宋体" w:hAnsi="宋体" w:cs="宋体"/>
                <w:snapToGrid w:val="0"/>
                <w:color w:val="000000" w:themeColor="text1"/>
                <w:spacing w:val="8"/>
                <w:kern w:val="0"/>
                <w:sz w:val="20"/>
                <w:szCs w:val="20"/>
                <w:highlight w:val="none"/>
                <w14:textFill>
                  <w14:solidFill>
                    <w14:schemeClr w14:val="tx1"/>
                  </w14:solidFill>
                </w14:textFill>
              </w:rPr>
              <w:t>完成原保函续期手续（或开立新保函）</w:t>
            </w:r>
          </w:p>
        </w:tc>
        <w:tc>
          <w:tcPr>
            <w:tcW w:w="1799" w:type="dxa"/>
          </w:tcPr>
          <w:p w14:paraId="4A4E2E7B">
            <w:pPr>
              <w:kinsoku w:val="0"/>
              <w:autoSpaceDE w:val="0"/>
              <w:autoSpaceDN w:val="0"/>
              <w:adjustRightInd w:val="0"/>
              <w:snapToGrid w:val="0"/>
              <w:spacing w:before="114" w:line="278" w:lineRule="auto"/>
              <w:ind w:left="193" w:right="162" w:hanging="2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按</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元/天处</w:t>
            </w:r>
            <w:r>
              <w:rPr>
                <w:rFonts w:ascii="宋体" w:hAnsi="宋体" w:cs="宋体"/>
                <w:snapToGrid w:val="0"/>
                <w:color w:val="000000" w:themeColor="text1"/>
                <w:spacing w:val="5"/>
                <w:kern w:val="0"/>
                <w:sz w:val="20"/>
                <w:szCs w:val="20"/>
                <w:highlight w:val="none"/>
                <w14:textFill>
                  <w14:solidFill>
                    <w14:schemeClr w14:val="tx1"/>
                  </w14:solidFill>
                </w14:textFill>
              </w:rPr>
              <w:t>以违约金直至原</w:t>
            </w:r>
          </w:p>
        </w:tc>
        <w:tc>
          <w:tcPr>
            <w:tcW w:w="1579" w:type="dxa"/>
          </w:tcPr>
          <w:p w14:paraId="67A18E5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bl>
    <w:p w14:paraId="1C07F377">
      <w:pPr>
        <w:pStyle w:val="83"/>
        <w:rPr>
          <w:rFonts w:ascii="宋体" w:cs="宋体"/>
          <w:color w:val="000000" w:themeColor="text1"/>
          <w:sz w:val="24"/>
          <w:highlight w:val="none"/>
          <w14:textFill>
            <w14:solidFill>
              <w14:schemeClr w14:val="tx1"/>
            </w14:solidFill>
          </w14:textFill>
        </w:rPr>
      </w:pPr>
    </w:p>
    <w:p w14:paraId="6A93FCEF">
      <w:pPr>
        <w:pStyle w:val="83"/>
        <w:rPr>
          <w:rFonts w:ascii="宋体" w:cs="宋体"/>
          <w:color w:val="000000" w:themeColor="text1"/>
          <w:sz w:val="24"/>
          <w:highlight w:val="none"/>
          <w14:textFill>
            <w14:solidFill>
              <w14:schemeClr w14:val="tx1"/>
            </w14:solidFill>
          </w14:textFill>
        </w:rPr>
      </w:pPr>
    </w:p>
    <w:p w14:paraId="72F2B76E">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45296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38E80424">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469" w:type="dxa"/>
          </w:tcPr>
          <w:p w14:paraId="0DB7F7A3">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763" w:type="dxa"/>
          </w:tcPr>
          <w:p w14:paraId="7906B289">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799" w:type="dxa"/>
          </w:tcPr>
          <w:p w14:paraId="065FE910">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579" w:type="dxa"/>
          </w:tcPr>
          <w:p w14:paraId="7A2FBA92">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7D04E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52E257B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469" w:type="dxa"/>
          </w:tcPr>
          <w:p w14:paraId="42E1597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763" w:type="dxa"/>
          </w:tcPr>
          <w:p w14:paraId="113F4E1D">
            <w:pPr>
              <w:kinsoku w:val="0"/>
              <w:autoSpaceDE w:val="0"/>
              <w:autoSpaceDN w:val="0"/>
              <w:adjustRightInd w:val="0"/>
              <w:snapToGrid w:val="0"/>
              <w:spacing w:before="110" w:line="228" w:lineRule="auto"/>
              <w:ind w:left="1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并提交给发包人的</w:t>
            </w:r>
          </w:p>
        </w:tc>
        <w:tc>
          <w:tcPr>
            <w:tcW w:w="1799" w:type="dxa"/>
          </w:tcPr>
          <w:p w14:paraId="1267AC2C">
            <w:pPr>
              <w:kinsoku w:val="0"/>
              <w:autoSpaceDE w:val="0"/>
              <w:autoSpaceDN w:val="0"/>
              <w:adjustRightInd w:val="0"/>
              <w:snapToGrid w:val="0"/>
              <w:spacing w:before="110" w:line="228"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保函续期手续（或</w:t>
            </w:r>
          </w:p>
          <w:p w14:paraId="3B97D7AC">
            <w:pPr>
              <w:kinsoku w:val="0"/>
              <w:autoSpaceDE w:val="0"/>
              <w:autoSpaceDN w:val="0"/>
              <w:adjustRightInd w:val="0"/>
              <w:snapToGrid w:val="0"/>
              <w:spacing w:before="112" w:line="228"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开立新保函）并提</w:t>
            </w:r>
          </w:p>
          <w:p w14:paraId="58C90BCF">
            <w:pPr>
              <w:kinsoku w:val="0"/>
              <w:autoSpaceDE w:val="0"/>
              <w:autoSpaceDN w:val="0"/>
              <w:adjustRightInd w:val="0"/>
              <w:snapToGrid w:val="0"/>
              <w:spacing w:before="113" w:line="225" w:lineRule="auto"/>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交给发包人</w:t>
            </w:r>
          </w:p>
        </w:tc>
        <w:tc>
          <w:tcPr>
            <w:tcW w:w="1579" w:type="dxa"/>
          </w:tcPr>
          <w:p w14:paraId="1038824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2227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restart"/>
            <w:tcBorders>
              <w:bottom w:val="nil"/>
            </w:tcBorders>
          </w:tcPr>
          <w:p w14:paraId="484F6037">
            <w:pPr>
              <w:widowControl/>
              <w:kinsoku w:val="0"/>
              <w:autoSpaceDE w:val="0"/>
              <w:autoSpaceDN w:val="0"/>
              <w:adjustRightInd w:val="0"/>
              <w:snapToGrid w:val="0"/>
              <w:spacing w:line="31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2E1B9C3">
            <w:pPr>
              <w:widowControl/>
              <w:kinsoku w:val="0"/>
              <w:autoSpaceDE w:val="0"/>
              <w:autoSpaceDN w:val="0"/>
              <w:adjustRightInd w:val="0"/>
              <w:snapToGrid w:val="0"/>
              <w:spacing w:line="31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4C163D0">
            <w:pPr>
              <w:widowControl/>
              <w:kinsoku w:val="0"/>
              <w:autoSpaceDE w:val="0"/>
              <w:autoSpaceDN w:val="0"/>
              <w:adjustRightInd w:val="0"/>
              <w:snapToGrid w:val="0"/>
              <w:spacing w:line="31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13FFCD5">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1469" w:type="dxa"/>
            <w:vMerge w:val="restart"/>
            <w:tcBorders>
              <w:bottom w:val="nil"/>
            </w:tcBorders>
          </w:tcPr>
          <w:p w14:paraId="4D833B59">
            <w:pPr>
              <w:widowControl/>
              <w:kinsoku w:val="0"/>
              <w:autoSpaceDE w:val="0"/>
              <w:autoSpaceDN w:val="0"/>
              <w:adjustRightInd w:val="0"/>
              <w:snapToGrid w:val="0"/>
              <w:spacing w:line="31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10250DB">
            <w:pPr>
              <w:widowControl/>
              <w:kinsoku w:val="0"/>
              <w:autoSpaceDE w:val="0"/>
              <w:autoSpaceDN w:val="0"/>
              <w:adjustRightInd w:val="0"/>
              <w:snapToGrid w:val="0"/>
              <w:spacing w:line="31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D47F61C">
            <w:pPr>
              <w:widowControl/>
              <w:kinsoku w:val="0"/>
              <w:autoSpaceDE w:val="0"/>
              <w:autoSpaceDN w:val="0"/>
              <w:adjustRightInd w:val="0"/>
              <w:snapToGrid w:val="0"/>
              <w:spacing w:line="31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39410FD">
            <w:pPr>
              <w:kinsoku w:val="0"/>
              <w:autoSpaceDE w:val="0"/>
              <w:autoSpaceDN w:val="0"/>
              <w:adjustRightInd w:val="0"/>
              <w:snapToGrid w:val="0"/>
              <w:spacing w:before="65" w:line="268" w:lineRule="exact"/>
              <w:ind w:left="58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4.3</w:t>
            </w:r>
          </w:p>
        </w:tc>
        <w:tc>
          <w:tcPr>
            <w:tcW w:w="3763" w:type="dxa"/>
          </w:tcPr>
          <w:p w14:paraId="7A603840">
            <w:pPr>
              <w:kinsoku w:val="0"/>
              <w:autoSpaceDE w:val="0"/>
              <w:autoSpaceDN w:val="0"/>
              <w:adjustRightInd w:val="0"/>
              <w:snapToGrid w:val="0"/>
              <w:spacing w:before="291" w:line="228" w:lineRule="auto"/>
              <w:ind w:left="1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（1）违规分包或转包</w:t>
            </w:r>
          </w:p>
        </w:tc>
        <w:tc>
          <w:tcPr>
            <w:tcW w:w="1799" w:type="dxa"/>
          </w:tcPr>
          <w:p w14:paraId="4BAB7B01">
            <w:pPr>
              <w:kinsoku w:val="0"/>
              <w:autoSpaceDE w:val="0"/>
              <w:autoSpaceDN w:val="0"/>
              <w:adjustRightInd w:val="0"/>
              <w:snapToGrid w:val="0"/>
              <w:spacing w:before="110" w:line="279" w:lineRule="auto"/>
              <w:ind w:left="303" w:right="162" w:hanging="13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按违规分包转包</w:t>
            </w:r>
            <w:r>
              <w:rPr>
                <w:rFonts w:ascii="宋体" w:hAnsi="宋体" w:cs="宋体"/>
                <w:snapToGrid w:val="0"/>
                <w:color w:val="000000" w:themeColor="text1"/>
                <w:spacing w:val="2"/>
                <w:kern w:val="0"/>
                <w:sz w:val="20"/>
                <w:szCs w:val="20"/>
                <w:highlight w:val="none"/>
                <w14:textFill>
                  <w14:solidFill>
                    <w14:schemeClr w14:val="tx1"/>
                  </w14:solidFill>
                </w14:textFill>
              </w:rPr>
              <w:t>金额</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10%处罚</w:t>
            </w:r>
          </w:p>
        </w:tc>
        <w:tc>
          <w:tcPr>
            <w:tcW w:w="1579" w:type="dxa"/>
            <w:vMerge w:val="restart"/>
            <w:tcBorders>
              <w:bottom w:val="nil"/>
            </w:tcBorders>
          </w:tcPr>
          <w:p w14:paraId="7CA265EF">
            <w:pPr>
              <w:widowControl/>
              <w:kinsoku w:val="0"/>
              <w:autoSpaceDE w:val="0"/>
              <w:autoSpaceDN w:val="0"/>
              <w:adjustRightInd w:val="0"/>
              <w:snapToGrid w:val="0"/>
              <w:spacing w:line="4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8218F87">
            <w:pPr>
              <w:kinsoku w:val="0"/>
              <w:autoSpaceDE w:val="0"/>
              <w:autoSpaceDN w:val="0"/>
              <w:adjustRightInd w:val="0"/>
              <w:snapToGrid w:val="0"/>
              <w:spacing w:before="65"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60979F29">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0457A01F">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05B7EB50">
            <w:pPr>
              <w:kinsoku w:val="0"/>
              <w:autoSpaceDE w:val="0"/>
              <w:autoSpaceDN w:val="0"/>
              <w:adjustRightInd w:val="0"/>
              <w:snapToGrid w:val="0"/>
              <w:spacing w:before="113" w:line="229"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6DF65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continue"/>
            <w:tcBorders>
              <w:top w:val="nil"/>
              <w:bottom w:val="nil"/>
            </w:tcBorders>
          </w:tcPr>
          <w:p w14:paraId="79743AF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469" w:type="dxa"/>
            <w:vMerge w:val="continue"/>
            <w:tcBorders>
              <w:top w:val="nil"/>
              <w:bottom w:val="nil"/>
            </w:tcBorders>
          </w:tcPr>
          <w:p w14:paraId="6143C82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763" w:type="dxa"/>
          </w:tcPr>
          <w:p w14:paraId="31A61650">
            <w:pPr>
              <w:kinsoku w:val="0"/>
              <w:autoSpaceDE w:val="0"/>
              <w:autoSpaceDN w:val="0"/>
              <w:adjustRightInd w:val="0"/>
              <w:snapToGrid w:val="0"/>
              <w:spacing w:before="110" w:line="279" w:lineRule="auto"/>
              <w:ind w:left="112" w:right="105" w:firstLine="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3"/>
                <w:kern w:val="0"/>
                <w:sz w:val="20"/>
                <w:szCs w:val="20"/>
                <w:highlight w:val="none"/>
                <w14:textFill>
                  <w14:solidFill>
                    <w14:schemeClr w14:val="tx1"/>
                  </w14:solidFill>
                </w14:textFill>
              </w:rPr>
              <w:t>（2）发包人决定采取强制分包时，承</w:t>
            </w:r>
            <w:r>
              <w:rPr>
                <w:rFonts w:ascii="宋体" w:hAnsi="宋体" w:cs="宋体"/>
                <w:snapToGrid w:val="0"/>
                <w:color w:val="000000" w:themeColor="text1"/>
                <w:spacing w:val="9"/>
                <w:kern w:val="0"/>
                <w:sz w:val="20"/>
                <w:szCs w:val="20"/>
                <w:highlight w:val="none"/>
                <w14:textFill>
                  <w14:solidFill>
                    <w14:schemeClr w14:val="tx1"/>
                  </w14:solidFill>
                </w14:textFill>
              </w:rPr>
              <w:t>包人不接受或不予配合的</w:t>
            </w:r>
          </w:p>
        </w:tc>
        <w:tc>
          <w:tcPr>
            <w:tcW w:w="1799" w:type="dxa"/>
          </w:tcPr>
          <w:p w14:paraId="7A22562A">
            <w:pPr>
              <w:kinsoku w:val="0"/>
              <w:autoSpaceDE w:val="0"/>
              <w:autoSpaceDN w:val="0"/>
              <w:adjustRightInd w:val="0"/>
              <w:snapToGrid w:val="0"/>
              <w:spacing w:before="290" w:line="228" w:lineRule="auto"/>
              <w:ind w:left="25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30-50</w:t>
            </w:r>
            <w:r>
              <w:rPr>
                <w:rFonts w:ascii="宋体" w:hAnsi="宋体" w:cs="宋体"/>
                <w:snapToGrid w:val="0"/>
                <w:color w:val="000000" w:themeColor="text1"/>
                <w:spacing w:val="-30"/>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vMerge w:val="continue"/>
            <w:tcBorders>
              <w:top w:val="nil"/>
              <w:bottom w:val="nil"/>
            </w:tcBorders>
          </w:tcPr>
          <w:p w14:paraId="5E0CB78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4D17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continue"/>
            <w:tcBorders>
              <w:top w:val="nil"/>
            </w:tcBorders>
          </w:tcPr>
          <w:p w14:paraId="5357922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469" w:type="dxa"/>
            <w:vMerge w:val="continue"/>
            <w:tcBorders>
              <w:top w:val="nil"/>
            </w:tcBorders>
          </w:tcPr>
          <w:p w14:paraId="4EE023D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763" w:type="dxa"/>
          </w:tcPr>
          <w:p w14:paraId="47E3A847">
            <w:pPr>
              <w:kinsoku w:val="0"/>
              <w:autoSpaceDE w:val="0"/>
              <w:autoSpaceDN w:val="0"/>
              <w:adjustRightInd w:val="0"/>
              <w:snapToGrid w:val="0"/>
              <w:spacing w:before="110" w:line="279" w:lineRule="auto"/>
              <w:ind w:left="114" w:right="105"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w:t>
            </w:r>
            <w:r>
              <w:rPr>
                <w:rFonts w:ascii="宋体" w:hAnsi="宋体" w:cs="宋体"/>
                <w:snapToGrid w:val="0"/>
                <w:color w:val="000000" w:themeColor="text1"/>
                <w:spacing w:val="-5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除上述（1</w:t>
            </w:r>
            <w:r>
              <w:rPr>
                <w:rFonts w:ascii="宋体" w:hAnsi="宋体" w:cs="宋体"/>
                <w:snapToGrid w:val="0"/>
                <w:color w:val="000000" w:themeColor="text1"/>
                <w:spacing w:val="-9"/>
                <w:kern w:val="0"/>
                <w:sz w:val="20"/>
                <w:szCs w:val="20"/>
                <w:highlight w:val="none"/>
                <w14:textFill>
                  <w14:solidFill>
                    <w14:schemeClr w14:val="tx1"/>
                  </w14:solidFill>
                </w14:textFill>
              </w:rPr>
              <w:t>）</w:t>
            </w:r>
            <w:r>
              <w:rPr>
                <w:rFonts w:ascii="宋体" w:hAnsi="宋体" w:cs="宋体"/>
                <w:snapToGrid w:val="0"/>
                <w:color w:val="000000" w:themeColor="text1"/>
                <w:spacing w:val="-7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w:t>
            </w:r>
            <w:r>
              <w:rPr>
                <w:rFonts w:ascii="宋体" w:hAnsi="宋体" w:cs="宋体"/>
                <w:snapToGrid w:val="0"/>
                <w:color w:val="000000" w:themeColor="text1"/>
                <w:spacing w:val="8"/>
                <w:kern w:val="0"/>
                <w:sz w:val="20"/>
                <w:szCs w:val="20"/>
                <w:highlight w:val="none"/>
                <w14:textFill>
                  <w14:solidFill>
                    <w14:schemeClr w14:val="tx1"/>
                  </w14:solidFill>
                </w14:textFill>
              </w:rPr>
              <w:t>2）</w:t>
            </w:r>
            <w:r>
              <w:rPr>
                <w:rFonts w:ascii="宋体" w:hAnsi="宋体" w:cs="宋体"/>
                <w:snapToGrid w:val="0"/>
                <w:color w:val="000000" w:themeColor="text1"/>
                <w:spacing w:val="-5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的情形外，未</w:t>
            </w:r>
            <w:r>
              <w:rPr>
                <w:rFonts w:ascii="宋体" w:hAnsi="宋体" w:cs="宋体"/>
                <w:snapToGrid w:val="0"/>
                <w:color w:val="000000" w:themeColor="text1"/>
                <w:spacing w:val="9"/>
                <w:kern w:val="0"/>
                <w:sz w:val="20"/>
                <w:szCs w:val="20"/>
                <w:highlight w:val="none"/>
                <w14:textFill>
                  <w14:solidFill>
                    <w14:schemeClr w14:val="tx1"/>
                  </w14:solidFill>
                </w14:textFill>
              </w:rPr>
              <w:t>按合同约定有效开展承包人监管工作</w:t>
            </w:r>
          </w:p>
        </w:tc>
        <w:tc>
          <w:tcPr>
            <w:tcW w:w="1799" w:type="dxa"/>
          </w:tcPr>
          <w:p w14:paraId="5E300FFD">
            <w:pPr>
              <w:kinsoku w:val="0"/>
              <w:autoSpaceDE w:val="0"/>
              <w:autoSpaceDN w:val="0"/>
              <w:adjustRightInd w:val="0"/>
              <w:snapToGrid w:val="0"/>
              <w:spacing w:before="289" w:line="228" w:lineRule="auto"/>
              <w:ind w:left="30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5-10</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vMerge w:val="continue"/>
            <w:tcBorders>
              <w:top w:val="nil"/>
            </w:tcBorders>
          </w:tcPr>
          <w:p w14:paraId="6A3C2F2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4B98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50BDF864">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3E60FE5">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A56C87A">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8769838">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45E35D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AFEF9DF">
            <w:pPr>
              <w:kinsoku w:val="0"/>
              <w:autoSpaceDE w:val="0"/>
              <w:autoSpaceDN w:val="0"/>
              <w:adjustRightInd w:val="0"/>
              <w:snapToGrid w:val="0"/>
              <w:spacing w:before="65" w:line="270"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1469" w:type="dxa"/>
          </w:tcPr>
          <w:p w14:paraId="2639194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85DA012">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ED8E22E">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46559B7">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62F9B1F">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6DA13E1">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4.6.1</w:t>
            </w:r>
          </w:p>
        </w:tc>
        <w:tc>
          <w:tcPr>
            <w:tcW w:w="3763" w:type="dxa"/>
          </w:tcPr>
          <w:p w14:paraId="7485BDC9">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7130081">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AB870BD">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961C6F6">
            <w:pPr>
              <w:kinsoku w:val="0"/>
              <w:autoSpaceDE w:val="0"/>
              <w:autoSpaceDN w:val="0"/>
              <w:adjustRightInd w:val="0"/>
              <w:snapToGrid w:val="0"/>
              <w:spacing w:before="65" w:line="333" w:lineRule="auto"/>
              <w:ind w:left="112"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承包人在接到监理人要求人员进场的</w:t>
            </w:r>
            <w:r>
              <w:rPr>
                <w:rFonts w:ascii="宋体" w:hAnsi="宋体" w:cs="宋体"/>
                <w:snapToGrid w:val="0"/>
                <w:color w:val="000000" w:themeColor="text1"/>
                <w:spacing w:val="6"/>
                <w:kern w:val="0"/>
                <w:sz w:val="20"/>
                <w:szCs w:val="20"/>
                <w:highlight w:val="none"/>
                <w14:textFill>
                  <w14:solidFill>
                    <w14:schemeClr w14:val="tx1"/>
                  </w14:solidFill>
                </w14:textFill>
              </w:rPr>
              <w:t>通知</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天后仍未安排相关人员进场，从</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6</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天算起扣除承包人的违约金</w:t>
            </w:r>
          </w:p>
        </w:tc>
        <w:tc>
          <w:tcPr>
            <w:tcW w:w="1799" w:type="dxa"/>
          </w:tcPr>
          <w:p w14:paraId="6ECB809D">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70EB2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87B2CE">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4D3C2D8">
            <w:pPr>
              <w:kinsoku w:val="0"/>
              <w:autoSpaceDE w:val="0"/>
              <w:autoSpaceDN w:val="0"/>
              <w:adjustRightInd w:val="0"/>
              <w:snapToGrid w:val="0"/>
              <w:spacing w:before="65"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项目经理、项目总</w:t>
            </w:r>
          </w:p>
          <w:p w14:paraId="46F8A805">
            <w:pPr>
              <w:kinsoku w:val="0"/>
              <w:autoSpaceDE w:val="0"/>
              <w:autoSpaceDN w:val="0"/>
              <w:adjustRightInd w:val="0"/>
              <w:snapToGrid w:val="0"/>
              <w:spacing w:before="113" w:line="228" w:lineRule="auto"/>
              <w:ind w:left="12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工</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2</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万元/人日；</w:t>
            </w:r>
          </w:p>
          <w:p w14:paraId="3BE9D9A0">
            <w:pPr>
              <w:kinsoku w:val="0"/>
              <w:autoSpaceDE w:val="0"/>
              <w:autoSpaceDN w:val="0"/>
              <w:adjustRightInd w:val="0"/>
              <w:snapToGrid w:val="0"/>
              <w:spacing w:before="112" w:line="228" w:lineRule="auto"/>
              <w:ind w:left="17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其他主要技术人</w:t>
            </w:r>
          </w:p>
          <w:p w14:paraId="0836BADB">
            <w:pPr>
              <w:kinsoku w:val="0"/>
              <w:autoSpaceDE w:val="0"/>
              <w:autoSpaceDN w:val="0"/>
              <w:adjustRightInd w:val="0"/>
              <w:snapToGrid w:val="0"/>
              <w:spacing w:before="113" w:line="228" w:lineRule="auto"/>
              <w:ind w:left="23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员</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1</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万元/人日</w:t>
            </w:r>
          </w:p>
        </w:tc>
        <w:tc>
          <w:tcPr>
            <w:tcW w:w="1579" w:type="dxa"/>
          </w:tcPr>
          <w:p w14:paraId="3EA684BA">
            <w:pPr>
              <w:kinsoku w:val="0"/>
              <w:autoSpaceDE w:val="0"/>
              <w:autoSpaceDN w:val="0"/>
              <w:adjustRightInd w:val="0"/>
              <w:snapToGrid w:val="0"/>
              <w:spacing w:before="109" w:line="228" w:lineRule="auto"/>
              <w:ind w:left="16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如果承包人接</w:t>
            </w:r>
          </w:p>
          <w:p w14:paraId="2AFBA5DF">
            <w:pPr>
              <w:kinsoku w:val="0"/>
              <w:autoSpaceDE w:val="0"/>
              <w:autoSpaceDN w:val="0"/>
              <w:adjustRightInd w:val="0"/>
              <w:snapToGrid w:val="0"/>
              <w:spacing w:before="113" w:line="228" w:lineRule="auto"/>
              <w:ind w:left="1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9"/>
                <w:kern w:val="0"/>
                <w:sz w:val="20"/>
                <w:szCs w:val="20"/>
                <w:highlight w:val="none"/>
                <w:lang w:eastAsia="en-US"/>
                <w14:textFill>
                  <w14:solidFill>
                    <w14:schemeClr w14:val="tx1"/>
                  </w14:solidFill>
                </w14:textFill>
              </w:rPr>
              <w:t>到通知后</w:t>
            </w:r>
            <w:r>
              <w:rPr>
                <w:rFonts w:ascii="宋体" w:hAnsi="宋体" w:cs="宋体"/>
                <w:snapToGrid w:val="0"/>
                <w:color w:val="000000" w:themeColor="text1"/>
                <w:spacing w:val="-2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lang w:eastAsia="en-US"/>
                <w14:textFill>
                  <w14:solidFill>
                    <w14:schemeClr w14:val="tx1"/>
                  </w14:solidFill>
                </w14:textFill>
              </w:rPr>
              <w:t>15天</w:t>
            </w:r>
          </w:p>
          <w:p w14:paraId="64E85E25">
            <w:pPr>
              <w:kinsoku w:val="0"/>
              <w:autoSpaceDE w:val="0"/>
              <w:autoSpaceDN w:val="0"/>
              <w:adjustRightInd w:val="0"/>
              <w:snapToGrid w:val="0"/>
              <w:spacing w:before="113"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未安排相关人</w:t>
            </w:r>
          </w:p>
          <w:p w14:paraId="4D0346EC">
            <w:pPr>
              <w:kinsoku w:val="0"/>
              <w:autoSpaceDE w:val="0"/>
              <w:autoSpaceDN w:val="0"/>
              <w:adjustRightInd w:val="0"/>
              <w:snapToGrid w:val="0"/>
              <w:spacing w:before="112" w:line="228" w:lineRule="auto"/>
              <w:ind w:left="1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员进场，将要</w:t>
            </w:r>
          </w:p>
          <w:p w14:paraId="59B9FD3A">
            <w:pPr>
              <w:kinsoku w:val="0"/>
              <w:autoSpaceDE w:val="0"/>
              <w:autoSpaceDN w:val="0"/>
              <w:adjustRightInd w:val="0"/>
              <w:snapToGrid w:val="0"/>
              <w:spacing w:before="113" w:line="228" w:lineRule="auto"/>
              <w:ind w:left="27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求其更换人</w:t>
            </w:r>
          </w:p>
          <w:p w14:paraId="48D1FD1B">
            <w:pPr>
              <w:kinsoku w:val="0"/>
              <w:autoSpaceDE w:val="0"/>
              <w:autoSpaceDN w:val="0"/>
              <w:adjustRightInd w:val="0"/>
              <w:snapToGrid w:val="0"/>
              <w:spacing w:before="112" w:line="228" w:lineRule="auto"/>
              <w:ind w:left="16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选，同时执行</w:t>
            </w:r>
          </w:p>
          <w:p w14:paraId="286885CD">
            <w:pPr>
              <w:kinsoku w:val="0"/>
              <w:autoSpaceDE w:val="0"/>
              <w:autoSpaceDN w:val="0"/>
              <w:adjustRightInd w:val="0"/>
              <w:snapToGrid w:val="0"/>
              <w:spacing w:before="114"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人员更换违约</w:t>
            </w:r>
          </w:p>
          <w:p w14:paraId="566756EE">
            <w:pPr>
              <w:kinsoku w:val="0"/>
              <w:autoSpaceDE w:val="0"/>
              <w:autoSpaceDN w:val="0"/>
              <w:adjustRightInd w:val="0"/>
              <w:snapToGrid w:val="0"/>
              <w:spacing w:before="113" w:line="225" w:lineRule="auto"/>
              <w:ind w:left="5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条款</w:t>
            </w:r>
          </w:p>
        </w:tc>
      </w:tr>
      <w:tr w14:paraId="289AE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5" w:hRule="atLeast"/>
        </w:trPr>
        <w:tc>
          <w:tcPr>
            <w:tcW w:w="861" w:type="dxa"/>
          </w:tcPr>
          <w:p w14:paraId="0E1D78F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DEEAC9E">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1C419EA">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33CFD8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ED04546">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E5E52E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1773B5E">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34156DE">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2A68964">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46C9F9B">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7AB5A37">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AB6D779">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93C9F85">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8EE96BC">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5264E10">
            <w:pPr>
              <w:kinsoku w:val="0"/>
              <w:autoSpaceDE w:val="0"/>
              <w:autoSpaceDN w:val="0"/>
              <w:adjustRightInd w:val="0"/>
              <w:snapToGrid w:val="0"/>
              <w:spacing w:before="65" w:line="270"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1469" w:type="dxa"/>
          </w:tcPr>
          <w:p w14:paraId="7609238A">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C90E722">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85DE812">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685D6A7">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58D854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59E0D93">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174467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7A5963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EFB0B7B">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31649E6">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96A1182">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F614977">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335BC2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5EFB98A">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416A6BB">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4.6.3（1）</w:t>
            </w:r>
          </w:p>
        </w:tc>
        <w:tc>
          <w:tcPr>
            <w:tcW w:w="3763" w:type="dxa"/>
          </w:tcPr>
          <w:p w14:paraId="1027C008">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47275AB">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DA2B98B">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66F9FD4">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D237E96">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78F0F3B">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79CEE8">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8219DF">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BF98EE5">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0CEF7E0">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0E6CAF3">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0AD49A5">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96B211">
            <w:pPr>
              <w:kinsoku w:val="0"/>
              <w:autoSpaceDE w:val="0"/>
              <w:autoSpaceDN w:val="0"/>
              <w:adjustRightInd w:val="0"/>
              <w:snapToGrid w:val="0"/>
              <w:spacing w:before="65" w:line="333" w:lineRule="auto"/>
              <w:ind w:left="115"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项目经理、总工程师、质量总监、安全</w:t>
            </w:r>
            <w:r>
              <w:rPr>
                <w:rFonts w:ascii="宋体" w:hAnsi="宋体" w:cs="宋体"/>
                <w:snapToGrid w:val="0"/>
                <w:color w:val="000000" w:themeColor="text1"/>
                <w:spacing w:val="21"/>
                <w:kern w:val="0"/>
                <w:sz w:val="20"/>
                <w:szCs w:val="20"/>
                <w:highlight w:val="none"/>
                <w14:textFill>
                  <w14:solidFill>
                    <w14:schemeClr w14:val="tx1"/>
                  </w14:solidFill>
                </w14:textFill>
              </w:rPr>
              <w:t>总监或其他主要管理人员无故不到位</w:t>
            </w:r>
            <w:r>
              <w:rPr>
                <w:rFonts w:ascii="宋体" w:hAnsi="宋体" w:cs="宋体"/>
                <w:snapToGrid w:val="0"/>
                <w:color w:val="000000" w:themeColor="text1"/>
                <w:spacing w:val="6"/>
                <w:kern w:val="0"/>
                <w:sz w:val="20"/>
                <w:szCs w:val="20"/>
                <w:highlight w:val="none"/>
                <w14:textFill>
                  <w14:solidFill>
                    <w14:schemeClr w14:val="tx1"/>
                  </w14:solidFill>
                </w14:textFill>
              </w:rPr>
              <w:t>或被替换</w:t>
            </w:r>
          </w:p>
        </w:tc>
        <w:tc>
          <w:tcPr>
            <w:tcW w:w="1799" w:type="dxa"/>
          </w:tcPr>
          <w:p w14:paraId="0CCF1536">
            <w:pPr>
              <w:kinsoku w:val="0"/>
              <w:autoSpaceDE w:val="0"/>
              <w:autoSpaceDN w:val="0"/>
              <w:adjustRightInd w:val="0"/>
              <w:snapToGrid w:val="0"/>
              <w:spacing w:before="110" w:line="228" w:lineRule="auto"/>
              <w:ind w:left="17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根据施工合同段</w:t>
            </w:r>
          </w:p>
          <w:p w14:paraId="2333499E">
            <w:pPr>
              <w:kinsoku w:val="0"/>
              <w:autoSpaceDE w:val="0"/>
              <w:autoSpaceDN w:val="0"/>
              <w:adjustRightInd w:val="0"/>
              <w:snapToGrid w:val="0"/>
              <w:spacing w:before="113" w:line="228" w:lineRule="auto"/>
              <w:ind w:right="17"/>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规模调整，例如：</w:t>
            </w:r>
          </w:p>
          <w:p w14:paraId="7D1BEBC2">
            <w:pPr>
              <w:kinsoku w:val="0"/>
              <w:autoSpaceDE w:val="0"/>
              <w:autoSpaceDN w:val="0"/>
              <w:adjustRightInd w:val="0"/>
              <w:snapToGrid w:val="0"/>
              <w:spacing w:before="113"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规模在</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万以</w:t>
            </w:r>
          </w:p>
          <w:p w14:paraId="26BD4F82">
            <w:pPr>
              <w:kinsoku w:val="0"/>
              <w:autoSpaceDE w:val="0"/>
              <w:autoSpaceDN w:val="0"/>
              <w:adjustRightInd w:val="0"/>
              <w:snapToGrid w:val="0"/>
              <w:spacing w:before="113" w:line="228" w:lineRule="auto"/>
              <w:ind w:left="14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上，5000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万以下</w:t>
            </w:r>
          </w:p>
          <w:p w14:paraId="30F25602">
            <w:pPr>
              <w:kinsoku w:val="0"/>
              <w:autoSpaceDE w:val="0"/>
              <w:autoSpaceDN w:val="0"/>
              <w:adjustRightInd w:val="0"/>
              <w:snapToGrid w:val="0"/>
              <w:spacing w:before="113" w:line="228" w:lineRule="auto"/>
              <w:ind w:left="13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的，分别处以项目</w:t>
            </w:r>
          </w:p>
          <w:p w14:paraId="6FB9E3B0">
            <w:pPr>
              <w:kinsoku w:val="0"/>
              <w:autoSpaceDE w:val="0"/>
              <w:autoSpaceDN w:val="0"/>
              <w:adjustRightInd w:val="0"/>
              <w:snapToGrid w:val="0"/>
              <w:spacing w:before="112" w:line="228" w:lineRule="auto"/>
              <w:ind w:left="1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经理、总工程师</w:t>
            </w:r>
          </w:p>
          <w:p w14:paraId="50B2D59D">
            <w:pPr>
              <w:kinsoku w:val="0"/>
              <w:autoSpaceDE w:val="0"/>
              <w:autoSpaceDN w:val="0"/>
              <w:adjustRightInd w:val="0"/>
              <w:snapToGrid w:val="0"/>
              <w:spacing w:before="113"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20</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万/人次；质量</w:t>
            </w:r>
          </w:p>
          <w:p w14:paraId="5CFA5E13">
            <w:pPr>
              <w:kinsoku w:val="0"/>
              <w:autoSpaceDE w:val="0"/>
              <w:autoSpaceDN w:val="0"/>
              <w:adjustRightInd w:val="0"/>
              <w:snapToGrid w:val="0"/>
              <w:spacing w:before="113" w:line="229" w:lineRule="auto"/>
              <w:ind w:left="17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总监、安全总监</w:t>
            </w:r>
          </w:p>
          <w:p w14:paraId="7AFAA5A0">
            <w:pPr>
              <w:kinsoku w:val="0"/>
              <w:autoSpaceDE w:val="0"/>
              <w:autoSpaceDN w:val="0"/>
              <w:adjustRightInd w:val="0"/>
              <w:snapToGrid w:val="0"/>
              <w:spacing w:before="111" w:line="228" w:lineRule="auto"/>
              <w:ind w:left="13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10</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万/人次；其他</w:t>
            </w:r>
          </w:p>
          <w:p w14:paraId="26595D7B">
            <w:pPr>
              <w:kinsoku w:val="0"/>
              <w:autoSpaceDE w:val="0"/>
              <w:autoSpaceDN w:val="0"/>
              <w:adjustRightInd w:val="0"/>
              <w:snapToGrid w:val="0"/>
              <w:spacing w:before="112" w:line="228" w:lineRule="auto"/>
              <w:ind w:left="19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主要管理人员</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w:t>
            </w:r>
          </w:p>
          <w:p w14:paraId="25A78495">
            <w:pPr>
              <w:kinsoku w:val="0"/>
              <w:autoSpaceDE w:val="0"/>
              <w:autoSpaceDN w:val="0"/>
              <w:adjustRightInd w:val="0"/>
              <w:snapToGrid w:val="0"/>
              <w:spacing w:before="113" w:line="228" w:lineRule="auto"/>
              <w:ind w:left="22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万/人次罚款。</w:t>
            </w:r>
          </w:p>
          <w:p w14:paraId="13F9CFAA">
            <w:pPr>
              <w:kinsoku w:val="0"/>
              <w:autoSpaceDE w:val="0"/>
              <w:autoSpaceDN w:val="0"/>
              <w:adjustRightInd w:val="0"/>
              <w:snapToGrid w:val="0"/>
              <w:spacing w:before="113" w:line="228" w:lineRule="auto"/>
              <w:ind w:left="22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规模在</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5000</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以</w:t>
            </w:r>
          </w:p>
          <w:p w14:paraId="56AEFBB1">
            <w:pPr>
              <w:kinsoku w:val="0"/>
              <w:autoSpaceDE w:val="0"/>
              <w:autoSpaceDN w:val="0"/>
              <w:adjustRightInd w:val="0"/>
              <w:snapToGrid w:val="0"/>
              <w:spacing w:before="114" w:line="229"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上、1</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亿以下的，</w:t>
            </w:r>
          </w:p>
          <w:p w14:paraId="28F257B7">
            <w:pPr>
              <w:kinsoku w:val="0"/>
              <w:autoSpaceDE w:val="0"/>
              <w:autoSpaceDN w:val="0"/>
              <w:adjustRightInd w:val="0"/>
              <w:snapToGrid w:val="0"/>
              <w:spacing w:before="112" w:line="228" w:lineRule="auto"/>
              <w:ind w:left="17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分别处以项目经</w:t>
            </w:r>
          </w:p>
          <w:p w14:paraId="40A52BDE">
            <w:pPr>
              <w:kinsoku w:val="0"/>
              <w:autoSpaceDE w:val="0"/>
              <w:autoSpaceDN w:val="0"/>
              <w:adjustRightInd w:val="0"/>
              <w:snapToGrid w:val="0"/>
              <w:spacing w:before="112"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理、总工程师</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100</w:t>
            </w:r>
          </w:p>
          <w:p w14:paraId="07DA2D2A">
            <w:pPr>
              <w:kinsoku w:val="0"/>
              <w:autoSpaceDE w:val="0"/>
              <w:autoSpaceDN w:val="0"/>
              <w:adjustRightInd w:val="0"/>
              <w:snapToGrid w:val="0"/>
              <w:spacing w:before="113" w:line="228" w:lineRule="auto"/>
              <w:ind w:left="1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万/人次；质量总</w:t>
            </w:r>
          </w:p>
          <w:p w14:paraId="47042614">
            <w:pPr>
              <w:kinsoku w:val="0"/>
              <w:autoSpaceDE w:val="0"/>
              <w:autoSpaceDN w:val="0"/>
              <w:adjustRightInd w:val="0"/>
              <w:snapToGrid w:val="0"/>
              <w:spacing w:before="114" w:line="229" w:lineRule="auto"/>
              <w:ind w:left="14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监、安全总监</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50</w:t>
            </w:r>
          </w:p>
          <w:p w14:paraId="57C2DED0">
            <w:pPr>
              <w:kinsoku w:val="0"/>
              <w:autoSpaceDE w:val="0"/>
              <w:autoSpaceDN w:val="0"/>
              <w:adjustRightInd w:val="0"/>
              <w:snapToGrid w:val="0"/>
              <w:spacing w:before="111" w:line="228" w:lineRule="auto"/>
              <w:ind w:left="1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万/人次；其他主</w:t>
            </w:r>
          </w:p>
          <w:p w14:paraId="047B71D1">
            <w:pPr>
              <w:kinsoku w:val="0"/>
              <w:autoSpaceDE w:val="0"/>
              <w:autoSpaceDN w:val="0"/>
              <w:adjustRightInd w:val="0"/>
              <w:snapToGrid w:val="0"/>
              <w:spacing w:before="113"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要管理人员</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w:t>
            </w:r>
          </w:p>
          <w:p w14:paraId="1D4875A5">
            <w:pPr>
              <w:kinsoku w:val="0"/>
              <w:autoSpaceDE w:val="0"/>
              <w:autoSpaceDN w:val="0"/>
              <w:adjustRightInd w:val="0"/>
              <w:snapToGrid w:val="0"/>
              <w:spacing w:before="113" w:line="226" w:lineRule="auto"/>
              <w:ind w:left="38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人次罚款。</w:t>
            </w:r>
          </w:p>
        </w:tc>
        <w:tc>
          <w:tcPr>
            <w:tcW w:w="1579" w:type="dxa"/>
          </w:tcPr>
          <w:p w14:paraId="67A2B9DC">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49F3ED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D66D554">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BC341E4">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CEF729C">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CD13D9">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872266F">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EFA4FDC">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5CC1AA4">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F6AAF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F900486">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AA9A28A">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105E562">
            <w:pPr>
              <w:kinsoku w:val="0"/>
              <w:autoSpaceDE w:val="0"/>
              <w:autoSpaceDN w:val="0"/>
              <w:adjustRightInd w:val="0"/>
              <w:snapToGrid w:val="0"/>
              <w:spacing w:before="65"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7DEDDD73">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41383E38">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6A1667F6">
            <w:pPr>
              <w:kinsoku w:val="0"/>
              <w:autoSpaceDE w:val="0"/>
              <w:autoSpaceDN w:val="0"/>
              <w:adjustRightInd w:val="0"/>
              <w:snapToGrid w:val="0"/>
              <w:spacing w:before="113" w:line="229"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bl>
    <w:p w14:paraId="362ED9F9">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26D8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7873CA12">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469" w:type="dxa"/>
          </w:tcPr>
          <w:p w14:paraId="3097CC9F">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763" w:type="dxa"/>
          </w:tcPr>
          <w:p w14:paraId="2E4A8C55">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799" w:type="dxa"/>
          </w:tcPr>
          <w:p w14:paraId="54C8D7E2">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579" w:type="dxa"/>
          </w:tcPr>
          <w:p w14:paraId="5FE2D4C9">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1DB39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526E8F4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469" w:type="dxa"/>
          </w:tcPr>
          <w:p w14:paraId="27627D8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763" w:type="dxa"/>
          </w:tcPr>
          <w:p w14:paraId="58ACB58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99" w:type="dxa"/>
          </w:tcPr>
          <w:p w14:paraId="134F62D2">
            <w:pPr>
              <w:kinsoku w:val="0"/>
              <w:autoSpaceDE w:val="0"/>
              <w:autoSpaceDN w:val="0"/>
              <w:adjustRightInd w:val="0"/>
              <w:snapToGrid w:val="0"/>
              <w:spacing w:before="109" w:line="319" w:lineRule="auto"/>
              <w:ind w:left="115" w:right="104" w:firstLine="56"/>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规模在</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w:t>
            </w:r>
            <w:r>
              <w:rPr>
                <w:rFonts w:ascii="宋体" w:hAnsi="宋体" w:cs="宋体"/>
                <w:snapToGrid w:val="0"/>
                <w:color w:val="000000" w:themeColor="text1"/>
                <w:spacing w:val="-4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亿以上</w:t>
            </w:r>
            <w:r>
              <w:rPr>
                <w:rFonts w:ascii="宋体" w:hAnsi="宋体" w:cs="宋体"/>
                <w:snapToGrid w:val="0"/>
                <w:color w:val="000000" w:themeColor="text1"/>
                <w:spacing w:val="-4"/>
                <w:kern w:val="0"/>
                <w:sz w:val="20"/>
                <w:szCs w:val="20"/>
                <w:highlight w:val="none"/>
                <w14:textFill>
                  <w14:solidFill>
                    <w14:schemeClr w14:val="tx1"/>
                  </w14:solidFill>
                </w14:textFill>
              </w:rPr>
              <w:t>的，分别处以项目</w:t>
            </w:r>
            <w:r>
              <w:rPr>
                <w:rFonts w:ascii="宋体" w:hAnsi="宋体" w:cs="宋体"/>
                <w:snapToGrid w:val="0"/>
                <w:color w:val="000000" w:themeColor="text1"/>
                <w:spacing w:val="16"/>
                <w:kern w:val="0"/>
                <w:sz w:val="20"/>
                <w:szCs w:val="20"/>
                <w:highlight w:val="none"/>
                <w14:textFill>
                  <w14:solidFill>
                    <w14:schemeClr w14:val="tx1"/>
                  </w14:solidFill>
                </w14:textFill>
              </w:rPr>
              <w:t>经理、总工程师</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万/人次；质</w:t>
            </w:r>
            <w:r>
              <w:rPr>
                <w:rFonts w:ascii="宋体" w:hAnsi="宋体" w:cs="宋体"/>
                <w:snapToGrid w:val="0"/>
                <w:color w:val="000000" w:themeColor="text1"/>
                <w:spacing w:val="-4"/>
                <w:kern w:val="0"/>
                <w:sz w:val="20"/>
                <w:szCs w:val="20"/>
                <w:highlight w:val="none"/>
                <w14:textFill>
                  <w14:solidFill>
                    <w14:schemeClr w14:val="tx1"/>
                  </w14:solidFill>
                </w14:textFill>
              </w:rPr>
              <w:t>量总监、安全总监</w:t>
            </w:r>
            <w:r>
              <w:rPr>
                <w:rFonts w:ascii="宋体" w:hAnsi="宋体" w:cs="宋体"/>
                <w:snapToGrid w:val="0"/>
                <w:color w:val="000000" w:themeColor="text1"/>
                <w:spacing w:val="2"/>
                <w:kern w:val="0"/>
                <w:sz w:val="20"/>
                <w:szCs w:val="20"/>
                <w:highlight w:val="none"/>
                <w14:textFill>
                  <w14:solidFill>
                    <w14:schemeClr w14:val="tx1"/>
                  </w14:solidFill>
                </w14:textFill>
              </w:rPr>
              <w:t>/人次</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万；其</w:t>
            </w:r>
            <w:r>
              <w:rPr>
                <w:rFonts w:ascii="宋体" w:hAnsi="宋体" w:cs="宋体"/>
                <w:snapToGrid w:val="0"/>
                <w:color w:val="000000" w:themeColor="text1"/>
                <w:spacing w:val="16"/>
                <w:kern w:val="0"/>
                <w:sz w:val="20"/>
                <w:szCs w:val="20"/>
                <w:highlight w:val="none"/>
                <w14:textFill>
                  <w14:solidFill>
                    <w14:schemeClr w14:val="tx1"/>
                  </w14:solidFill>
                </w14:textFill>
              </w:rPr>
              <w:t>他主要管理人员</w:t>
            </w:r>
            <w:r>
              <w:rPr>
                <w:rFonts w:ascii="宋体" w:hAnsi="宋体" w:cs="宋体"/>
                <w:snapToGrid w:val="0"/>
                <w:color w:val="000000" w:themeColor="text1"/>
                <w:spacing w:val="8"/>
                <w:kern w:val="0"/>
                <w:sz w:val="20"/>
                <w:szCs w:val="20"/>
                <w:highlight w:val="none"/>
                <w14:textFill>
                  <w14:solidFill>
                    <w14:schemeClr w14:val="tx1"/>
                  </w14:solidFill>
                </w14:textFill>
              </w:rPr>
              <w:t>20</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万人次罚款。</w:t>
            </w:r>
          </w:p>
        </w:tc>
        <w:tc>
          <w:tcPr>
            <w:tcW w:w="1579" w:type="dxa"/>
          </w:tcPr>
          <w:p w14:paraId="48EE724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74394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5327EF9D">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01A4B3F">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E9A4170">
            <w:pPr>
              <w:kinsoku w:val="0"/>
              <w:autoSpaceDE w:val="0"/>
              <w:autoSpaceDN w:val="0"/>
              <w:adjustRightInd w:val="0"/>
              <w:snapToGrid w:val="0"/>
              <w:spacing w:before="65" w:line="268"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1469" w:type="dxa"/>
          </w:tcPr>
          <w:p w14:paraId="6E1521B9">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A6EA972">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747556F">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4.6.3（2）</w:t>
            </w:r>
          </w:p>
        </w:tc>
        <w:tc>
          <w:tcPr>
            <w:tcW w:w="3763" w:type="dxa"/>
          </w:tcPr>
          <w:p w14:paraId="145CC9E3">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1B72ECF">
            <w:pPr>
              <w:kinsoku w:val="0"/>
              <w:autoSpaceDE w:val="0"/>
              <w:autoSpaceDN w:val="0"/>
              <w:adjustRightInd w:val="0"/>
              <w:snapToGrid w:val="0"/>
              <w:spacing w:before="65" w:line="334" w:lineRule="auto"/>
              <w:ind w:left="151" w:right="105" w:hanging="3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承包人的档案资料整理负责人在本项</w:t>
            </w:r>
            <w:r>
              <w:rPr>
                <w:rFonts w:ascii="宋体" w:hAnsi="宋体" w:cs="宋体"/>
                <w:snapToGrid w:val="0"/>
                <w:color w:val="000000" w:themeColor="text1"/>
                <w:kern w:val="0"/>
                <w:sz w:val="20"/>
                <w:szCs w:val="20"/>
                <w:highlight w:val="none"/>
                <w14:textFill>
                  <w14:solidFill>
                    <w14:schemeClr w14:val="tx1"/>
                  </w14:solidFill>
                </w14:textFill>
              </w:rPr>
              <w:t>目连续工作不足</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1</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年。</w:t>
            </w:r>
          </w:p>
        </w:tc>
        <w:tc>
          <w:tcPr>
            <w:tcW w:w="1799" w:type="dxa"/>
          </w:tcPr>
          <w:p w14:paraId="42DDAC33">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145D2C">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0982EBE">
            <w:pPr>
              <w:kinsoku w:val="0"/>
              <w:autoSpaceDE w:val="0"/>
              <w:autoSpaceDN w:val="0"/>
              <w:adjustRightInd w:val="0"/>
              <w:snapToGrid w:val="0"/>
              <w:spacing w:before="65" w:line="228" w:lineRule="auto"/>
              <w:ind w:left="3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4"/>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万元/人次</w:t>
            </w:r>
          </w:p>
        </w:tc>
        <w:tc>
          <w:tcPr>
            <w:tcW w:w="1579" w:type="dxa"/>
          </w:tcPr>
          <w:p w14:paraId="669B7BBE">
            <w:pPr>
              <w:kinsoku w:val="0"/>
              <w:autoSpaceDE w:val="0"/>
              <w:autoSpaceDN w:val="0"/>
              <w:adjustRightInd w:val="0"/>
              <w:snapToGrid w:val="0"/>
              <w:spacing w:before="110"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58945408">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70C98CD1">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02AC8880">
            <w:pPr>
              <w:kinsoku w:val="0"/>
              <w:autoSpaceDE w:val="0"/>
              <w:autoSpaceDN w:val="0"/>
              <w:adjustRightInd w:val="0"/>
              <w:snapToGrid w:val="0"/>
              <w:spacing w:before="113" w:line="224"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009CF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7873B0E">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62BA125">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E8129D2">
            <w:pPr>
              <w:kinsoku w:val="0"/>
              <w:autoSpaceDE w:val="0"/>
              <w:autoSpaceDN w:val="0"/>
              <w:adjustRightInd w:val="0"/>
              <w:snapToGrid w:val="0"/>
              <w:spacing w:before="65" w:line="270"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1469" w:type="dxa"/>
          </w:tcPr>
          <w:p w14:paraId="363D2378">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4BBEBB4">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801150E">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4.6.3（2）</w:t>
            </w:r>
          </w:p>
        </w:tc>
        <w:tc>
          <w:tcPr>
            <w:tcW w:w="3763" w:type="dxa"/>
          </w:tcPr>
          <w:p w14:paraId="70C9D4F8">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61A049">
            <w:pPr>
              <w:kinsoku w:val="0"/>
              <w:autoSpaceDE w:val="0"/>
              <w:autoSpaceDN w:val="0"/>
              <w:adjustRightInd w:val="0"/>
              <w:snapToGrid w:val="0"/>
              <w:spacing w:before="65" w:line="334" w:lineRule="auto"/>
              <w:ind w:left="120" w:right="105" w:hanging="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擅自更换档案资料整理负责人或档案</w:t>
            </w:r>
            <w:r>
              <w:rPr>
                <w:rFonts w:ascii="宋体" w:hAnsi="宋体" w:cs="宋体"/>
                <w:snapToGrid w:val="0"/>
                <w:color w:val="000000" w:themeColor="text1"/>
                <w:kern w:val="0"/>
                <w:sz w:val="20"/>
                <w:szCs w:val="20"/>
                <w:highlight w:val="none"/>
                <w14:textFill>
                  <w14:solidFill>
                    <w14:schemeClr w14:val="tx1"/>
                  </w14:solidFill>
                </w14:textFill>
              </w:rPr>
              <w:t>员</w:t>
            </w:r>
          </w:p>
        </w:tc>
        <w:tc>
          <w:tcPr>
            <w:tcW w:w="1799" w:type="dxa"/>
          </w:tcPr>
          <w:p w14:paraId="570698C1">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8F5886F">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28E74C6">
            <w:pPr>
              <w:kinsoku w:val="0"/>
              <w:autoSpaceDE w:val="0"/>
              <w:autoSpaceDN w:val="0"/>
              <w:adjustRightInd w:val="0"/>
              <w:snapToGrid w:val="0"/>
              <w:spacing w:before="65" w:line="228" w:lineRule="auto"/>
              <w:ind w:left="3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4"/>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万元/人次</w:t>
            </w:r>
          </w:p>
        </w:tc>
        <w:tc>
          <w:tcPr>
            <w:tcW w:w="1579" w:type="dxa"/>
          </w:tcPr>
          <w:p w14:paraId="1C647CE7">
            <w:pPr>
              <w:kinsoku w:val="0"/>
              <w:autoSpaceDE w:val="0"/>
              <w:autoSpaceDN w:val="0"/>
              <w:adjustRightInd w:val="0"/>
              <w:snapToGrid w:val="0"/>
              <w:spacing w:before="111"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1B4F682F">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48430299">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35FDC2B8">
            <w:pPr>
              <w:kinsoku w:val="0"/>
              <w:autoSpaceDE w:val="0"/>
              <w:autoSpaceDN w:val="0"/>
              <w:adjustRightInd w:val="0"/>
              <w:snapToGrid w:val="0"/>
              <w:spacing w:before="113" w:line="224"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47393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097F818F">
            <w:pPr>
              <w:kinsoku w:val="0"/>
              <w:autoSpaceDE w:val="0"/>
              <w:autoSpaceDN w:val="0"/>
              <w:adjustRightInd w:val="0"/>
              <w:snapToGrid w:val="0"/>
              <w:spacing w:before="292" w:line="268"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1469" w:type="dxa"/>
          </w:tcPr>
          <w:p w14:paraId="2D49FFC4">
            <w:pPr>
              <w:kinsoku w:val="0"/>
              <w:autoSpaceDE w:val="0"/>
              <w:autoSpaceDN w:val="0"/>
              <w:adjustRightInd w:val="0"/>
              <w:snapToGrid w:val="0"/>
              <w:spacing w:before="292"/>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4.6.3（3）</w:t>
            </w:r>
          </w:p>
        </w:tc>
        <w:tc>
          <w:tcPr>
            <w:tcW w:w="3763" w:type="dxa"/>
          </w:tcPr>
          <w:p w14:paraId="7A9C3DFF">
            <w:pPr>
              <w:kinsoku w:val="0"/>
              <w:autoSpaceDE w:val="0"/>
              <w:autoSpaceDN w:val="0"/>
              <w:adjustRightInd w:val="0"/>
              <w:snapToGrid w:val="0"/>
              <w:spacing w:before="112" w:line="278" w:lineRule="auto"/>
              <w:ind w:left="118" w:right="105"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项目经理、总工程师、质量总监、安全</w:t>
            </w:r>
            <w:r>
              <w:rPr>
                <w:rFonts w:ascii="宋体" w:hAnsi="宋体" w:cs="宋体"/>
                <w:snapToGrid w:val="0"/>
                <w:color w:val="000000" w:themeColor="text1"/>
                <w:spacing w:val="6"/>
                <w:kern w:val="0"/>
                <w:sz w:val="20"/>
                <w:szCs w:val="20"/>
                <w:highlight w:val="none"/>
                <w14:textFill>
                  <w14:solidFill>
                    <w14:schemeClr w14:val="tx1"/>
                  </w14:solidFill>
                </w14:textFill>
              </w:rPr>
              <w:t>总监被认定存在“挂名</w:t>
            </w:r>
            <w:r>
              <w:rPr>
                <w:rFonts w:ascii="宋体" w:hAnsi="宋体" w:cs="宋体"/>
                <w:snapToGrid w:val="0"/>
                <w:color w:val="000000" w:themeColor="text1"/>
                <w:spacing w:val="-6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”现象的</w:t>
            </w:r>
          </w:p>
        </w:tc>
        <w:tc>
          <w:tcPr>
            <w:tcW w:w="1799" w:type="dxa"/>
          </w:tcPr>
          <w:p w14:paraId="7BFBD626">
            <w:pPr>
              <w:kinsoku w:val="0"/>
              <w:autoSpaceDE w:val="0"/>
              <w:autoSpaceDN w:val="0"/>
              <w:adjustRightInd w:val="0"/>
              <w:snapToGrid w:val="0"/>
              <w:spacing w:before="291" w:line="228" w:lineRule="auto"/>
              <w:ind w:left="35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万元/人次</w:t>
            </w:r>
          </w:p>
        </w:tc>
        <w:tc>
          <w:tcPr>
            <w:tcW w:w="1579" w:type="dxa"/>
          </w:tcPr>
          <w:p w14:paraId="50F6D3A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D948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53F503B4">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8AE303B">
            <w:pPr>
              <w:kinsoku w:val="0"/>
              <w:autoSpaceDE w:val="0"/>
              <w:autoSpaceDN w:val="0"/>
              <w:adjustRightInd w:val="0"/>
              <w:snapToGrid w:val="0"/>
              <w:spacing w:before="65" w:line="268"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1469" w:type="dxa"/>
          </w:tcPr>
          <w:p w14:paraId="61A3C5EB">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5D47DE8">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4.6.3（3）</w:t>
            </w:r>
          </w:p>
        </w:tc>
        <w:tc>
          <w:tcPr>
            <w:tcW w:w="3763" w:type="dxa"/>
          </w:tcPr>
          <w:p w14:paraId="6B6C3AFE">
            <w:pPr>
              <w:kinsoku w:val="0"/>
              <w:autoSpaceDE w:val="0"/>
              <w:autoSpaceDN w:val="0"/>
              <w:adjustRightInd w:val="0"/>
              <w:snapToGrid w:val="0"/>
              <w:spacing w:before="112" w:line="296" w:lineRule="auto"/>
              <w:ind w:left="116"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项目经理、总工程师、质量总监、安全</w:t>
            </w:r>
            <w:r>
              <w:rPr>
                <w:rFonts w:ascii="宋体" w:hAnsi="宋体" w:cs="宋体"/>
                <w:snapToGrid w:val="0"/>
                <w:color w:val="000000" w:themeColor="text1"/>
                <w:spacing w:val="5"/>
                <w:kern w:val="0"/>
                <w:sz w:val="20"/>
                <w:szCs w:val="20"/>
                <w:highlight w:val="none"/>
                <w14:textFill>
                  <w14:solidFill>
                    <w14:schemeClr w14:val="tx1"/>
                  </w14:solidFill>
                </w14:textFill>
              </w:rPr>
              <w:t>总监驻守现场不足</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22</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天/月，处以不足</w:t>
            </w:r>
            <w:r>
              <w:rPr>
                <w:rFonts w:ascii="宋体" w:hAnsi="宋体" w:cs="宋体"/>
                <w:snapToGrid w:val="0"/>
                <w:color w:val="000000" w:themeColor="text1"/>
                <w:spacing w:val="6"/>
                <w:kern w:val="0"/>
                <w:sz w:val="20"/>
                <w:szCs w:val="20"/>
                <w:highlight w:val="none"/>
                <w14:textFill>
                  <w14:solidFill>
                    <w14:schemeClr w14:val="tx1"/>
                  </w14:solidFill>
                </w14:textFill>
              </w:rPr>
              <w:t>天数的违约金。</w:t>
            </w:r>
          </w:p>
        </w:tc>
        <w:tc>
          <w:tcPr>
            <w:tcW w:w="1799" w:type="dxa"/>
          </w:tcPr>
          <w:p w14:paraId="22DA35C7">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3630C50">
            <w:pPr>
              <w:kinsoku w:val="0"/>
              <w:autoSpaceDE w:val="0"/>
              <w:autoSpaceDN w:val="0"/>
              <w:adjustRightInd w:val="0"/>
              <w:snapToGrid w:val="0"/>
              <w:spacing w:before="65" w:line="228" w:lineRule="auto"/>
              <w:ind w:left="30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5000</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元/人日</w:t>
            </w:r>
          </w:p>
        </w:tc>
        <w:tc>
          <w:tcPr>
            <w:tcW w:w="1579" w:type="dxa"/>
          </w:tcPr>
          <w:p w14:paraId="7A801A0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1FD9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861" w:type="dxa"/>
          </w:tcPr>
          <w:p w14:paraId="5BA51FBA">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5C17084">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C173391">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A14DA9A">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1469" w:type="dxa"/>
          </w:tcPr>
          <w:p w14:paraId="3E3BA2C7">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42AC4EA">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0F3738A">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ABB1ACE">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4.6.3（4）</w:t>
            </w:r>
          </w:p>
        </w:tc>
        <w:tc>
          <w:tcPr>
            <w:tcW w:w="3763" w:type="dxa"/>
          </w:tcPr>
          <w:p w14:paraId="2FAD5008">
            <w:pPr>
              <w:kinsoku w:val="0"/>
              <w:autoSpaceDE w:val="0"/>
              <w:autoSpaceDN w:val="0"/>
              <w:adjustRightInd w:val="0"/>
              <w:snapToGrid w:val="0"/>
              <w:spacing w:before="113" w:line="314" w:lineRule="auto"/>
              <w:ind w:left="112" w:right="10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专职安全生产管理人员没有按规定配</w:t>
            </w:r>
            <w:r>
              <w:rPr>
                <w:rFonts w:ascii="宋体" w:hAnsi="宋体" w:cs="宋体"/>
                <w:snapToGrid w:val="0"/>
                <w:color w:val="000000" w:themeColor="text1"/>
                <w:spacing w:val="2"/>
                <w:kern w:val="0"/>
                <w:sz w:val="20"/>
                <w:szCs w:val="20"/>
                <w:highlight w:val="none"/>
                <w14:textFill>
                  <w14:solidFill>
                    <w14:schemeClr w14:val="tx1"/>
                  </w14:solidFill>
                </w14:textFill>
              </w:rPr>
              <w:t>备：年度施工产值</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万元以上不足</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2</w:t>
            </w:r>
            <w:r>
              <w:rPr>
                <w:rFonts w:ascii="宋体" w:hAnsi="宋体" w:cs="宋体"/>
                <w:snapToGrid w:val="0"/>
                <w:color w:val="000000" w:themeColor="text1"/>
                <w:spacing w:val="7"/>
                <w:kern w:val="0"/>
                <w:sz w:val="20"/>
                <w:szCs w:val="20"/>
                <w:highlight w:val="none"/>
                <w14:textFill>
                  <w14:solidFill>
                    <w14:schemeClr w14:val="tx1"/>
                  </w14:solidFill>
                </w14:textFill>
              </w:rPr>
              <w:t>亿元的按每</w:t>
            </w:r>
            <w:r>
              <w:rPr>
                <w:rFonts w:ascii="宋体" w:hAnsi="宋体" w:cs="宋体"/>
                <w:snapToGrid w:val="0"/>
                <w:color w:val="000000" w:themeColor="text1"/>
                <w:spacing w:val="-1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万元不少于</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名的比</w:t>
            </w:r>
            <w:r>
              <w:rPr>
                <w:rFonts w:ascii="宋体" w:hAnsi="宋体" w:cs="宋体"/>
                <w:snapToGrid w:val="0"/>
                <w:color w:val="000000" w:themeColor="text1"/>
                <w:spacing w:val="8"/>
                <w:kern w:val="0"/>
                <w:sz w:val="20"/>
                <w:szCs w:val="20"/>
                <w:highlight w:val="none"/>
                <w14:textFill>
                  <w14:solidFill>
                    <w14:schemeClr w14:val="tx1"/>
                  </w14:solidFill>
                </w14:textFill>
              </w:rPr>
              <w:t>例配备；2</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亿元以上的不少于</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名，且</w:t>
            </w:r>
            <w:r>
              <w:rPr>
                <w:rFonts w:ascii="宋体" w:hAnsi="宋体" w:cs="宋体"/>
                <w:snapToGrid w:val="0"/>
                <w:color w:val="000000" w:themeColor="text1"/>
                <w:spacing w:val="12"/>
                <w:kern w:val="0"/>
                <w:sz w:val="20"/>
                <w:szCs w:val="20"/>
                <w:highlight w:val="none"/>
                <w14:textFill>
                  <w14:solidFill>
                    <w14:schemeClr w14:val="tx1"/>
                  </w14:solidFill>
                </w14:textFill>
              </w:rPr>
              <w:t>按专业配备（不足</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5000</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万至少配备</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名）。</w:t>
            </w:r>
          </w:p>
        </w:tc>
        <w:tc>
          <w:tcPr>
            <w:tcW w:w="1799" w:type="dxa"/>
          </w:tcPr>
          <w:p w14:paraId="399D276E">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D5E5466">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1B3B108">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25E0FD">
            <w:pPr>
              <w:kinsoku w:val="0"/>
              <w:autoSpaceDE w:val="0"/>
              <w:autoSpaceDN w:val="0"/>
              <w:adjustRightInd w:val="0"/>
              <w:snapToGrid w:val="0"/>
              <w:spacing w:before="65" w:line="228" w:lineRule="auto"/>
              <w:ind w:left="35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万元/人次</w:t>
            </w:r>
          </w:p>
        </w:tc>
        <w:tc>
          <w:tcPr>
            <w:tcW w:w="1579" w:type="dxa"/>
          </w:tcPr>
          <w:p w14:paraId="3E274BE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FF99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7276F4A3">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6A22F7F">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1469" w:type="dxa"/>
          </w:tcPr>
          <w:p w14:paraId="4E493292">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BFD0D28">
            <w:pPr>
              <w:kinsoku w:val="0"/>
              <w:autoSpaceDE w:val="0"/>
              <w:autoSpaceDN w:val="0"/>
              <w:adjustRightInd w:val="0"/>
              <w:snapToGrid w:val="0"/>
              <w:spacing w:before="65"/>
              <w:ind w:left="2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4.6.3（5）</w:t>
            </w:r>
          </w:p>
        </w:tc>
        <w:tc>
          <w:tcPr>
            <w:tcW w:w="3763" w:type="dxa"/>
          </w:tcPr>
          <w:p w14:paraId="6EE55EC9">
            <w:pPr>
              <w:kinsoku w:val="0"/>
              <w:autoSpaceDE w:val="0"/>
              <w:autoSpaceDN w:val="0"/>
              <w:adjustRightInd w:val="0"/>
              <w:snapToGrid w:val="0"/>
              <w:spacing w:before="112" w:line="296" w:lineRule="auto"/>
              <w:ind w:left="113" w:right="105" w:firstLine="2"/>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0"/>
                <w:kern w:val="0"/>
                <w:sz w:val="20"/>
                <w:szCs w:val="20"/>
                <w:highlight w:val="none"/>
                <w14:textFill>
                  <w14:solidFill>
                    <w14:schemeClr w14:val="tx1"/>
                  </w14:solidFill>
                </w14:textFill>
              </w:rPr>
              <w:t>项目经理或总工程师无故缺席发包人</w:t>
            </w:r>
            <w:r>
              <w:rPr>
                <w:rFonts w:ascii="宋体" w:hAnsi="宋体" w:cs="宋体"/>
                <w:snapToGrid w:val="0"/>
                <w:color w:val="000000" w:themeColor="text1"/>
                <w:spacing w:val="8"/>
                <w:kern w:val="0"/>
                <w:sz w:val="20"/>
                <w:szCs w:val="20"/>
                <w:highlight w:val="none"/>
                <w14:textFill>
                  <w14:solidFill>
                    <w14:schemeClr w14:val="tx1"/>
                  </w14:solidFill>
                </w14:textFill>
              </w:rPr>
              <w:t>指定的各种会议，包括监理人主持的重</w:t>
            </w:r>
            <w:r>
              <w:rPr>
                <w:rFonts w:ascii="宋体" w:hAnsi="宋体" w:cs="宋体"/>
                <w:snapToGrid w:val="0"/>
                <w:color w:val="000000" w:themeColor="text1"/>
                <w:spacing w:val="7"/>
                <w:kern w:val="0"/>
                <w:sz w:val="20"/>
                <w:szCs w:val="20"/>
                <w:highlight w:val="none"/>
                <w14:textFill>
                  <w14:solidFill>
                    <w14:schemeClr w14:val="tx1"/>
                  </w14:solidFill>
                </w14:textFill>
              </w:rPr>
              <w:t>要会议（如工地例会等）。</w:t>
            </w:r>
          </w:p>
        </w:tc>
        <w:tc>
          <w:tcPr>
            <w:tcW w:w="1799" w:type="dxa"/>
          </w:tcPr>
          <w:p w14:paraId="4247A449">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63BD04">
            <w:pPr>
              <w:kinsoku w:val="0"/>
              <w:autoSpaceDE w:val="0"/>
              <w:autoSpaceDN w:val="0"/>
              <w:adjustRightInd w:val="0"/>
              <w:snapToGrid w:val="0"/>
              <w:spacing w:before="65" w:line="228" w:lineRule="auto"/>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万元/次</w:t>
            </w:r>
          </w:p>
        </w:tc>
        <w:tc>
          <w:tcPr>
            <w:tcW w:w="1579" w:type="dxa"/>
          </w:tcPr>
          <w:p w14:paraId="2822C0F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7A20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028EAEA3">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2DBF308">
            <w:pPr>
              <w:kinsoku w:val="0"/>
              <w:autoSpaceDE w:val="0"/>
              <w:autoSpaceDN w:val="0"/>
              <w:adjustRightInd w:val="0"/>
              <w:snapToGrid w:val="0"/>
              <w:spacing w:before="65" w:line="269" w:lineRule="exact"/>
              <w:ind w:left="34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1469" w:type="dxa"/>
          </w:tcPr>
          <w:p w14:paraId="7AB6CC4C">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57345A3">
            <w:pPr>
              <w:kinsoku w:val="0"/>
              <w:autoSpaceDE w:val="0"/>
              <w:autoSpaceDN w:val="0"/>
              <w:adjustRightInd w:val="0"/>
              <w:snapToGrid w:val="0"/>
              <w:spacing w:before="65"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4.6.6</w:t>
            </w:r>
          </w:p>
        </w:tc>
        <w:tc>
          <w:tcPr>
            <w:tcW w:w="3763" w:type="dxa"/>
          </w:tcPr>
          <w:p w14:paraId="7F2D739E">
            <w:pPr>
              <w:kinsoku w:val="0"/>
              <w:autoSpaceDE w:val="0"/>
              <w:autoSpaceDN w:val="0"/>
              <w:adjustRightInd w:val="0"/>
              <w:snapToGrid w:val="0"/>
              <w:spacing w:before="112" w:line="296" w:lineRule="auto"/>
              <w:ind w:left="114" w:right="105" w:firstLine="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不签订劳动合同、非法使用农民工的，</w:t>
            </w:r>
            <w:r>
              <w:rPr>
                <w:rFonts w:ascii="宋体" w:hAnsi="宋体" w:cs="宋体"/>
                <w:snapToGrid w:val="0"/>
                <w:color w:val="000000" w:themeColor="text1"/>
                <w:spacing w:val="8"/>
                <w:kern w:val="0"/>
                <w:sz w:val="20"/>
                <w:szCs w:val="20"/>
                <w:highlight w:val="none"/>
                <w14:textFill>
                  <w14:solidFill>
                    <w14:schemeClr w14:val="tx1"/>
                  </w14:solidFill>
                </w14:textFill>
              </w:rPr>
              <w:t>或者拖延和克扣农民工工资的，由此造成劳务人员上访或劳动纠纷的。</w:t>
            </w:r>
          </w:p>
        </w:tc>
        <w:tc>
          <w:tcPr>
            <w:tcW w:w="1799" w:type="dxa"/>
          </w:tcPr>
          <w:p w14:paraId="3CD0BBFE">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321F7F1">
            <w:pPr>
              <w:kinsoku w:val="0"/>
              <w:autoSpaceDE w:val="0"/>
              <w:autoSpaceDN w:val="0"/>
              <w:adjustRightInd w:val="0"/>
              <w:snapToGrid w:val="0"/>
              <w:spacing w:before="65" w:line="228" w:lineRule="auto"/>
              <w:ind w:left="4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5"/>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lang w:eastAsia="en-US"/>
                <w14:textFill>
                  <w14:solidFill>
                    <w14:schemeClr w14:val="tx1"/>
                  </w14:solidFill>
                </w14:textFill>
              </w:rPr>
              <w:t>万元/次</w:t>
            </w:r>
          </w:p>
        </w:tc>
        <w:tc>
          <w:tcPr>
            <w:tcW w:w="1579" w:type="dxa"/>
          </w:tcPr>
          <w:p w14:paraId="19F45CF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9C35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861" w:type="dxa"/>
          </w:tcPr>
          <w:p w14:paraId="4288253B">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7C93925">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1469" w:type="dxa"/>
          </w:tcPr>
          <w:p w14:paraId="6932FF51">
            <w:pPr>
              <w:widowControl/>
              <w:kinsoku w:val="0"/>
              <w:autoSpaceDE w:val="0"/>
              <w:autoSpaceDN w:val="0"/>
              <w:adjustRightInd w:val="0"/>
              <w:snapToGrid w:val="0"/>
              <w:spacing w:line="40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394C195">
            <w:pPr>
              <w:kinsoku w:val="0"/>
              <w:autoSpaceDE w:val="0"/>
              <w:autoSpaceDN w:val="0"/>
              <w:adjustRightInd w:val="0"/>
              <w:snapToGrid w:val="0"/>
              <w:spacing w:before="65" w:line="267"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4.6.6</w:t>
            </w:r>
          </w:p>
        </w:tc>
        <w:tc>
          <w:tcPr>
            <w:tcW w:w="3763" w:type="dxa"/>
          </w:tcPr>
          <w:p w14:paraId="6B1BD183">
            <w:pPr>
              <w:kinsoku w:val="0"/>
              <w:autoSpaceDE w:val="0"/>
              <w:autoSpaceDN w:val="0"/>
              <w:adjustRightInd w:val="0"/>
              <w:snapToGrid w:val="0"/>
              <w:spacing w:before="114" w:line="296" w:lineRule="auto"/>
              <w:ind w:left="115"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未按交通运输主管部门、上级主管或管</w:t>
            </w:r>
            <w:r>
              <w:rPr>
                <w:rFonts w:ascii="宋体" w:hAnsi="宋体" w:cs="宋体"/>
                <w:snapToGrid w:val="0"/>
                <w:color w:val="000000" w:themeColor="text1"/>
                <w:spacing w:val="21"/>
                <w:kern w:val="0"/>
                <w:sz w:val="20"/>
                <w:szCs w:val="20"/>
                <w:highlight w:val="none"/>
                <w14:textFill>
                  <w14:solidFill>
                    <w14:schemeClr w14:val="tx1"/>
                  </w14:solidFill>
                </w14:textFill>
              </w:rPr>
              <w:t>理单位等要求落实从业人员实名制管</w:t>
            </w:r>
            <w:r>
              <w:rPr>
                <w:rFonts w:ascii="宋体" w:hAnsi="宋体" w:cs="宋体"/>
                <w:snapToGrid w:val="0"/>
                <w:color w:val="000000" w:themeColor="text1"/>
                <w:spacing w:val="7"/>
                <w:kern w:val="0"/>
                <w:sz w:val="20"/>
                <w:szCs w:val="20"/>
                <w:highlight w:val="none"/>
                <w14:textFill>
                  <w14:solidFill>
                    <w14:schemeClr w14:val="tx1"/>
                  </w14:solidFill>
                </w14:textFill>
              </w:rPr>
              <w:t>理和工资支付管理的。</w:t>
            </w:r>
          </w:p>
        </w:tc>
        <w:tc>
          <w:tcPr>
            <w:tcW w:w="1799" w:type="dxa"/>
          </w:tcPr>
          <w:p w14:paraId="4D105343">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4E8B5B">
            <w:pPr>
              <w:kinsoku w:val="0"/>
              <w:autoSpaceDE w:val="0"/>
              <w:autoSpaceDN w:val="0"/>
              <w:adjustRightInd w:val="0"/>
              <w:snapToGrid w:val="0"/>
              <w:spacing w:before="65"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579" w:type="dxa"/>
          </w:tcPr>
          <w:p w14:paraId="6E7404D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4FA89FF0">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F738219">
      <w:pPr>
        <w:rPr>
          <w:color w:val="000000" w:themeColor="text1"/>
          <w:highlight w:val="none"/>
          <w14:textFill>
            <w14:solidFill>
              <w14:schemeClr w14:val="tx1"/>
            </w14:solidFill>
          </w14:textFill>
        </w:rPr>
        <w:sectPr>
          <w:footerReference r:id="rId69" w:type="default"/>
          <w:pgSz w:w="11906" w:h="16839"/>
          <w:pgMar w:top="1182" w:right="1125" w:bottom="1168" w:left="1304" w:header="849" w:footer="934" w:gutter="0"/>
          <w:cols w:space="720" w:num="1"/>
        </w:sectPr>
      </w:pPr>
    </w:p>
    <w:p w14:paraId="397890E8">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253"/>
        <w:gridCol w:w="3598"/>
        <w:gridCol w:w="1980"/>
        <w:gridCol w:w="1779"/>
      </w:tblGrid>
      <w:tr w14:paraId="2DAE7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63B1C958">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253" w:type="dxa"/>
          </w:tcPr>
          <w:p w14:paraId="48473742">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598" w:type="dxa"/>
          </w:tcPr>
          <w:p w14:paraId="314C0EEE">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980" w:type="dxa"/>
          </w:tcPr>
          <w:p w14:paraId="4F1D3459">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779" w:type="dxa"/>
          </w:tcPr>
          <w:p w14:paraId="5F15AC69">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1687C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778A71BF">
            <w:pPr>
              <w:kinsoku w:val="0"/>
              <w:autoSpaceDE w:val="0"/>
              <w:autoSpaceDN w:val="0"/>
              <w:adjustRightInd w:val="0"/>
              <w:snapToGrid w:val="0"/>
              <w:spacing w:before="211"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1253" w:type="dxa"/>
          </w:tcPr>
          <w:p w14:paraId="52AEAACA">
            <w:pPr>
              <w:kinsoku w:val="0"/>
              <w:autoSpaceDE w:val="0"/>
              <w:autoSpaceDN w:val="0"/>
              <w:adjustRightInd w:val="0"/>
              <w:snapToGrid w:val="0"/>
              <w:spacing w:before="211" w:line="267"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4.6.7</w:t>
            </w:r>
          </w:p>
        </w:tc>
        <w:tc>
          <w:tcPr>
            <w:tcW w:w="3598" w:type="dxa"/>
          </w:tcPr>
          <w:p w14:paraId="0E34DCB8">
            <w:pPr>
              <w:kinsoku w:val="0"/>
              <w:autoSpaceDE w:val="0"/>
              <w:autoSpaceDN w:val="0"/>
              <w:adjustRightInd w:val="0"/>
              <w:snapToGrid w:val="0"/>
              <w:spacing w:before="210"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分项工程的施工员没在现场管理的</w:t>
            </w:r>
          </w:p>
        </w:tc>
        <w:tc>
          <w:tcPr>
            <w:tcW w:w="1980" w:type="dxa"/>
          </w:tcPr>
          <w:p w14:paraId="24ADB14D">
            <w:pPr>
              <w:kinsoku w:val="0"/>
              <w:autoSpaceDE w:val="0"/>
              <w:autoSpaceDN w:val="0"/>
              <w:adjustRightInd w:val="0"/>
              <w:snapToGrid w:val="0"/>
              <w:spacing w:before="210" w:line="228" w:lineRule="auto"/>
              <w:ind w:left="4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1000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lang w:eastAsia="en-US"/>
                <w14:textFill>
                  <w14:solidFill>
                    <w14:schemeClr w14:val="tx1"/>
                  </w14:solidFill>
                </w14:textFill>
              </w:rPr>
              <w:t>元/次</w:t>
            </w:r>
          </w:p>
        </w:tc>
        <w:tc>
          <w:tcPr>
            <w:tcW w:w="1779" w:type="dxa"/>
          </w:tcPr>
          <w:p w14:paraId="53C931A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ED5B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F3AA05B">
            <w:pPr>
              <w:kinsoku w:val="0"/>
              <w:autoSpaceDE w:val="0"/>
              <w:autoSpaceDN w:val="0"/>
              <w:adjustRightInd w:val="0"/>
              <w:snapToGrid w:val="0"/>
              <w:spacing w:before="289"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1253" w:type="dxa"/>
          </w:tcPr>
          <w:p w14:paraId="519C2DAB">
            <w:pPr>
              <w:kinsoku w:val="0"/>
              <w:autoSpaceDE w:val="0"/>
              <w:autoSpaceDN w:val="0"/>
              <w:adjustRightInd w:val="0"/>
              <w:snapToGrid w:val="0"/>
              <w:spacing w:before="289" w:line="268"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4.6.7</w:t>
            </w:r>
          </w:p>
        </w:tc>
        <w:tc>
          <w:tcPr>
            <w:tcW w:w="3598" w:type="dxa"/>
          </w:tcPr>
          <w:p w14:paraId="1FDCFB98">
            <w:pPr>
              <w:kinsoku w:val="0"/>
              <w:autoSpaceDE w:val="0"/>
              <w:autoSpaceDN w:val="0"/>
              <w:adjustRightInd w:val="0"/>
              <w:snapToGrid w:val="0"/>
              <w:spacing w:before="110" w:line="279" w:lineRule="auto"/>
              <w:ind w:left="112" w:right="105"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重要工序（桩基、面层施工等</w:t>
            </w:r>
            <w:r>
              <w:rPr>
                <w:rFonts w:ascii="宋体" w:hAnsi="宋体" w:cs="宋体"/>
                <w:snapToGrid w:val="0"/>
                <w:color w:val="000000" w:themeColor="text1"/>
                <w:spacing w:val="16"/>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没有</w:t>
            </w:r>
            <w:r>
              <w:rPr>
                <w:rFonts w:ascii="宋体" w:hAnsi="宋体" w:cs="宋体"/>
                <w:snapToGrid w:val="0"/>
                <w:color w:val="000000" w:themeColor="text1"/>
                <w:spacing w:val="9"/>
                <w:kern w:val="0"/>
                <w:sz w:val="20"/>
                <w:szCs w:val="20"/>
                <w:highlight w:val="none"/>
                <w14:textFill>
                  <w14:solidFill>
                    <w14:schemeClr w14:val="tx1"/>
                  </w14:solidFill>
                </w14:textFill>
              </w:rPr>
              <w:t>施工员在现场管理的</w:t>
            </w:r>
          </w:p>
        </w:tc>
        <w:tc>
          <w:tcPr>
            <w:tcW w:w="1980" w:type="dxa"/>
          </w:tcPr>
          <w:p w14:paraId="510691E3">
            <w:pPr>
              <w:kinsoku w:val="0"/>
              <w:autoSpaceDE w:val="0"/>
              <w:autoSpaceDN w:val="0"/>
              <w:adjustRightInd w:val="0"/>
              <w:snapToGrid w:val="0"/>
              <w:spacing w:before="289" w:line="228" w:lineRule="auto"/>
              <w:ind w:left="4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2000</w:t>
            </w:r>
            <w:r>
              <w:rPr>
                <w:rFonts w:ascii="宋体" w:hAnsi="宋体" w:cs="宋体"/>
                <w:snapToGrid w:val="0"/>
                <w:color w:val="000000" w:themeColor="text1"/>
                <w:spacing w:val="-37"/>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元/次</w:t>
            </w:r>
          </w:p>
        </w:tc>
        <w:tc>
          <w:tcPr>
            <w:tcW w:w="1779" w:type="dxa"/>
          </w:tcPr>
          <w:p w14:paraId="164899C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AC28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566B988D">
            <w:pPr>
              <w:kinsoku w:val="0"/>
              <w:autoSpaceDE w:val="0"/>
              <w:autoSpaceDN w:val="0"/>
              <w:adjustRightInd w:val="0"/>
              <w:snapToGrid w:val="0"/>
              <w:spacing w:before="289"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23</w:t>
            </w:r>
          </w:p>
        </w:tc>
        <w:tc>
          <w:tcPr>
            <w:tcW w:w="1253" w:type="dxa"/>
          </w:tcPr>
          <w:p w14:paraId="7A13E664">
            <w:pPr>
              <w:kinsoku w:val="0"/>
              <w:autoSpaceDE w:val="0"/>
              <w:autoSpaceDN w:val="0"/>
              <w:adjustRightInd w:val="0"/>
              <w:snapToGrid w:val="0"/>
              <w:spacing w:before="289" w:line="267" w:lineRule="exact"/>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4.6.7</w:t>
            </w:r>
          </w:p>
        </w:tc>
        <w:tc>
          <w:tcPr>
            <w:tcW w:w="3598" w:type="dxa"/>
          </w:tcPr>
          <w:p w14:paraId="5E0FFAFE">
            <w:pPr>
              <w:kinsoku w:val="0"/>
              <w:autoSpaceDE w:val="0"/>
              <w:autoSpaceDN w:val="0"/>
              <w:adjustRightInd w:val="0"/>
              <w:snapToGrid w:val="0"/>
              <w:spacing w:before="108" w:line="280" w:lineRule="auto"/>
              <w:ind w:left="115" w:right="105"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超过</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1"/>
                <w:kern w:val="0"/>
                <w:sz w:val="20"/>
                <w:szCs w:val="20"/>
                <w:highlight w:val="none"/>
                <w14:textFill>
                  <w14:solidFill>
                    <w14:schemeClr w14:val="tx1"/>
                  </w14:solidFill>
                </w14:textFill>
              </w:rPr>
              <w:t>24</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1"/>
                <w:kern w:val="0"/>
                <w:sz w:val="20"/>
                <w:szCs w:val="20"/>
                <w:highlight w:val="none"/>
                <w14:textFill>
                  <w14:solidFill>
                    <w14:schemeClr w14:val="tx1"/>
                  </w14:solidFill>
                </w14:textFill>
              </w:rPr>
              <w:t>小时没有施工员在场而继续施</w:t>
            </w:r>
            <w:r>
              <w:rPr>
                <w:rFonts w:ascii="宋体" w:hAnsi="宋体" w:cs="宋体"/>
                <w:snapToGrid w:val="0"/>
                <w:color w:val="000000" w:themeColor="text1"/>
                <w:spacing w:val="3"/>
                <w:kern w:val="0"/>
                <w:sz w:val="20"/>
                <w:szCs w:val="20"/>
                <w:highlight w:val="none"/>
                <w14:textFill>
                  <w14:solidFill>
                    <w14:schemeClr w14:val="tx1"/>
                  </w14:solidFill>
                </w14:textFill>
              </w:rPr>
              <w:t>工的</w:t>
            </w:r>
          </w:p>
        </w:tc>
        <w:tc>
          <w:tcPr>
            <w:tcW w:w="1980" w:type="dxa"/>
          </w:tcPr>
          <w:p w14:paraId="29B3542C">
            <w:pPr>
              <w:kinsoku w:val="0"/>
              <w:autoSpaceDE w:val="0"/>
              <w:autoSpaceDN w:val="0"/>
              <w:adjustRightInd w:val="0"/>
              <w:snapToGrid w:val="0"/>
              <w:spacing w:before="288"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5000</w:t>
            </w:r>
            <w:r>
              <w:rPr>
                <w:rFonts w:ascii="宋体" w:hAnsi="宋体" w:cs="宋体"/>
                <w:snapToGrid w:val="0"/>
                <w:color w:val="000000" w:themeColor="text1"/>
                <w:spacing w:val="-3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元/次</w:t>
            </w:r>
          </w:p>
        </w:tc>
        <w:tc>
          <w:tcPr>
            <w:tcW w:w="1779" w:type="dxa"/>
          </w:tcPr>
          <w:p w14:paraId="0446622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EBAF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719AFD0E">
            <w:pPr>
              <w:kinsoku w:val="0"/>
              <w:autoSpaceDE w:val="0"/>
              <w:autoSpaceDN w:val="0"/>
              <w:adjustRightInd w:val="0"/>
              <w:snapToGrid w:val="0"/>
              <w:spacing w:before="288"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24</w:t>
            </w:r>
          </w:p>
        </w:tc>
        <w:tc>
          <w:tcPr>
            <w:tcW w:w="1253" w:type="dxa"/>
          </w:tcPr>
          <w:p w14:paraId="02532F2A">
            <w:pPr>
              <w:kinsoku w:val="0"/>
              <w:autoSpaceDE w:val="0"/>
              <w:autoSpaceDN w:val="0"/>
              <w:adjustRightInd w:val="0"/>
              <w:snapToGrid w:val="0"/>
              <w:spacing w:before="288" w:line="268" w:lineRule="exact"/>
              <w:ind w:left="58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4.9</w:t>
            </w:r>
          </w:p>
        </w:tc>
        <w:tc>
          <w:tcPr>
            <w:tcW w:w="3598" w:type="dxa"/>
          </w:tcPr>
          <w:p w14:paraId="72423760">
            <w:pPr>
              <w:kinsoku w:val="0"/>
              <w:autoSpaceDE w:val="0"/>
              <w:autoSpaceDN w:val="0"/>
              <w:adjustRightInd w:val="0"/>
              <w:snapToGrid w:val="0"/>
              <w:spacing w:before="108" w:line="280" w:lineRule="auto"/>
              <w:ind w:left="114" w:right="105"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承包人将工程进度款转移或用于其他</w:t>
            </w:r>
            <w:r>
              <w:rPr>
                <w:rFonts w:ascii="宋体" w:hAnsi="宋体" w:cs="宋体"/>
                <w:snapToGrid w:val="0"/>
                <w:color w:val="000000" w:themeColor="text1"/>
                <w:spacing w:val="6"/>
                <w:kern w:val="0"/>
                <w:sz w:val="20"/>
                <w:szCs w:val="20"/>
                <w:highlight w:val="none"/>
                <w14:textFill>
                  <w14:solidFill>
                    <w14:schemeClr w14:val="tx1"/>
                  </w14:solidFill>
                </w14:textFill>
              </w:rPr>
              <w:t>工程的</w:t>
            </w:r>
          </w:p>
        </w:tc>
        <w:tc>
          <w:tcPr>
            <w:tcW w:w="1980" w:type="dxa"/>
          </w:tcPr>
          <w:p w14:paraId="6FF58913">
            <w:pPr>
              <w:kinsoku w:val="0"/>
              <w:autoSpaceDE w:val="0"/>
              <w:autoSpaceDN w:val="0"/>
              <w:adjustRightInd w:val="0"/>
              <w:snapToGrid w:val="0"/>
              <w:spacing w:before="288" w:line="228" w:lineRule="auto"/>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万元/次</w:t>
            </w:r>
          </w:p>
        </w:tc>
        <w:tc>
          <w:tcPr>
            <w:tcW w:w="1779" w:type="dxa"/>
          </w:tcPr>
          <w:p w14:paraId="076E14F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1259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4B902E83">
            <w:pPr>
              <w:kinsoku w:val="0"/>
              <w:autoSpaceDE w:val="0"/>
              <w:autoSpaceDN w:val="0"/>
              <w:adjustRightInd w:val="0"/>
              <w:snapToGrid w:val="0"/>
              <w:spacing w:before="288"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25</w:t>
            </w:r>
          </w:p>
        </w:tc>
        <w:tc>
          <w:tcPr>
            <w:tcW w:w="1253" w:type="dxa"/>
          </w:tcPr>
          <w:p w14:paraId="3A3C3B80">
            <w:pPr>
              <w:kinsoku w:val="0"/>
              <w:autoSpaceDE w:val="0"/>
              <w:autoSpaceDN w:val="0"/>
              <w:adjustRightInd w:val="0"/>
              <w:snapToGrid w:val="0"/>
              <w:spacing w:before="288"/>
              <w:ind w:left="26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4.13（3）</w:t>
            </w:r>
          </w:p>
        </w:tc>
        <w:tc>
          <w:tcPr>
            <w:tcW w:w="3598" w:type="dxa"/>
          </w:tcPr>
          <w:p w14:paraId="71473498">
            <w:pPr>
              <w:kinsoku w:val="0"/>
              <w:autoSpaceDE w:val="0"/>
              <w:autoSpaceDN w:val="0"/>
              <w:adjustRightInd w:val="0"/>
              <w:snapToGrid w:val="0"/>
              <w:spacing w:before="108" w:line="280" w:lineRule="auto"/>
              <w:ind w:left="113" w:right="105"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拒绝完成发包人对于界面模糊点的工</w:t>
            </w:r>
            <w:r>
              <w:rPr>
                <w:rFonts w:ascii="宋体" w:hAnsi="宋体" w:cs="宋体"/>
                <w:snapToGrid w:val="0"/>
                <w:color w:val="000000" w:themeColor="text1"/>
                <w:spacing w:val="7"/>
                <w:kern w:val="0"/>
                <w:sz w:val="20"/>
                <w:szCs w:val="20"/>
                <w:highlight w:val="none"/>
                <w14:textFill>
                  <w14:solidFill>
                    <w14:schemeClr w14:val="tx1"/>
                  </w14:solidFill>
                </w14:textFill>
              </w:rPr>
              <w:t>作指派的</w:t>
            </w:r>
          </w:p>
        </w:tc>
        <w:tc>
          <w:tcPr>
            <w:tcW w:w="1980" w:type="dxa"/>
          </w:tcPr>
          <w:p w14:paraId="180E9AB4">
            <w:pPr>
              <w:kinsoku w:val="0"/>
              <w:autoSpaceDE w:val="0"/>
              <w:autoSpaceDN w:val="0"/>
              <w:adjustRightInd w:val="0"/>
              <w:snapToGrid w:val="0"/>
              <w:spacing w:before="287"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779" w:type="dxa"/>
          </w:tcPr>
          <w:p w14:paraId="7BA6C7D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BA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3" w:hRule="atLeast"/>
        </w:trPr>
        <w:tc>
          <w:tcPr>
            <w:tcW w:w="861" w:type="dxa"/>
          </w:tcPr>
          <w:p w14:paraId="6CB163B4">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24B2C60">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2834F43">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3DF4914">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6D4E7D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D23F2B9">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4436491">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343657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DDA3A8A">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26</w:t>
            </w:r>
          </w:p>
        </w:tc>
        <w:tc>
          <w:tcPr>
            <w:tcW w:w="1253" w:type="dxa"/>
          </w:tcPr>
          <w:p w14:paraId="0AA84E0E">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43FE143">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7E4BC35">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32F279D">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2488F25">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05B80E2">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E121B6B">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1B08D2B">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2094F42">
            <w:pPr>
              <w:kinsoku w:val="0"/>
              <w:autoSpaceDE w:val="0"/>
              <w:autoSpaceDN w:val="0"/>
              <w:adjustRightInd w:val="0"/>
              <w:snapToGrid w:val="0"/>
              <w:spacing w:before="65" w:line="268" w:lineRule="exact"/>
              <w:ind w:left="4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5.1.2</w:t>
            </w:r>
          </w:p>
        </w:tc>
        <w:tc>
          <w:tcPr>
            <w:tcW w:w="3598" w:type="dxa"/>
          </w:tcPr>
          <w:p w14:paraId="00DED4C6">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BF5D645">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E584C2A">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18870D8">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079F1D">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063028">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F723934">
            <w:pPr>
              <w:kinsoku w:val="0"/>
              <w:autoSpaceDE w:val="0"/>
              <w:autoSpaceDN w:val="0"/>
              <w:adjustRightInd w:val="0"/>
              <w:snapToGrid w:val="0"/>
              <w:spacing w:before="65" w:line="333" w:lineRule="auto"/>
              <w:ind w:left="112"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承包人应按照《投标人拟投入的关键设备承诺表》中所列的品牌进行采购，不</w:t>
            </w:r>
            <w:r>
              <w:rPr>
                <w:rFonts w:ascii="宋体" w:hAnsi="宋体" w:cs="宋体"/>
                <w:snapToGrid w:val="0"/>
                <w:color w:val="000000" w:themeColor="text1"/>
                <w:spacing w:val="7"/>
                <w:kern w:val="0"/>
                <w:sz w:val="20"/>
                <w:szCs w:val="20"/>
                <w:highlight w:val="none"/>
                <w14:textFill>
                  <w14:solidFill>
                    <w14:schemeClr w14:val="tx1"/>
                  </w14:solidFill>
                </w14:textFill>
              </w:rPr>
              <w:t>得变更设备品牌。</w:t>
            </w:r>
          </w:p>
        </w:tc>
        <w:tc>
          <w:tcPr>
            <w:tcW w:w="1980" w:type="dxa"/>
          </w:tcPr>
          <w:p w14:paraId="096681FB">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1CF3C71">
            <w:pPr>
              <w:widowControl/>
              <w:kinsoku w:val="0"/>
              <w:autoSpaceDE w:val="0"/>
              <w:autoSpaceDN w:val="0"/>
              <w:adjustRightInd w:val="0"/>
              <w:snapToGrid w:val="0"/>
              <w:spacing w:line="28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37440FA">
            <w:pPr>
              <w:kinsoku w:val="0"/>
              <w:autoSpaceDE w:val="0"/>
              <w:autoSpaceDN w:val="0"/>
              <w:adjustRightInd w:val="0"/>
              <w:snapToGrid w:val="0"/>
              <w:spacing w:before="65" w:line="333" w:lineRule="auto"/>
              <w:ind w:left="115" w:right="59" w:firstLine="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未按照《投标人拟</w:t>
            </w:r>
            <w:r>
              <w:rPr>
                <w:rFonts w:ascii="宋体" w:hAnsi="宋体" w:cs="宋体"/>
                <w:snapToGrid w:val="0"/>
                <w:color w:val="000000" w:themeColor="text1"/>
                <w:spacing w:val="16"/>
                <w:kern w:val="0"/>
                <w:sz w:val="20"/>
                <w:szCs w:val="20"/>
                <w:highlight w:val="none"/>
                <w14:textFill>
                  <w14:solidFill>
                    <w14:schemeClr w14:val="tx1"/>
                  </w14:solidFill>
                </w14:textFill>
              </w:rPr>
              <w:t>投入的关键设备</w:t>
            </w:r>
            <w:r>
              <w:rPr>
                <w:rFonts w:ascii="宋体" w:hAnsi="宋体" w:cs="宋体"/>
                <w:snapToGrid w:val="0"/>
                <w:color w:val="000000" w:themeColor="text1"/>
                <w:spacing w:val="-4"/>
                <w:kern w:val="0"/>
                <w:sz w:val="20"/>
                <w:szCs w:val="20"/>
                <w:highlight w:val="none"/>
                <w14:textFill>
                  <w14:solidFill>
                    <w14:schemeClr w14:val="tx1"/>
                  </w14:solidFill>
                </w14:textFill>
              </w:rPr>
              <w:t>承诺表》中所列设</w:t>
            </w:r>
            <w:r>
              <w:rPr>
                <w:rFonts w:ascii="宋体" w:hAnsi="宋体" w:cs="宋体"/>
                <w:snapToGrid w:val="0"/>
                <w:color w:val="000000" w:themeColor="text1"/>
                <w:spacing w:val="2"/>
                <w:kern w:val="0"/>
                <w:sz w:val="20"/>
                <w:szCs w:val="20"/>
                <w:highlight w:val="none"/>
                <w14:textFill>
                  <w14:solidFill>
                    <w14:schemeClr w14:val="tx1"/>
                  </w14:solidFill>
                </w14:textFill>
              </w:rPr>
              <w:t>备品牌进行采购，</w:t>
            </w:r>
            <w:r>
              <w:rPr>
                <w:rFonts w:ascii="宋体" w:hAnsi="宋体" w:cs="宋体"/>
                <w:snapToGrid w:val="0"/>
                <w:color w:val="000000" w:themeColor="text1"/>
                <w:spacing w:val="16"/>
                <w:kern w:val="0"/>
                <w:sz w:val="20"/>
                <w:szCs w:val="20"/>
                <w:highlight w:val="none"/>
                <w14:textFill>
                  <w14:solidFill>
                    <w14:schemeClr w14:val="tx1"/>
                  </w14:solidFill>
                </w14:textFill>
              </w:rPr>
              <w:t>按以下标准向发</w:t>
            </w:r>
            <w:r>
              <w:rPr>
                <w:rFonts w:ascii="宋体" w:hAnsi="宋体" w:cs="宋体"/>
                <w:snapToGrid w:val="0"/>
                <w:color w:val="000000" w:themeColor="text1"/>
                <w:spacing w:val="2"/>
                <w:kern w:val="0"/>
                <w:sz w:val="20"/>
                <w:szCs w:val="20"/>
                <w:highlight w:val="none"/>
                <w14:textFill>
                  <w14:solidFill>
                    <w14:schemeClr w14:val="tx1"/>
                  </w14:solidFill>
                </w14:textFill>
              </w:rPr>
              <w:t>包人提交违约金：</w:t>
            </w:r>
            <w:r>
              <w:rPr>
                <w:rFonts w:ascii="宋体" w:hAnsi="宋体" w:cs="宋体"/>
                <w:snapToGrid w:val="0"/>
                <w:color w:val="000000" w:themeColor="text1"/>
                <w:spacing w:val="4"/>
                <w:kern w:val="0"/>
                <w:sz w:val="20"/>
                <w:szCs w:val="20"/>
                <w:highlight w:val="none"/>
                <w14:textFill>
                  <w14:solidFill>
                    <w14:schemeClr w14:val="tx1"/>
                  </w14:solidFill>
                </w14:textFill>
              </w:rPr>
              <w:t>关键设备</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u w:val="single"/>
                <w14:textFill>
                  <w14:solidFill>
                    <w14:schemeClr w14:val="tx1"/>
                  </w14:solidFill>
                </w14:textFill>
              </w:rPr>
              <w:t>80</w:t>
            </w:r>
            <w:r>
              <w:rPr>
                <w:rFonts w:ascii="宋体" w:hAnsi="宋体" w:cs="宋体"/>
                <w:snapToGrid w:val="0"/>
                <w:color w:val="000000" w:themeColor="text1"/>
                <w:spacing w:val="-33"/>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u w:val="single"/>
                <w14:textFill>
                  <w14:solidFill>
                    <w14:schemeClr w14:val="tx1"/>
                  </w14:solidFill>
                </w14:textFill>
              </w:rPr>
              <w:t>万元</w:t>
            </w:r>
            <w:r>
              <w:rPr>
                <w:rFonts w:ascii="宋体" w:hAnsi="宋体" w:cs="宋体"/>
                <w:snapToGrid w:val="0"/>
                <w:color w:val="000000" w:themeColor="text1"/>
                <w:spacing w:val="8"/>
                <w:kern w:val="0"/>
                <w:sz w:val="20"/>
                <w:szCs w:val="20"/>
                <w:highlight w:val="none"/>
                <w:u w:val="single"/>
                <w14:textFill>
                  <w14:solidFill>
                    <w14:schemeClr w14:val="tx1"/>
                  </w14:solidFill>
                </w14:textFill>
              </w:rPr>
              <w:t>/类，其他主要设</w:t>
            </w:r>
            <w:r>
              <w:rPr>
                <w:rFonts w:ascii="宋体" w:hAnsi="宋体" w:cs="宋体"/>
                <w:snapToGrid w:val="0"/>
                <w:color w:val="000000" w:themeColor="text1"/>
                <w:spacing w:val="9"/>
                <w:kern w:val="0"/>
                <w:sz w:val="20"/>
                <w:szCs w:val="20"/>
                <w:highlight w:val="none"/>
                <w:u w:val="single"/>
                <w14:textFill>
                  <w14:solidFill>
                    <w14:schemeClr w14:val="tx1"/>
                  </w14:solidFill>
                </w14:textFill>
              </w:rPr>
              <w:t>备</w:t>
            </w:r>
            <w:r>
              <w:rPr>
                <w:rFonts w:ascii="宋体" w:hAnsi="宋体" w:cs="宋体"/>
                <w:snapToGrid w:val="0"/>
                <w:color w:val="000000" w:themeColor="text1"/>
                <w:spacing w:val="-31"/>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u w:val="single"/>
                <w14:textFill>
                  <w14:solidFill>
                    <w14:schemeClr w14:val="tx1"/>
                  </w14:solidFill>
                </w14:textFill>
              </w:rPr>
              <w:t>30</w:t>
            </w:r>
            <w:r>
              <w:rPr>
                <w:rFonts w:ascii="宋体" w:hAnsi="宋体" w:cs="宋体"/>
                <w:snapToGrid w:val="0"/>
                <w:color w:val="000000" w:themeColor="text1"/>
                <w:spacing w:val="-35"/>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u w:val="single"/>
                <w14:textFill>
                  <w14:solidFill>
                    <w14:schemeClr w14:val="tx1"/>
                  </w14:solidFill>
                </w14:textFill>
              </w:rPr>
              <w:t>万元/类</w:t>
            </w:r>
            <w:r>
              <w:rPr>
                <w:rFonts w:ascii="宋体" w:hAnsi="宋体" w:cs="宋体"/>
                <w:snapToGrid w:val="0"/>
                <w:color w:val="000000" w:themeColor="text1"/>
                <w:spacing w:val="9"/>
                <w:kern w:val="0"/>
                <w:sz w:val="20"/>
                <w:szCs w:val="20"/>
                <w:highlight w:val="none"/>
                <w14:textFill>
                  <w14:solidFill>
                    <w14:schemeClr w14:val="tx1"/>
                  </w14:solidFill>
                </w14:textFill>
              </w:rPr>
              <w:t>。</w:t>
            </w:r>
          </w:p>
        </w:tc>
        <w:tc>
          <w:tcPr>
            <w:tcW w:w="1779" w:type="dxa"/>
            <w:vAlign w:val="center"/>
          </w:tcPr>
          <w:p w14:paraId="547B355D">
            <w:pPr>
              <w:widowControl/>
              <w:wordWrap w:val="0"/>
              <w:topLinePunct/>
              <w:adjustRightInd w:val="0"/>
              <w:snapToGrid w:val="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本条可适用于机电工程（包</w:t>
            </w:r>
            <w:r>
              <w:rPr>
                <w:rFonts w:ascii="宋体" w:hAnsi="宋体" w:cs="宋体"/>
                <w:snapToGrid w:val="0"/>
                <w:color w:val="000000" w:themeColor="text1"/>
                <w:spacing w:val="6"/>
                <w:kern w:val="0"/>
                <w:sz w:val="20"/>
                <w:szCs w:val="20"/>
                <w:highlight w:val="none"/>
                <w14:textFill>
                  <w14:solidFill>
                    <w14:schemeClr w14:val="tx1"/>
                  </w14:solidFill>
                </w14:textFill>
              </w:rPr>
              <w:t>括收费、监控、</w:t>
            </w:r>
            <w:r>
              <w:rPr>
                <w:rFonts w:ascii="宋体" w:hAnsi="宋体" w:cs="宋体"/>
                <w:snapToGrid w:val="0"/>
                <w:color w:val="000000" w:themeColor="text1"/>
                <w:spacing w:val="8"/>
                <w:kern w:val="0"/>
                <w:sz w:val="20"/>
                <w:szCs w:val="20"/>
                <w:highlight w:val="none"/>
                <w14:textFill>
                  <w14:solidFill>
                    <w14:schemeClr w14:val="tx1"/>
                  </w14:solidFill>
                </w14:textFill>
              </w:rPr>
              <w:t>通信三大系统</w:t>
            </w:r>
            <w:r>
              <w:rPr>
                <w:rFonts w:ascii="宋体" w:hAnsi="宋体" w:cs="宋体"/>
                <w:snapToGrid w:val="0"/>
                <w:color w:val="000000" w:themeColor="text1"/>
                <w:spacing w:val="6"/>
                <w:kern w:val="0"/>
                <w:sz w:val="20"/>
                <w:szCs w:val="20"/>
                <w:highlight w:val="none"/>
                <w14:textFill>
                  <w14:solidFill>
                    <w14:schemeClr w14:val="tx1"/>
                  </w14:solidFill>
                </w14:textFill>
              </w:rPr>
              <w:t>及通信管道、隧道消防和供</w:t>
            </w:r>
            <w:r>
              <w:rPr>
                <w:rFonts w:ascii="宋体" w:hAnsi="宋体" w:cs="宋体"/>
                <w:snapToGrid w:val="0"/>
                <w:color w:val="000000" w:themeColor="text1"/>
                <w:spacing w:val="8"/>
                <w:kern w:val="0"/>
                <w:sz w:val="20"/>
                <w:szCs w:val="20"/>
                <w:highlight w:val="none"/>
                <w14:textFill>
                  <w14:solidFill>
                    <w14:schemeClr w14:val="tx1"/>
                  </w14:solidFill>
                </w14:textFill>
              </w:rPr>
              <w:t>配电等）采用</w:t>
            </w:r>
            <w:r>
              <w:rPr>
                <w:rFonts w:ascii="宋体" w:hAnsi="宋体" w:cs="宋体"/>
                <w:snapToGrid w:val="0"/>
                <w:color w:val="000000" w:themeColor="text1"/>
                <w:spacing w:val="7"/>
                <w:kern w:val="0"/>
                <w:sz w:val="20"/>
                <w:szCs w:val="20"/>
                <w:highlight w:val="none"/>
                <w14:textFill>
                  <w14:solidFill>
                    <w14:schemeClr w14:val="tx1"/>
                  </w14:solidFill>
                </w14:textFill>
              </w:rPr>
              <w:t>设备选型评分</w:t>
            </w:r>
            <w:r>
              <w:rPr>
                <w:rFonts w:ascii="宋体" w:hAnsi="宋体" w:cs="宋体"/>
                <w:snapToGrid w:val="0"/>
                <w:color w:val="000000" w:themeColor="text1"/>
                <w:spacing w:val="-2"/>
                <w:kern w:val="0"/>
                <w:sz w:val="20"/>
                <w:szCs w:val="20"/>
                <w:highlight w:val="none"/>
                <w14:textFill>
                  <w14:solidFill>
                    <w14:schemeClr w14:val="tx1"/>
                  </w14:solidFill>
                </w14:textFill>
              </w:rPr>
              <w:t>的情形，</w:t>
            </w:r>
            <w:r>
              <w:rPr>
                <w:rFonts w:ascii="宋体" w:hAnsi="宋体" w:cs="宋体"/>
                <w:snapToGrid w:val="0"/>
                <w:color w:val="000000" w:themeColor="text1"/>
                <w:spacing w:val="-5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由招</w:t>
            </w:r>
          </w:p>
          <w:p w14:paraId="20793CD4">
            <w:pPr>
              <w:widowControl/>
              <w:wordWrap w:val="0"/>
              <w:topLinePunct/>
              <w:adjustRightInd w:val="0"/>
              <w:snapToGrid w:val="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标人自行选择</w:t>
            </w:r>
            <w:r>
              <w:rPr>
                <w:rFonts w:ascii="宋体" w:hAnsi="宋体" w:cs="宋体"/>
                <w:snapToGrid w:val="0"/>
                <w:color w:val="000000" w:themeColor="text1"/>
                <w:spacing w:val="7"/>
                <w:kern w:val="0"/>
                <w:sz w:val="20"/>
                <w:szCs w:val="20"/>
                <w:highlight w:val="none"/>
                <w14:textFill>
                  <w14:solidFill>
                    <w14:schemeClr w14:val="tx1"/>
                  </w14:solidFill>
                </w14:textFill>
              </w:rPr>
              <w:t>设置相应内</w:t>
            </w:r>
            <w:r>
              <w:rPr>
                <w:rFonts w:ascii="宋体" w:hAnsi="宋体" w:cs="宋体"/>
                <w:snapToGrid w:val="0"/>
                <w:color w:val="000000" w:themeColor="text1"/>
                <w:spacing w:val="-1"/>
                <w:kern w:val="0"/>
                <w:sz w:val="20"/>
                <w:szCs w:val="20"/>
                <w:highlight w:val="none"/>
                <w14:textFill>
                  <w14:solidFill>
                    <w14:schemeClr w14:val="tx1"/>
                  </w14:solidFill>
                </w14:textFill>
              </w:rPr>
              <w:t>容。</w:t>
            </w:r>
          </w:p>
        </w:tc>
      </w:tr>
      <w:tr w14:paraId="3A764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61" w:type="dxa"/>
          </w:tcPr>
          <w:p w14:paraId="3F1842E6">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48276A6">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A1AB995">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14D3AAC">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27</w:t>
            </w:r>
          </w:p>
        </w:tc>
        <w:tc>
          <w:tcPr>
            <w:tcW w:w="1253" w:type="dxa"/>
          </w:tcPr>
          <w:p w14:paraId="2B742200">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EFECA2C">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2839969">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F98402A">
            <w:pPr>
              <w:kinsoku w:val="0"/>
              <w:autoSpaceDE w:val="0"/>
              <w:autoSpaceDN w:val="0"/>
              <w:adjustRightInd w:val="0"/>
              <w:snapToGrid w:val="0"/>
              <w:spacing w:before="65" w:line="267" w:lineRule="exact"/>
              <w:ind w:left="3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5.1.5.2</w:t>
            </w:r>
          </w:p>
        </w:tc>
        <w:tc>
          <w:tcPr>
            <w:tcW w:w="3598" w:type="dxa"/>
          </w:tcPr>
          <w:p w14:paraId="6B3757C6">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42E8120">
            <w:pPr>
              <w:kinsoku w:val="0"/>
              <w:autoSpaceDE w:val="0"/>
              <w:autoSpaceDN w:val="0"/>
              <w:adjustRightInd w:val="0"/>
              <w:snapToGrid w:val="0"/>
              <w:spacing w:before="65" w:line="333" w:lineRule="auto"/>
              <w:ind w:left="112" w:right="105" w:firstLine="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0"/>
                <w:kern w:val="0"/>
                <w:sz w:val="20"/>
                <w:szCs w:val="20"/>
                <w:highlight w:val="none"/>
                <w14:textFill>
                  <w14:solidFill>
                    <w14:schemeClr w14:val="tx1"/>
                  </w14:solidFill>
                </w14:textFill>
              </w:rPr>
              <w:t>未经发包人书面同意擅自与公开招标</w:t>
            </w:r>
            <w:r>
              <w:rPr>
                <w:rFonts w:ascii="宋体" w:hAnsi="宋体" w:cs="宋体"/>
                <w:snapToGrid w:val="0"/>
                <w:color w:val="000000" w:themeColor="text1"/>
                <w:spacing w:val="21"/>
                <w:kern w:val="0"/>
                <w:sz w:val="20"/>
                <w:szCs w:val="20"/>
                <w:highlight w:val="none"/>
                <w14:textFill>
                  <w14:solidFill>
                    <w14:schemeClr w14:val="tx1"/>
                  </w14:solidFill>
                </w14:textFill>
              </w:rPr>
              <w:t>确定的供货人以外的其他供货人采购</w:t>
            </w:r>
            <w:r>
              <w:rPr>
                <w:rFonts w:ascii="宋体" w:hAnsi="宋体" w:cs="宋体"/>
                <w:snapToGrid w:val="0"/>
                <w:color w:val="000000" w:themeColor="text1"/>
                <w:spacing w:val="4"/>
                <w:kern w:val="0"/>
                <w:sz w:val="20"/>
                <w:szCs w:val="20"/>
                <w:highlight w:val="none"/>
                <w14:textFill>
                  <w14:solidFill>
                    <w14:schemeClr w14:val="tx1"/>
                  </w14:solidFill>
                </w14:textFill>
              </w:rPr>
              <w:t>甲控乙购</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I</w:t>
            </w:r>
            <w:r>
              <w:rPr>
                <w:rFonts w:ascii="宋体" w:hAnsi="宋体" w:cs="宋体"/>
                <w:snapToGrid w:val="0"/>
                <w:color w:val="000000" w:themeColor="text1"/>
                <w:spacing w:val="-4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类材料的</w:t>
            </w:r>
          </w:p>
        </w:tc>
        <w:tc>
          <w:tcPr>
            <w:tcW w:w="1980" w:type="dxa"/>
          </w:tcPr>
          <w:p w14:paraId="5C4200C5">
            <w:pPr>
              <w:kinsoku w:val="0"/>
              <w:autoSpaceDE w:val="0"/>
              <w:autoSpaceDN w:val="0"/>
              <w:adjustRightInd w:val="0"/>
              <w:snapToGrid w:val="0"/>
              <w:spacing w:before="111" w:line="227" w:lineRule="auto"/>
              <w:ind w:left="1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按承包人自行采</w:t>
            </w:r>
          </w:p>
          <w:p w14:paraId="6A2985FD">
            <w:pPr>
              <w:kinsoku w:val="0"/>
              <w:autoSpaceDE w:val="0"/>
              <w:autoSpaceDN w:val="0"/>
              <w:adjustRightInd w:val="0"/>
              <w:snapToGrid w:val="0"/>
              <w:spacing w:before="114" w:line="227" w:lineRule="auto"/>
              <w:ind w:left="113"/>
              <w:jc w:val="left"/>
              <w:textAlignment w:val="baseline"/>
              <w:rPr>
                <w:rFonts w:hint="eastAsia" w:ascii="宋体" w:hAnsi="宋体" w:cs="宋体"/>
                <w:snapToGrid w:val="0"/>
                <w:color w:val="000000" w:themeColor="text1"/>
                <w:kern w:val="0"/>
                <w:sz w:val="19"/>
                <w:szCs w:val="19"/>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购材料金额（</w:t>
            </w:r>
            <w:r>
              <w:rPr>
                <w:rFonts w:ascii="宋体" w:hAnsi="宋体" w:cs="宋体"/>
                <w:snapToGrid w:val="0"/>
                <w:color w:val="000000" w:themeColor="text1"/>
                <w:spacing w:val="-1"/>
                <w:kern w:val="0"/>
                <w:sz w:val="19"/>
                <w:szCs w:val="19"/>
                <w:highlight w:val="none"/>
                <w14:textFill>
                  <w14:solidFill>
                    <w14:schemeClr w14:val="tx1"/>
                  </w14:solidFill>
                </w14:textFill>
              </w:rPr>
              <w:t>按暂</w:t>
            </w:r>
          </w:p>
          <w:p w14:paraId="410FBE4C">
            <w:pPr>
              <w:kinsoku w:val="0"/>
              <w:autoSpaceDE w:val="0"/>
              <w:autoSpaceDN w:val="0"/>
              <w:adjustRightInd w:val="0"/>
              <w:snapToGrid w:val="0"/>
              <w:spacing w:before="114" w:line="227"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19"/>
                <w:szCs w:val="19"/>
                <w:highlight w:val="none"/>
                <w14:textFill>
                  <w14:solidFill>
                    <w14:schemeClr w14:val="tx1"/>
                  </w14:solidFill>
                </w14:textFill>
              </w:rPr>
              <w:t>扣价计，</w:t>
            </w:r>
            <w:r>
              <w:rPr>
                <w:rFonts w:ascii="宋体" w:hAnsi="宋体" w:cs="宋体"/>
                <w:snapToGrid w:val="0"/>
                <w:color w:val="000000" w:themeColor="text1"/>
                <w:spacing w:val="1"/>
                <w:kern w:val="0"/>
                <w:sz w:val="20"/>
                <w:szCs w:val="20"/>
                <w:highlight w:val="none"/>
                <w14:textFill>
                  <w14:solidFill>
                    <w14:schemeClr w14:val="tx1"/>
                  </w14:solidFill>
                </w14:textFill>
              </w:rPr>
              <w:t>含销售货</w:t>
            </w:r>
          </w:p>
          <w:p w14:paraId="5ED89064">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物增值税）的双倍</w:t>
            </w:r>
          </w:p>
          <w:p w14:paraId="37E4F050">
            <w:pPr>
              <w:kinsoku w:val="0"/>
              <w:autoSpaceDE w:val="0"/>
              <w:autoSpaceDN w:val="0"/>
              <w:adjustRightInd w:val="0"/>
              <w:snapToGrid w:val="0"/>
              <w:spacing w:before="112" w:line="224" w:lineRule="auto"/>
              <w:ind w:left="38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扣除违约金</w:t>
            </w:r>
          </w:p>
        </w:tc>
        <w:tc>
          <w:tcPr>
            <w:tcW w:w="1779" w:type="dxa"/>
          </w:tcPr>
          <w:p w14:paraId="5BF2EB3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BC59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0AD1DE67">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4BC5025">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6BFC542">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28</w:t>
            </w:r>
          </w:p>
        </w:tc>
        <w:tc>
          <w:tcPr>
            <w:tcW w:w="1253" w:type="dxa"/>
          </w:tcPr>
          <w:p w14:paraId="1090EE21">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E914C6F">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7CAF1BC">
            <w:pPr>
              <w:kinsoku w:val="0"/>
              <w:autoSpaceDE w:val="0"/>
              <w:autoSpaceDN w:val="0"/>
              <w:adjustRightInd w:val="0"/>
              <w:snapToGrid w:val="0"/>
              <w:spacing w:before="65" w:line="268" w:lineRule="exact"/>
              <w:ind w:left="3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5.1.5.2</w:t>
            </w:r>
          </w:p>
        </w:tc>
        <w:tc>
          <w:tcPr>
            <w:tcW w:w="3598" w:type="dxa"/>
          </w:tcPr>
          <w:p w14:paraId="38F1C4E1">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A414B6">
            <w:pPr>
              <w:kinsoku w:val="0"/>
              <w:autoSpaceDE w:val="0"/>
              <w:autoSpaceDN w:val="0"/>
              <w:adjustRightInd w:val="0"/>
              <w:snapToGrid w:val="0"/>
              <w:spacing w:before="65" w:line="333" w:lineRule="auto"/>
              <w:ind w:left="113" w:right="10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擅自将统一采购的材料、设备倒卖或使</w:t>
            </w:r>
            <w:r>
              <w:rPr>
                <w:rFonts w:ascii="宋体" w:hAnsi="宋体" w:cs="宋体"/>
                <w:snapToGrid w:val="0"/>
                <w:color w:val="000000" w:themeColor="text1"/>
                <w:spacing w:val="9"/>
                <w:kern w:val="0"/>
                <w:sz w:val="20"/>
                <w:szCs w:val="20"/>
                <w:highlight w:val="none"/>
                <w14:textFill>
                  <w14:solidFill>
                    <w14:schemeClr w14:val="tx1"/>
                  </w14:solidFill>
                </w14:textFill>
              </w:rPr>
              <w:t>用在与本项目无关的工程中的</w:t>
            </w:r>
          </w:p>
        </w:tc>
        <w:tc>
          <w:tcPr>
            <w:tcW w:w="1980" w:type="dxa"/>
          </w:tcPr>
          <w:p w14:paraId="0689BECE">
            <w:pPr>
              <w:kinsoku w:val="0"/>
              <w:autoSpaceDE w:val="0"/>
              <w:autoSpaceDN w:val="0"/>
              <w:adjustRightInd w:val="0"/>
              <w:snapToGrid w:val="0"/>
              <w:spacing w:before="112" w:line="228" w:lineRule="auto"/>
              <w:ind w:left="117"/>
              <w:jc w:val="left"/>
              <w:textAlignment w:val="baseline"/>
              <w:rPr>
                <w:rFonts w:hint="eastAsia" w:ascii="宋体" w:hAnsi="宋体" w:cs="宋体"/>
                <w:snapToGrid w:val="0"/>
                <w:color w:val="000000" w:themeColor="text1"/>
                <w:kern w:val="0"/>
                <w:sz w:val="19"/>
                <w:szCs w:val="19"/>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按发生金额（</w:t>
            </w:r>
            <w:r>
              <w:rPr>
                <w:rFonts w:ascii="宋体" w:hAnsi="宋体" w:cs="宋体"/>
                <w:snapToGrid w:val="0"/>
                <w:color w:val="000000" w:themeColor="text1"/>
                <w:spacing w:val="-2"/>
                <w:kern w:val="0"/>
                <w:sz w:val="19"/>
                <w:szCs w:val="19"/>
                <w:highlight w:val="none"/>
                <w14:textFill>
                  <w14:solidFill>
                    <w14:schemeClr w14:val="tx1"/>
                  </w14:solidFill>
                </w14:textFill>
              </w:rPr>
              <w:t>按暂</w:t>
            </w:r>
          </w:p>
          <w:p w14:paraId="60C2ED7C">
            <w:pPr>
              <w:kinsoku w:val="0"/>
              <w:autoSpaceDE w:val="0"/>
              <w:autoSpaceDN w:val="0"/>
              <w:adjustRightInd w:val="0"/>
              <w:snapToGrid w:val="0"/>
              <w:spacing w:before="113" w:line="227"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19"/>
                <w:szCs w:val="19"/>
                <w:highlight w:val="none"/>
                <w14:textFill>
                  <w14:solidFill>
                    <w14:schemeClr w14:val="tx1"/>
                  </w14:solidFill>
                </w14:textFill>
              </w:rPr>
              <w:t>扣价计，</w:t>
            </w:r>
            <w:r>
              <w:rPr>
                <w:rFonts w:ascii="宋体" w:hAnsi="宋体" w:cs="宋体"/>
                <w:snapToGrid w:val="0"/>
                <w:color w:val="000000" w:themeColor="text1"/>
                <w:spacing w:val="1"/>
                <w:kern w:val="0"/>
                <w:sz w:val="20"/>
                <w:szCs w:val="20"/>
                <w:highlight w:val="none"/>
                <w14:textFill>
                  <w14:solidFill>
                    <w14:schemeClr w14:val="tx1"/>
                  </w14:solidFill>
                </w14:textFill>
              </w:rPr>
              <w:t>含销售货</w:t>
            </w:r>
          </w:p>
          <w:p w14:paraId="1EB83F0E">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物增值税）的双倍</w:t>
            </w:r>
          </w:p>
          <w:p w14:paraId="4888D3B4">
            <w:pPr>
              <w:kinsoku w:val="0"/>
              <w:autoSpaceDE w:val="0"/>
              <w:autoSpaceDN w:val="0"/>
              <w:adjustRightInd w:val="0"/>
              <w:snapToGrid w:val="0"/>
              <w:spacing w:before="113" w:line="223" w:lineRule="auto"/>
              <w:ind w:left="38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扣除违约金</w:t>
            </w:r>
          </w:p>
        </w:tc>
        <w:tc>
          <w:tcPr>
            <w:tcW w:w="1779" w:type="dxa"/>
          </w:tcPr>
          <w:p w14:paraId="02F1FD9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37A72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trPr>
        <w:tc>
          <w:tcPr>
            <w:tcW w:w="861" w:type="dxa"/>
          </w:tcPr>
          <w:p w14:paraId="198B8B4C">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187443A">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C154312">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B23579">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29</w:t>
            </w:r>
          </w:p>
        </w:tc>
        <w:tc>
          <w:tcPr>
            <w:tcW w:w="1253" w:type="dxa"/>
          </w:tcPr>
          <w:p w14:paraId="14964917">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EABA6D1">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E6E55F9">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1689C28">
            <w:pPr>
              <w:kinsoku w:val="0"/>
              <w:autoSpaceDE w:val="0"/>
              <w:autoSpaceDN w:val="0"/>
              <w:adjustRightInd w:val="0"/>
              <w:snapToGrid w:val="0"/>
              <w:spacing w:before="65" w:line="267" w:lineRule="exact"/>
              <w:ind w:left="3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5.1.5.3</w:t>
            </w:r>
          </w:p>
        </w:tc>
        <w:tc>
          <w:tcPr>
            <w:tcW w:w="3598" w:type="dxa"/>
          </w:tcPr>
          <w:p w14:paraId="1337935E">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1796326">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92DAAB9">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D7F9126">
            <w:pPr>
              <w:kinsoku w:val="0"/>
              <w:autoSpaceDE w:val="0"/>
              <w:autoSpaceDN w:val="0"/>
              <w:adjustRightInd w:val="0"/>
              <w:snapToGrid w:val="0"/>
              <w:spacing w:before="65" w:line="334" w:lineRule="auto"/>
              <w:ind w:left="113" w:right="105"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未经发包人同意擅自使用</w:t>
            </w:r>
            <w:r>
              <w:rPr>
                <w:rFonts w:ascii="宋体" w:hAnsi="宋体" w:cs="宋体"/>
                <w:snapToGrid w:val="0"/>
                <w:color w:val="000000" w:themeColor="text1"/>
                <w:spacing w:val="-1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52.5</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及以上</w:t>
            </w:r>
            <w:r>
              <w:rPr>
                <w:rFonts w:ascii="宋体" w:hAnsi="宋体" w:cs="宋体"/>
                <w:snapToGrid w:val="0"/>
                <w:color w:val="000000" w:themeColor="text1"/>
                <w:spacing w:val="7"/>
                <w:kern w:val="0"/>
                <w:sz w:val="20"/>
                <w:szCs w:val="20"/>
                <w:highlight w:val="none"/>
                <w14:textFill>
                  <w14:solidFill>
                    <w14:schemeClr w14:val="tx1"/>
                  </w14:solidFill>
                </w14:textFill>
              </w:rPr>
              <w:t>标号水泥的</w:t>
            </w:r>
          </w:p>
        </w:tc>
        <w:tc>
          <w:tcPr>
            <w:tcW w:w="1980" w:type="dxa"/>
          </w:tcPr>
          <w:p w14:paraId="22AD2892">
            <w:pPr>
              <w:kinsoku w:val="0"/>
              <w:autoSpaceDE w:val="0"/>
              <w:autoSpaceDN w:val="0"/>
              <w:adjustRightInd w:val="0"/>
              <w:snapToGrid w:val="0"/>
              <w:spacing w:before="116" w:line="314" w:lineRule="auto"/>
              <w:ind w:left="117" w:right="10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按“擅自使用的水</w:t>
            </w:r>
            <w:r>
              <w:rPr>
                <w:rFonts w:ascii="宋体" w:hAnsi="宋体" w:cs="宋体"/>
                <w:snapToGrid w:val="0"/>
                <w:color w:val="000000" w:themeColor="text1"/>
                <w:spacing w:val="16"/>
                <w:kern w:val="0"/>
                <w:sz w:val="20"/>
                <w:szCs w:val="20"/>
                <w:highlight w:val="none"/>
                <w14:textFill>
                  <w14:solidFill>
                    <w14:schemeClr w14:val="tx1"/>
                  </w14:solidFill>
                </w14:textFill>
              </w:rPr>
              <w:t>泥数量×（当期</w:t>
            </w:r>
            <w:r>
              <w:rPr>
                <w:rFonts w:ascii="宋体" w:hAnsi="宋体" w:cs="宋体"/>
                <w:snapToGrid w:val="0"/>
                <w:color w:val="000000" w:themeColor="text1"/>
                <w:spacing w:val="9"/>
                <w:kern w:val="0"/>
                <w:sz w:val="20"/>
                <w:szCs w:val="20"/>
                <w:highlight w:val="none"/>
                <w14:textFill>
                  <w14:solidFill>
                    <w14:schemeClr w14:val="tx1"/>
                  </w14:solidFill>
                </w14:textFill>
              </w:rPr>
              <w:t>52.5</w:t>
            </w:r>
            <w:r>
              <w:rPr>
                <w:rFonts w:ascii="宋体" w:hAnsi="宋体" w:cs="宋体"/>
                <w:snapToGrid w:val="0"/>
                <w:color w:val="000000" w:themeColor="text1"/>
                <w:spacing w:val="-4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及以上标号</w:t>
            </w:r>
            <w:r>
              <w:rPr>
                <w:rFonts w:ascii="宋体" w:hAnsi="宋体" w:cs="宋体"/>
                <w:snapToGrid w:val="0"/>
                <w:color w:val="000000" w:themeColor="text1"/>
                <w:spacing w:val="8"/>
                <w:kern w:val="0"/>
                <w:sz w:val="20"/>
                <w:szCs w:val="20"/>
                <w:highlight w:val="none"/>
                <w14:textFill>
                  <w14:solidFill>
                    <w14:schemeClr w14:val="tx1"/>
                  </w14:solidFill>
                </w14:textFill>
              </w:rPr>
              <w:t>水泥单价信息价-</w:t>
            </w:r>
            <w:r>
              <w:rPr>
                <w:rFonts w:ascii="宋体" w:hAnsi="宋体" w:cs="宋体"/>
                <w:snapToGrid w:val="0"/>
                <w:color w:val="000000" w:themeColor="text1"/>
                <w:spacing w:val="4"/>
                <w:kern w:val="0"/>
                <w:sz w:val="20"/>
                <w:szCs w:val="20"/>
                <w:highlight w:val="none"/>
                <w14:textFill>
                  <w14:solidFill>
                    <w14:schemeClr w14:val="tx1"/>
                  </w14:solidFill>
                </w14:textFill>
              </w:rPr>
              <w:t>当期</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42.5</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标号水</w:t>
            </w:r>
            <w:r>
              <w:rPr>
                <w:rFonts w:ascii="宋体" w:hAnsi="宋体" w:cs="宋体"/>
                <w:snapToGrid w:val="0"/>
                <w:color w:val="000000" w:themeColor="text1"/>
                <w:spacing w:val="-4"/>
                <w:kern w:val="0"/>
                <w:sz w:val="20"/>
                <w:szCs w:val="20"/>
                <w:highlight w:val="none"/>
                <w14:textFill>
                  <w14:solidFill>
                    <w14:schemeClr w14:val="tx1"/>
                  </w14:solidFill>
                </w14:textFill>
              </w:rPr>
              <w:t>泥单价信息价）×</w:t>
            </w:r>
          </w:p>
        </w:tc>
        <w:tc>
          <w:tcPr>
            <w:tcW w:w="1779" w:type="dxa"/>
          </w:tcPr>
          <w:p w14:paraId="4074134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22CD6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1E2C6391">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253" w:type="dxa"/>
          </w:tcPr>
          <w:p w14:paraId="1C8DED7C">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598" w:type="dxa"/>
          </w:tcPr>
          <w:p w14:paraId="11088655">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980" w:type="dxa"/>
          </w:tcPr>
          <w:p w14:paraId="22CAF0E8">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779" w:type="dxa"/>
          </w:tcPr>
          <w:p w14:paraId="41693FAB">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1CB34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0E67796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3" w:type="dxa"/>
          </w:tcPr>
          <w:p w14:paraId="059B850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3598" w:type="dxa"/>
          </w:tcPr>
          <w:p w14:paraId="6455E60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80" w:type="dxa"/>
          </w:tcPr>
          <w:p w14:paraId="03F0D067">
            <w:pPr>
              <w:kinsoku w:val="0"/>
              <w:autoSpaceDE w:val="0"/>
              <w:autoSpaceDN w:val="0"/>
              <w:adjustRightInd w:val="0"/>
              <w:snapToGrid w:val="0"/>
              <w:spacing w:before="110" w:line="227" w:lineRule="auto"/>
              <w:ind w:left="18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（1+销售货物增</w:t>
            </w:r>
          </w:p>
          <w:p w14:paraId="1BDF9014">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值税）”扣除违约</w:t>
            </w:r>
          </w:p>
          <w:p w14:paraId="1DBD90AE">
            <w:pPr>
              <w:kinsoku w:val="0"/>
              <w:autoSpaceDE w:val="0"/>
              <w:autoSpaceDN w:val="0"/>
              <w:adjustRightInd w:val="0"/>
              <w:snapToGrid w:val="0"/>
              <w:spacing w:before="113" w:line="226" w:lineRule="auto"/>
              <w:ind w:left="80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金</w:t>
            </w:r>
          </w:p>
        </w:tc>
        <w:tc>
          <w:tcPr>
            <w:tcW w:w="1779" w:type="dxa"/>
          </w:tcPr>
          <w:p w14:paraId="573CBF6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F4EA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5BA53BE5">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F53E5B0">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30</w:t>
            </w:r>
          </w:p>
        </w:tc>
        <w:tc>
          <w:tcPr>
            <w:tcW w:w="1253" w:type="dxa"/>
          </w:tcPr>
          <w:p w14:paraId="392E1CBE">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86887EB">
            <w:pPr>
              <w:kinsoku w:val="0"/>
              <w:autoSpaceDE w:val="0"/>
              <w:autoSpaceDN w:val="0"/>
              <w:adjustRightInd w:val="0"/>
              <w:snapToGrid w:val="0"/>
              <w:spacing w:before="65"/>
              <w:ind w:left="2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5.1.6（2）</w:t>
            </w:r>
          </w:p>
        </w:tc>
        <w:tc>
          <w:tcPr>
            <w:tcW w:w="3598" w:type="dxa"/>
          </w:tcPr>
          <w:p w14:paraId="47F63FB7">
            <w:pPr>
              <w:kinsoku w:val="0"/>
              <w:autoSpaceDE w:val="0"/>
              <w:autoSpaceDN w:val="0"/>
              <w:adjustRightInd w:val="0"/>
              <w:snapToGrid w:val="0"/>
              <w:spacing w:before="109" w:line="297" w:lineRule="auto"/>
              <w:ind w:left="113" w:right="105" w:hanging="2"/>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3"/>
                <w:kern w:val="0"/>
                <w:sz w:val="20"/>
                <w:szCs w:val="20"/>
                <w:highlight w:val="none"/>
                <w14:textFill>
                  <w14:solidFill>
                    <w14:schemeClr w14:val="tx1"/>
                  </w14:solidFill>
                </w14:textFill>
              </w:rPr>
              <w:t>逾期支付甲控乙购</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II</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3"/>
                <w:kern w:val="0"/>
                <w:sz w:val="20"/>
                <w:szCs w:val="20"/>
                <w:highlight w:val="none"/>
                <w14:textFill>
                  <w14:solidFill>
                    <w14:schemeClr w14:val="tx1"/>
                  </w14:solidFill>
                </w14:textFill>
              </w:rPr>
              <w:t>类材料款，或以</w:t>
            </w:r>
            <w:r>
              <w:rPr>
                <w:rFonts w:ascii="宋体" w:hAnsi="宋体" w:cs="宋体"/>
                <w:snapToGrid w:val="0"/>
                <w:color w:val="000000" w:themeColor="text1"/>
                <w:spacing w:val="8"/>
                <w:kern w:val="0"/>
                <w:sz w:val="20"/>
                <w:szCs w:val="20"/>
                <w:highlight w:val="none"/>
                <w14:textFill>
                  <w14:solidFill>
                    <w14:schemeClr w14:val="tx1"/>
                  </w14:solidFill>
                </w14:textFill>
              </w:rPr>
              <w:t>压低单价、私自扣留或巧设名目等方式</w:t>
            </w:r>
            <w:r>
              <w:rPr>
                <w:rFonts w:ascii="宋体" w:hAnsi="宋体" w:cs="宋体"/>
                <w:snapToGrid w:val="0"/>
                <w:color w:val="000000" w:themeColor="text1"/>
                <w:spacing w:val="9"/>
                <w:kern w:val="0"/>
                <w:sz w:val="20"/>
                <w:szCs w:val="20"/>
                <w:highlight w:val="none"/>
                <w14:textFill>
                  <w14:solidFill>
                    <w14:schemeClr w14:val="tx1"/>
                  </w14:solidFill>
                </w14:textFill>
              </w:rPr>
              <w:t>收取或变相收取供应商费用的</w:t>
            </w:r>
          </w:p>
        </w:tc>
        <w:tc>
          <w:tcPr>
            <w:tcW w:w="1980" w:type="dxa"/>
          </w:tcPr>
          <w:p w14:paraId="29D803C0">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804C680">
            <w:pPr>
              <w:kinsoku w:val="0"/>
              <w:autoSpaceDE w:val="0"/>
              <w:autoSpaceDN w:val="0"/>
              <w:adjustRightInd w:val="0"/>
              <w:snapToGrid w:val="0"/>
              <w:spacing w:before="65" w:line="228" w:lineRule="auto"/>
              <w:ind w:left="47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1</w:t>
            </w:r>
            <w:r>
              <w:rPr>
                <w:rFonts w:ascii="宋体" w:hAnsi="宋体" w:cs="宋体"/>
                <w:snapToGrid w:val="0"/>
                <w:color w:val="000000" w:themeColor="text1"/>
                <w:spacing w:val="-32"/>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万元/次</w:t>
            </w:r>
          </w:p>
        </w:tc>
        <w:tc>
          <w:tcPr>
            <w:tcW w:w="1779" w:type="dxa"/>
          </w:tcPr>
          <w:p w14:paraId="44075B9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9D2E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51C141C9">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1D9F6AB">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31</w:t>
            </w:r>
          </w:p>
        </w:tc>
        <w:tc>
          <w:tcPr>
            <w:tcW w:w="1253" w:type="dxa"/>
          </w:tcPr>
          <w:p w14:paraId="35B34951">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FC5D778">
            <w:pPr>
              <w:kinsoku w:val="0"/>
              <w:autoSpaceDE w:val="0"/>
              <w:autoSpaceDN w:val="0"/>
              <w:adjustRightInd w:val="0"/>
              <w:snapToGrid w:val="0"/>
              <w:spacing w:before="65"/>
              <w:ind w:left="2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5.1.6（3）</w:t>
            </w:r>
          </w:p>
        </w:tc>
        <w:tc>
          <w:tcPr>
            <w:tcW w:w="3598" w:type="dxa"/>
          </w:tcPr>
          <w:p w14:paraId="628E0C7F">
            <w:pPr>
              <w:kinsoku w:val="0"/>
              <w:autoSpaceDE w:val="0"/>
              <w:autoSpaceDN w:val="0"/>
              <w:adjustRightInd w:val="0"/>
              <w:snapToGrid w:val="0"/>
              <w:spacing w:before="288" w:line="334" w:lineRule="auto"/>
              <w:ind w:left="112" w:right="105" w:firstLine="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2"/>
                <w:kern w:val="0"/>
                <w:sz w:val="20"/>
                <w:szCs w:val="20"/>
                <w:highlight w:val="none"/>
                <w14:textFill>
                  <w14:solidFill>
                    <w14:schemeClr w14:val="tx1"/>
                  </w14:solidFill>
                </w14:textFill>
              </w:rPr>
              <w:t>不服从发包人对于甲控乙购</w:t>
            </w:r>
            <w:r>
              <w:rPr>
                <w:rFonts w:ascii="宋体" w:hAnsi="宋体" w:cs="宋体"/>
                <w:snapToGrid w:val="0"/>
                <w:color w:val="000000" w:themeColor="text1"/>
                <w:spacing w:val="-10"/>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II</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类材料</w:t>
            </w:r>
            <w:r>
              <w:rPr>
                <w:rFonts w:ascii="宋体" w:hAnsi="宋体" w:cs="宋体"/>
                <w:snapToGrid w:val="0"/>
                <w:color w:val="000000" w:themeColor="text1"/>
                <w:spacing w:val="8"/>
                <w:kern w:val="0"/>
                <w:sz w:val="20"/>
                <w:szCs w:val="20"/>
                <w:highlight w:val="none"/>
                <w14:textFill>
                  <w14:solidFill>
                    <w14:schemeClr w14:val="tx1"/>
                  </w14:solidFill>
                </w14:textFill>
              </w:rPr>
              <w:t>选定的管理的</w:t>
            </w:r>
          </w:p>
        </w:tc>
        <w:tc>
          <w:tcPr>
            <w:tcW w:w="1980" w:type="dxa"/>
          </w:tcPr>
          <w:p w14:paraId="1E56B480">
            <w:pPr>
              <w:kinsoku w:val="0"/>
              <w:autoSpaceDE w:val="0"/>
              <w:autoSpaceDN w:val="0"/>
              <w:adjustRightInd w:val="0"/>
              <w:snapToGrid w:val="0"/>
              <w:spacing w:before="109" w:line="228" w:lineRule="auto"/>
              <w:ind w:left="14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5</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万元/次，情节</w:t>
            </w:r>
          </w:p>
          <w:p w14:paraId="19307138">
            <w:pPr>
              <w:kinsoku w:val="0"/>
              <w:autoSpaceDE w:val="0"/>
              <w:autoSpaceDN w:val="0"/>
              <w:adjustRightInd w:val="0"/>
              <w:snapToGrid w:val="0"/>
              <w:spacing w:before="113" w:line="228" w:lineRule="auto"/>
              <w:ind w:left="17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严重的没收履约</w:t>
            </w:r>
          </w:p>
          <w:p w14:paraId="48C874DA">
            <w:pPr>
              <w:kinsoku w:val="0"/>
              <w:autoSpaceDE w:val="0"/>
              <w:autoSpaceDN w:val="0"/>
              <w:adjustRightInd w:val="0"/>
              <w:snapToGrid w:val="0"/>
              <w:spacing w:before="113" w:line="226" w:lineRule="auto"/>
              <w:ind w:left="59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保证金</w:t>
            </w:r>
          </w:p>
        </w:tc>
        <w:tc>
          <w:tcPr>
            <w:tcW w:w="1779" w:type="dxa"/>
          </w:tcPr>
          <w:p w14:paraId="6DA0D62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58E4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2E1BA6C8">
            <w:pPr>
              <w:kinsoku w:val="0"/>
              <w:autoSpaceDE w:val="0"/>
              <w:autoSpaceDN w:val="0"/>
              <w:adjustRightInd w:val="0"/>
              <w:snapToGrid w:val="0"/>
              <w:spacing w:before="289"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32</w:t>
            </w:r>
          </w:p>
        </w:tc>
        <w:tc>
          <w:tcPr>
            <w:tcW w:w="1253" w:type="dxa"/>
          </w:tcPr>
          <w:p w14:paraId="27232BB1">
            <w:pPr>
              <w:kinsoku w:val="0"/>
              <w:autoSpaceDE w:val="0"/>
              <w:autoSpaceDN w:val="0"/>
              <w:adjustRightInd w:val="0"/>
              <w:snapToGrid w:val="0"/>
              <w:spacing w:before="289"/>
              <w:ind w:left="2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5.1.6（4）</w:t>
            </w:r>
          </w:p>
        </w:tc>
        <w:tc>
          <w:tcPr>
            <w:tcW w:w="3598" w:type="dxa"/>
          </w:tcPr>
          <w:p w14:paraId="68048B0C">
            <w:pPr>
              <w:kinsoku w:val="0"/>
              <w:autoSpaceDE w:val="0"/>
              <w:autoSpaceDN w:val="0"/>
              <w:adjustRightInd w:val="0"/>
              <w:snapToGrid w:val="0"/>
              <w:spacing w:before="108" w:line="280" w:lineRule="auto"/>
              <w:ind w:left="115" w:right="10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未在规定的时间内对支座、伸缩缝进行</w:t>
            </w:r>
            <w:r>
              <w:rPr>
                <w:rFonts w:ascii="宋体" w:hAnsi="宋体" w:cs="宋体"/>
                <w:snapToGrid w:val="0"/>
                <w:color w:val="000000" w:themeColor="text1"/>
                <w:spacing w:val="6"/>
                <w:kern w:val="0"/>
                <w:sz w:val="20"/>
                <w:szCs w:val="20"/>
                <w:highlight w:val="none"/>
                <w14:textFill>
                  <w14:solidFill>
                    <w14:schemeClr w14:val="tx1"/>
                  </w14:solidFill>
                </w14:textFill>
              </w:rPr>
              <w:t>更换的</w:t>
            </w:r>
          </w:p>
        </w:tc>
        <w:tc>
          <w:tcPr>
            <w:tcW w:w="1980" w:type="dxa"/>
          </w:tcPr>
          <w:p w14:paraId="300A67F6">
            <w:pPr>
              <w:kinsoku w:val="0"/>
              <w:autoSpaceDE w:val="0"/>
              <w:autoSpaceDN w:val="0"/>
              <w:adjustRightInd w:val="0"/>
              <w:snapToGrid w:val="0"/>
              <w:spacing w:before="288"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779" w:type="dxa"/>
          </w:tcPr>
          <w:p w14:paraId="483F73A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0856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764E8883">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801D6E0">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260A68F">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33</w:t>
            </w:r>
          </w:p>
        </w:tc>
        <w:tc>
          <w:tcPr>
            <w:tcW w:w="1253" w:type="dxa"/>
          </w:tcPr>
          <w:p w14:paraId="1C0591A2">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0CCCBD3">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ABF03B0">
            <w:pPr>
              <w:kinsoku w:val="0"/>
              <w:autoSpaceDE w:val="0"/>
              <w:autoSpaceDN w:val="0"/>
              <w:adjustRightInd w:val="0"/>
              <w:snapToGrid w:val="0"/>
              <w:spacing w:before="65" w:line="267" w:lineRule="exact"/>
              <w:ind w:left="4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5.3.1</w:t>
            </w:r>
          </w:p>
        </w:tc>
        <w:tc>
          <w:tcPr>
            <w:tcW w:w="3598" w:type="dxa"/>
          </w:tcPr>
          <w:p w14:paraId="73D29B0B">
            <w:pPr>
              <w:kinsoku w:val="0"/>
              <w:autoSpaceDE w:val="0"/>
              <w:autoSpaceDN w:val="0"/>
              <w:adjustRightInd w:val="0"/>
              <w:snapToGrid w:val="0"/>
              <w:spacing w:before="290" w:line="333" w:lineRule="auto"/>
              <w:ind w:left="112" w:right="105" w:firstLine="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未经监理人同意，承包人将专用于本工</w:t>
            </w:r>
            <w:r>
              <w:rPr>
                <w:rFonts w:ascii="宋体" w:hAnsi="宋体" w:cs="宋体"/>
                <w:snapToGrid w:val="0"/>
                <w:color w:val="000000" w:themeColor="text1"/>
                <w:spacing w:val="8"/>
                <w:kern w:val="0"/>
                <w:sz w:val="20"/>
                <w:szCs w:val="20"/>
                <w:highlight w:val="none"/>
                <w14:textFill>
                  <w14:solidFill>
                    <w14:schemeClr w14:val="tx1"/>
                  </w14:solidFill>
                </w14:textFill>
              </w:rPr>
              <w:t>程的材料、工程设备、施工设备和临时设施运出施工场地或挪作他用。</w:t>
            </w:r>
          </w:p>
        </w:tc>
        <w:tc>
          <w:tcPr>
            <w:tcW w:w="1980" w:type="dxa"/>
          </w:tcPr>
          <w:p w14:paraId="360907F4">
            <w:pPr>
              <w:kinsoku w:val="0"/>
              <w:autoSpaceDE w:val="0"/>
              <w:autoSpaceDN w:val="0"/>
              <w:adjustRightInd w:val="0"/>
              <w:snapToGrid w:val="0"/>
              <w:spacing w:before="108" w:line="306" w:lineRule="auto"/>
              <w:ind w:left="169" w:right="138" w:hanging="1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万元/台，同时</w:t>
            </w:r>
            <w:r>
              <w:rPr>
                <w:rFonts w:ascii="宋体" w:hAnsi="宋体" w:cs="宋体"/>
                <w:snapToGrid w:val="0"/>
                <w:color w:val="000000" w:themeColor="text1"/>
                <w:spacing w:val="2"/>
                <w:kern w:val="0"/>
                <w:sz w:val="20"/>
                <w:szCs w:val="20"/>
                <w:highlight w:val="none"/>
                <w14:textFill>
                  <w14:solidFill>
                    <w14:schemeClr w14:val="tx1"/>
                  </w14:solidFill>
                </w14:textFill>
              </w:rPr>
              <w:t>处以</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元/天</w:t>
            </w:r>
            <w:r>
              <w:rPr>
                <w:rFonts w:ascii="宋体" w:hAnsi="宋体" w:cs="宋体"/>
                <w:snapToGrid w:val="0"/>
                <w:color w:val="000000" w:themeColor="text1"/>
                <w:spacing w:val="8"/>
                <w:kern w:val="0"/>
                <w:sz w:val="20"/>
                <w:szCs w:val="20"/>
                <w:highlight w:val="none"/>
                <w14:textFill>
                  <w14:solidFill>
                    <w14:schemeClr w14:val="tx1"/>
                  </w14:solidFill>
                </w14:textFill>
              </w:rPr>
              <w:t>的违约金直至承</w:t>
            </w:r>
            <w:r>
              <w:rPr>
                <w:rFonts w:ascii="宋体" w:hAnsi="宋体" w:cs="宋体"/>
                <w:snapToGrid w:val="0"/>
                <w:color w:val="000000" w:themeColor="text1"/>
                <w:spacing w:val="7"/>
                <w:kern w:val="0"/>
                <w:sz w:val="20"/>
                <w:szCs w:val="20"/>
                <w:highlight w:val="none"/>
                <w14:textFill>
                  <w14:solidFill>
                    <w14:schemeClr w14:val="tx1"/>
                  </w14:solidFill>
                </w14:textFill>
              </w:rPr>
              <w:t>包人纠正为止。</w:t>
            </w:r>
          </w:p>
        </w:tc>
        <w:tc>
          <w:tcPr>
            <w:tcW w:w="1779" w:type="dxa"/>
          </w:tcPr>
          <w:p w14:paraId="4282F8E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6608D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361E35D4">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B0BC916">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34</w:t>
            </w:r>
          </w:p>
        </w:tc>
        <w:tc>
          <w:tcPr>
            <w:tcW w:w="1253" w:type="dxa"/>
          </w:tcPr>
          <w:p w14:paraId="7C687AEB">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0976548">
            <w:pPr>
              <w:kinsoku w:val="0"/>
              <w:autoSpaceDE w:val="0"/>
              <w:autoSpaceDN w:val="0"/>
              <w:adjustRightInd w:val="0"/>
              <w:snapToGrid w:val="0"/>
              <w:spacing w:before="65" w:line="268" w:lineRule="exact"/>
              <w:ind w:left="42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5.6.11</w:t>
            </w:r>
          </w:p>
        </w:tc>
        <w:tc>
          <w:tcPr>
            <w:tcW w:w="3598" w:type="dxa"/>
          </w:tcPr>
          <w:p w14:paraId="7CCE559E">
            <w:pPr>
              <w:kinsoku w:val="0"/>
              <w:autoSpaceDE w:val="0"/>
              <w:autoSpaceDN w:val="0"/>
              <w:adjustRightInd w:val="0"/>
              <w:snapToGrid w:val="0"/>
              <w:spacing w:before="289" w:line="335" w:lineRule="auto"/>
              <w:ind w:left="129" w:right="105" w:hanging="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对自动采集的试验数据进行修改、造假</w:t>
            </w:r>
            <w:r>
              <w:rPr>
                <w:rFonts w:ascii="宋体" w:hAnsi="宋体" w:cs="宋体"/>
                <w:snapToGrid w:val="0"/>
                <w:color w:val="000000" w:themeColor="text1"/>
                <w:kern w:val="0"/>
                <w:sz w:val="20"/>
                <w:szCs w:val="20"/>
                <w:highlight w:val="none"/>
                <w14:textFill>
                  <w14:solidFill>
                    <w14:schemeClr w14:val="tx1"/>
                  </w14:solidFill>
                </w14:textFill>
              </w:rPr>
              <w:t>的</w:t>
            </w:r>
          </w:p>
        </w:tc>
        <w:tc>
          <w:tcPr>
            <w:tcW w:w="1980" w:type="dxa"/>
          </w:tcPr>
          <w:p w14:paraId="21F16C0B">
            <w:pPr>
              <w:kinsoku w:val="0"/>
              <w:autoSpaceDE w:val="0"/>
              <w:autoSpaceDN w:val="0"/>
              <w:adjustRightInd w:val="0"/>
              <w:snapToGrid w:val="0"/>
              <w:spacing w:before="109" w:line="228" w:lineRule="auto"/>
              <w:ind w:left="15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万元/次，责任</w:t>
            </w:r>
          </w:p>
          <w:p w14:paraId="02814AC9">
            <w:pPr>
              <w:kinsoku w:val="0"/>
              <w:autoSpaceDE w:val="0"/>
              <w:autoSpaceDN w:val="0"/>
              <w:adjustRightInd w:val="0"/>
              <w:snapToGrid w:val="0"/>
              <w:spacing w:before="113" w:line="228"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人第一次通报，第</w:t>
            </w:r>
          </w:p>
          <w:p w14:paraId="3F47AD3A">
            <w:pPr>
              <w:kinsoku w:val="0"/>
              <w:autoSpaceDE w:val="0"/>
              <w:autoSpaceDN w:val="0"/>
              <w:adjustRightInd w:val="0"/>
              <w:snapToGrid w:val="0"/>
              <w:spacing w:before="113" w:line="227" w:lineRule="auto"/>
              <w:ind w:left="49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二次清退</w:t>
            </w:r>
          </w:p>
        </w:tc>
        <w:tc>
          <w:tcPr>
            <w:tcW w:w="1779" w:type="dxa"/>
          </w:tcPr>
          <w:p w14:paraId="06D481D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8CA9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25D11CE">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313ED07">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CBF1D0E">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35</w:t>
            </w:r>
          </w:p>
        </w:tc>
        <w:tc>
          <w:tcPr>
            <w:tcW w:w="1253" w:type="dxa"/>
          </w:tcPr>
          <w:p w14:paraId="06E1BA49">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96BD55F">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4E838E3">
            <w:pPr>
              <w:kinsoku w:val="0"/>
              <w:autoSpaceDE w:val="0"/>
              <w:autoSpaceDN w:val="0"/>
              <w:adjustRightInd w:val="0"/>
              <w:snapToGrid w:val="0"/>
              <w:spacing w:before="65" w:line="268" w:lineRule="exact"/>
              <w:ind w:left="47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6.1.1</w:t>
            </w:r>
          </w:p>
        </w:tc>
        <w:tc>
          <w:tcPr>
            <w:tcW w:w="3598" w:type="dxa"/>
          </w:tcPr>
          <w:p w14:paraId="5608D4D7">
            <w:pPr>
              <w:widowControl/>
              <w:kinsoku w:val="0"/>
              <w:autoSpaceDE w:val="0"/>
              <w:autoSpaceDN w:val="0"/>
              <w:adjustRightInd w:val="0"/>
              <w:snapToGrid w:val="0"/>
              <w:spacing w:line="40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01A3ED">
            <w:pPr>
              <w:kinsoku w:val="0"/>
              <w:autoSpaceDE w:val="0"/>
              <w:autoSpaceDN w:val="0"/>
              <w:adjustRightInd w:val="0"/>
              <w:snapToGrid w:val="0"/>
              <w:spacing w:before="65" w:line="334" w:lineRule="auto"/>
              <w:ind w:left="113" w:right="10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按施工进度计划须到位而未到位的主</w:t>
            </w:r>
            <w:r>
              <w:rPr>
                <w:rFonts w:ascii="宋体" w:hAnsi="宋体" w:cs="宋体"/>
                <w:snapToGrid w:val="0"/>
                <w:color w:val="000000" w:themeColor="text1"/>
                <w:spacing w:val="8"/>
                <w:kern w:val="0"/>
                <w:sz w:val="20"/>
                <w:szCs w:val="20"/>
                <w:highlight w:val="none"/>
                <w14:textFill>
                  <w14:solidFill>
                    <w14:schemeClr w14:val="tx1"/>
                  </w14:solidFill>
                </w14:textFill>
              </w:rPr>
              <w:t>要设备，或擅自改变主要设备型号。</w:t>
            </w:r>
          </w:p>
        </w:tc>
        <w:tc>
          <w:tcPr>
            <w:tcW w:w="1980" w:type="dxa"/>
          </w:tcPr>
          <w:p w14:paraId="04A54E7C">
            <w:pPr>
              <w:kinsoku w:val="0"/>
              <w:autoSpaceDE w:val="0"/>
              <w:autoSpaceDN w:val="0"/>
              <w:adjustRightInd w:val="0"/>
              <w:snapToGrid w:val="0"/>
              <w:spacing w:before="112" w:line="305" w:lineRule="auto"/>
              <w:ind w:left="169" w:right="138" w:hanging="1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万元/台，同时</w:t>
            </w:r>
            <w:r>
              <w:rPr>
                <w:rFonts w:ascii="宋体" w:hAnsi="宋体" w:cs="宋体"/>
                <w:snapToGrid w:val="0"/>
                <w:color w:val="000000" w:themeColor="text1"/>
                <w:spacing w:val="2"/>
                <w:kern w:val="0"/>
                <w:sz w:val="20"/>
                <w:szCs w:val="20"/>
                <w:highlight w:val="none"/>
                <w14:textFill>
                  <w14:solidFill>
                    <w14:schemeClr w14:val="tx1"/>
                  </w14:solidFill>
                </w14:textFill>
              </w:rPr>
              <w:t>处以</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元/天</w:t>
            </w:r>
            <w:r>
              <w:rPr>
                <w:rFonts w:ascii="宋体" w:hAnsi="宋体" w:cs="宋体"/>
                <w:snapToGrid w:val="0"/>
                <w:color w:val="000000" w:themeColor="text1"/>
                <w:spacing w:val="8"/>
                <w:kern w:val="0"/>
                <w:sz w:val="20"/>
                <w:szCs w:val="20"/>
                <w:highlight w:val="none"/>
                <w14:textFill>
                  <w14:solidFill>
                    <w14:schemeClr w14:val="tx1"/>
                  </w14:solidFill>
                </w14:textFill>
              </w:rPr>
              <w:t>的违约金直至承</w:t>
            </w:r>
            <w:r>
              <w:rPr>
                <w:rFonts w:ascii="宋体" w:hAnsi="宋体" w:cs="宋体"/>
                <w:snapToGrid w:val="0"/>
                <w:color w:val="000000" w:themeColor="text1"/>
                <w:spacing w:val="7"/>
                <w:kern w:val="0"/>
                <w:sz w:val="20"/>
                <w:szCs w:val="20"/>
                <w:highlight w:val="none"/>
                <w14:textFill>
                  <w14:solidFill>
                    <w14:schemeClr w14:val="tx1"/>
                  </w14:solidFill>
                </w14:textFill>
              </w:rPr>
              <w:t>包人纠正为止。</w:t>
            </w:r>
          </w:p>
        </w:tc>
        <w:tc>
          <w:tcPr>
            <w:tcW w:w="1779" w:type="dxa"/>
          </w:tcPr>
          <w:p w14:paraId="3AABD58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42D3D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6E613F72">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CFC46F7">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7EE52F7">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36</w:t>
            </w:r>
          </w:p>
        </w:tc>
        <w:tc>
          <w:tcPr>
            <w:tcW w:w="1253" w:type="dxa"/>
          </w:tcPr>
          <w:p w14:paraId="21AFBBEF">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562B638">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676CAD9">
            <w:pPr>
              <w:kinsoku w:val="0"/>
              <w:autoSpaceDE w:val="0"/>
              <w:autoSpaceDN w:val="0"/>
              <w:adjustRightInd w:val="0"/>
              <w:snapToGrid w:val="0"/>
              <w:spacing w:before="65" w:line="268" w:lineRule="exact"/>
              <w:ind w:left="58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6.3</w:t>
            </w:r>
          </w:p>
        </w:tc>
        <w:tc>
          <w:tcPr>
            <w:tcW w:w="3598" w:type="dxa"/>
          </w:tcPr>
          <w:p w14:paraId="12B1E7EE">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7338C7">
            <w:pPr>
              <w:kinsoku w:val="0"/>
              <w:autoSpaceDE w:val="0"/>
              <w:autoSpaceDN w:val="0"/>
              <w:adjustRightInd w:val="0"/>
              <w:snapToGrid w:val="0"/>
              <w:spacing w:before="65" w:line="334" w:lineRule="auto"/>
              <w:ind w:left="114" w:right="105"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承包人未按监理人要求增加或更换施</w:t>
            </w:r>
            <w:r>
              <w:rPr>
                <w:rFonts w:ascii="宋体" w:hAnsi="宋体" w:cs="宋体"/>
                <w:snapToGrid w:val="0"/>
                <w:color w:val="000000" w:themeColor="text1"/>
                <w:spacing w:val="6"/>
                <w:kern w:val="0"/>
                <w:sz w:val="20"/>
                <w:szCs w:val="20"/>
                <w:highlight w:val="none"/>
                <w14:textFill>
                  <w14:solidFill>
                    <w14:schemeClr w14:val="tx1"/>
                  </w14:solidFill>
                </w14:textFill>
              </w:rPr>
              <w:t>工设备</w:t>
            </w:r>
          </w:p>
        </w:tc>
        <w:tc>
          <w:tcPr>
            <w:tcW w:w="1980" w:type="dxa"/>
          </w:tcPr>
          <w:p w14:paraId="7B834050">
            <w:pPr>
              <w:kinsoku w:val="0"/>
              <w:autoSpaceDE w:val="0"/>
              <w:autoSpaceDN w:val="0"/>
              <w:adjustRightInd w:val="0"/>
              <w:snapToGrid w:val="0"/>
              <w:spacing w:before="112" w:line="305" w:lineRule="auto"/>
              <w:ind w:left="169" w:right="138" w:hanging="1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万元/台，同时</w:t>
            </w:r>
            <w:r>
              <w:rPr>
                <w:rFonts w:ascii="宋体" w:hAnsi="宋体" w:cs="宋体"/>
                <w:snapToGrid w:val="0"/>
                <w:color w:val="000000" w:themeColor="text1"/>
                <w:spacing w:val="2"/>
                <w:kern w:val="0"/>
                <w:sz w:val="20"/>
                <w:szCs w:val="20"/>
                <w:highlight w:val="none"/>
                <w14:textFill>
                  <w14:solidFill>
                    <w14:schemeClr w14:val="tx1"/>
                  </w14:solidFill>
                </w14:textFill>
              </w:rPr>
              <w:t>处以</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元/天</w:t>
            </w:r>
            <w:r>
              <w:rPr>
                <w:rFonts w:ascii="宋体" w:hAnsi="宋体" w:cs="宋体"/>
                <w:snapToGrid w:val="0"/>
                <w:color w:val="000000" w:themeColor="text1"/>
                <w:spacing w:val="8"/>
                <w:kern w:val="0"/>
                <w:sz w:val="20"/>
                <w:szCs w:val="20"/>
                <w:highlight w:val="none"/>
                <w14:textFill>
                  <w14:solidFill>
                    <w14:schemeClr w14:val="tx1"/>
                  </w14:solidFill>
                </w14:textFill>
              </w:rPr>
              <w:t>的违约金直至承</w:t>
            </w:r>
            <w:r>
              <w:rPr>
                <w:rFonts w:ascii="宋体" w:hAnsi="宋体" w:cs="宋体"/>
                <w:snapToGrid w:val="0"/>
                <w:color w:val="000000" w:themeColor="text1"/>
                <w:spacing w:val="7"/>
                <w:kern w:val="0"/>
                <w:sz w:val="20"/>
                <w:szCs w:val="20"/>
                <w:highlight w:val="none"/>
                <w14:textFill>
                  <w14:solidFill>
                    <w14:schemeClr w14:val="tx1"/>
                  </w14:solidFill>
                </w14:textFill>
              </w:rPr>
              <w:t>包人纠正为止。</w:t>
            </w:r>
          </w:p>
        </w:tc>
        <w:tc>
          <w:tcPr>
            <w:tcW w:w="1779" w:type="dxa"/>
          </w:tcPr>
          <w:p w14:paraId="271C883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7B697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015FE20C">
            <w:pPr>
              <w:kinsoku w:val="0"/>
              <w:autoSpaceDE w:val="0"/>
              <w:autoSpaceDN w:val="0"/>
              <w:adjustRightInd w:val="0"/>
              <w:snapToGrid w:val="0"/>
              <w:spacing w:before="292"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37</w:t>
            </w:r>
          </w:p>
        </w:tc>
        <w:tc>
          <w:tcPr>
            <w:tcW w:w="1253" w:type="dxa"/>
          </w:tcPr>
          <w:p w14:paraId="4418E395">
            <w:pPr>
              <w:kinsoku w:val="0"/>
              <w:autoSpaceDE w:val="0"/>
              <w:autoSpaceDN w:val="0"/>
              <w:adjustRightInd w:val="0"/>
              <w:snapToGrid w:val="0"/>
              <w:spacing w:before="292" w:line="268" w:lineRule="exact"/>
              <w:ind w:left="43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11.1.1</w:t>
            </w:r>
          </w:p>
        </w:tc>
        <w:tc>
          <w:tcPr>
            <w:tcW w:w="3598" w:type="dxa"/>
          </w:tcPr>
          <w:p w14:paraId="6726DE75">
            <w:pPr>
              <w:kinsoku w:val="0"/>
              <w:autoSpaceDE w:val="0"/>
              <w:autoSpaceDN w:val="0"/>
              <w:adjustRightInd w:val="0"/>
              <w:snapToGrid w:val="0"/>
              <w:spacing w:before="292" w:line="228" w:lineRule="auto"/>
              <w:ind w:left="1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承包人未按期开工</w:t>
            </w:r>
          </w:p>
        </w:tc>
        <w:tc>
          <w:tcPr>
            <w:tcW w:w="1980" w:type="dxa"/>
          </w:tcPr>
          <w:p w14:paraId="7AACAAB1">
            <w:pPr>
              <w:kinsoku w:val="0"/>
              <w:autoSpaceDE w:val="0"/>
              <w:autoSpaceDN w:val="0"/>
              <w:adjustRightInd w:val="0"/>
              <w:snapToGrid w:val="0"/>
              <w:spacing w:before="112" w:line="278" w:lineRule="auto"/>
              <w:ind w:left="171" w:right="16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参照工期延误的标准扣除违约金</w:t>
            </w:r>
          </w:p>
        </w:tc>
        <w:tc>
          <w:tcPr>
            <w:tcW w:w="1779" w:type="dxa"/>
          </w:tcPr>
          <w:p w14:paraId="24C1F1F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55C13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04E04F97">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810846D">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7392465">
            <w:pPr>
              <w:kinsoku w:val="0"/>
              <w:autoSpaceDE w:val="0"/>
              <w:autoSpaceDN w:val="0"/>
              <w:adjustRightInd w:val="0"/>
              <w:snapToGrid w:val="0"/>
              <w:spacing w:before="65" w:line="269"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38</w:t>
            </w:r>
          </w:p>
        </w:tc>
        <w:tc>
          <w:tcPr>
            <w:tcW w:w="1253" w:type="dxa"/>
          </w:tcPr>
          <w:p w14:paraId="63750984">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C89445E">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83D1E90">
            <w:pPr>
              <w:kinsoku w:val="0"/>
              <w:autoSpaceDE w:val="0"/>
              <w:autoSpaceDN w:val="0"/>
              <w:adjustRightInd w:val="0"/>
              <w:snapToGrid w:val="0"/>
              <w:spacing w:before="65"/>
              <w:ind w:left="28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11.5（3）</w:t>
            </w:r>
          </w:p>
        </w:tc>
        <w:tc>
          <w:tcPr>
            <w:tcW w:w="3598" w:type="dxa"/>
          </w:tcPr>
          <w:p w14:paraId="1E1E8702">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F16E7D7">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27A7AA0">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承包人的工期延误</w:t>
            </w:r>
          </w:p>
        </w:tc>
        <w:tc>
          <w:tcPr>
            <w:tcW w:w="1980" w:type="dxa"/>
          </w:tcPr>
          <w:p w14:paraId="757C029B">
            <w:pPr>
              <w:kinsoku w:val="0"/>
              <w:autoSpaceDE w:val="0"/>
              <w:autoSpaceDN w:val="0"/>
              <w:adjustRightInd w:val="0"/>
              <w:snapToGrid w:val="0"/>
              <w:spacing w:before="111" w:line="228" w:lineRule="auto"/>
              <w:ind w:left="17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按照项目专用条</w:t>
            </w:r>
          </w:p>
          <w:p w14:paraId="40C5B109">
            <w:pPr>
              <w:kinsoku w:val="0"/>
              <w:autoSpaceDE w:val="0"/>
              <w:autoSpaceDN w:val="0"/>
              <w:adjustRightInd w:val="0"/>
              <w:snapToGrid w:val="0"/>
              <w:spacing w:before="113" w:line="228" w:lineRule="auto"/>
              <w:ind w:left="14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款数据表第</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11.5</w:t>
            </w:r>
          </w:p>
          <w:p w14:paraId="3AE2A1F5">
            <w:pPr>
              <w:kinsoku w:val="0"/>
              <w:autoSpaceDE w:val="0"/>
              <w:autoSpaceDN w:val="0"/>
              <w:adjustRightInd w:val="0"/>
              <w:snapToGrid w:val="0"/>
              <w:spacing w:before="113" w:line="228" w:lineRule="auto"/>
              <w:ind w:left="1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款规定的标准扣</w:t>
            </w:r>
          </w:p>
          <w:p w14:paraId="68D27C57">
            <w:pPr>
              <w:kinsoku w:val="0"/>
              <w:autoSpaceDE w:val="0"/>
              <w:autoSpaceDN w:val="0"/>
              <w:adjustRightInd w:val="0"/>
              <w:snapToGrid w:val="0"/>
              <w:spacing w:before="112" w:line="223" w:lineRule="auto"/>
              <w:ind w:left="81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除</w:t>
            </w:r>
          </w:p>
        </w:tc>
        <w:tc>
          <w:tcPr>
            <w:tcW w:w="1779" w:type="dxa"/>
          </w:tcPr>
          <w:p w14:paraId="61E52BC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9538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861" w:type="dxa"/>
          </w:tcPr>
          <w:p w14:paraId="12D1F01D">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C569AD5">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66D08E2">
            <w:pPr>
              <w:kinsoku w:val="0"/>
              <w:autoSpaceDE w:val="0"/>
              <w:autoSpaceDN w:val="0"/>
              <w:adjustRightInd w:val="0"/>
              <w:snapToGrid w:val="0"/>
              <w:spacing w:before="65" w:line="268" w:lineRule="exact"/>
              <w:ind w:left="33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39</w:t>
            </w:r>
          </w:p>
        </w:tc>
        <w:tc>
          <w:tcPr>
            <w:tcW w:w="1253" w:type="dxa"/>
          </w:tcPr>
          <w:p w14:paraId="258FA7FC">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E4CF150">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422EE96">
            <w:pPr>
              <w:kinsoku w:val="0"/>
              <w:autoSpaceDE w:val="0"/>
              <w:autoSpaceDN w:val="0"/>
              <w:adjustRightInd w:val="0"/>
              <w:snapToGrid w:val="0"/>
              <w:spacing w:before="65"/>
              <w:ind w:left="28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11.5（6）</w:t>
            </w:r>
          </w:p>
        </w:tc>
        <w:tc>
          <w:tcPr>
            <w:tcW w:w="3598" w:type="dxa"/>
          </w:tcPr>
          <w:p w14:paraId="265BD25E">
            <w:pPr>
              <w:kinsoku w:val="0"/>
              <w:autoSpaceDE w:val="0"/>
              <w:autoSpaceDN w:val="0"/>
              <w:adjustRightInd w:val="0"/>
              <w:snapToGrid w:val="0"/>
              <w:spacing w:before="110" w:line="306" w:lineRule="auto"/>
              <w:ind w:left="113"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连续三个月未能完成发包人下发（批</w:t>
            </w:r>
            <w:r>
              <w:rPr>
                <w:rFonts w:ascii="宋体" w:hAnsi="宋体" w:cs="宋体"/>
                <w:snapToGrid w:val="0"/>
                <w:color w:val="000000" w:themeColor="text1"/>
                <w:spacing w:val="7"/>
                <w:kern w:val="0"/>
                <w:sz w:val="20"/>
                <w:szCs w:val="20"/>
                <w:highlight w:val="none"/>
                <w14:textFill>
                  <w14:solidFill>
                    <w14:schemeClr w14:val="tx1"/>
                  </w14:solidFill>
                </w14:textFill>
              </w:rPr>
              <w:t>复）</w:t>
            </w:r>
            <w:r>
              <w:rPr>
                <w:rFonts w:ascii="宋体" w:hAnsi="宋体" w:cs="宋体"/>
                <w:snapToGrid w:val="0"/>
                <w:color w:val="000000" w:themeColor="text1"/>
                <w:spacing w:val="-5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的月计划任务的</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80%或累计未能完</w:t>
            </w:r>
            <w:r>
              <w:rPr>
                <w:rFonts w:ascii="宋体" w:hAnsi="宋体" w:cs="宋体"/>
                <w:snapToGrid w:val="0"/>
                <w:color w:val="000000" w:themeColor="text1"/>
                <w:spacing w:val="8"/>
                <w:kern w:val="0"/>
                <w:sz w:val="20"/>
                <w:szCs w:val="20"/>
                <w:highlight w:val="none"/>
                <w14:textFill>
                  <w14:solidFill>
                    <w14:schemeClr w14:val="tx1"/>
                  </w14:solidFill>
                </w14:textFill>
              </w:rPr>
              <w:t>成发包人下发（批复）的季度计划任务</w:t>
            </w:r>
            <w:r>
              <w:rPr>
                <w:rFonts w:ascii="宋体" w:hAnsi="宋体" w:cs="宋体"/>
                <w:snapToGrid w:val="0"/>
                <w:color w:val="000000" w:themeColor="text1"/>
                <w:spacing w:val="2"/>
                <w:kern w:val="0"/>
                <w:sz w:val="20"/>
                <w:szCs w:val="20"/>
                <w:highlight w:val="none"/>
                <w14:textFill>
                  <w14:solidFill>
                    <w14:schemeClr w14:val="tx1"/>
                  </w14:solidFill>
                </w14:textFill>
              </w:rPr>
              <w:t>的</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80%的</w:t>
            </w:r>
          </w:p>
        </w:tc>
        <w:tc>
          <w:tcPr>
            <w:tcW w:w="1980" w:type="dxa"/>
          </w:tcPr>
          <w:p w14:paraId="277F591B">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5D5789">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3E8E809">
            <w:pPr>
              <w:kinsoku w:val="0"/>
              <w:autoSpaceDE w:val="0"/>
              <w:autoSpaceDN w:val="0"/>
              <w:adjustRightInd w:val="0"/>
              <w:snapToGrid w:val="0"/>
              <w:spacing w:before="65"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50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779" w:type="dxa"/>
          </w:tcPr>
          <w:p w14:paraId="6FEF737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6458470C">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DFD1A46">
      <w:pPr>
        <w:rPr>
          <w:color w:val="000000" w:themeColor="text1"/>
          <w:highlight w:val="none"/>
          <w14:textFill>
            <w14:solidFill>
              <w14:schemeClr w14:val="tx1"/>
            </w14:solidFill>
          </w14:textFill>
        </w:rPr>
        <w:sectPr>
          <w:footerReference r:id="rId70" w:type="default"/>
          <w:pgSz w:w="11906" w:h="16839"/>
          <w:pgMar w:top="1182" w:right="1125" w:bottom="1168" w:left="1304" w:header="849" w:footer="934" w:gutter="0"/>
          <w:cols w:space="720" w:num="1"/>
        </w:sectPr>
      </w:pPr>
    </w:p>
    <w:p w14:paraId="235C5A8F">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50CB3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61" w:type="dxa"/>
          </w:tcPr>
          <w:p w14:paraId="6A065397">
            <w:pPr>
              <w:kinsoku w:val="0"/>
              <w:autoSpaceDE w:val="0"/>
              <w:autoSpaceDN w:val="0"/>
              <w:adjustRightInd w:val="0"/>
              <w:snapToGrid w:val="0"/>
              <w:spacing w:before="216" w:line="229" w:lineRule="auto"/>
              <w:ind w:left="22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1469" w:type="dxa"/>
          </w:tcPr>
          <w:p w14:paraId="177F969F">
            <w:pPr>
              <w:kinsoku w:val="0"/>
              <w:autoSpaceDE w:val="0"/>
              <w:autoSpaceDN w:val="0"/>
              <w:adjustRightInd w:val="0"/>
              <w:snapToGrid w:val="0"/>
              <w:spacing w:before="216" w:line="227" w:lineRule="auto"/>
              <w:ind w:left="3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合同依据</w:t>
            </w:r>
          </w:p>
        </w:tc>
        <w:tc>
          <w:tcPr>
            <w:tcW w:w="3763" w:type="dxa"/>
          </w:tcPr>
          <w:p w14:paraId="3B3E103F">
            <w:pPr>
              <w:kinsoku w:val="0"/>
              <w:autoSpaceDE w:val="0"/>
              <w:autoSpaceDN w:val="0"/>
              <w:adjustRightInd w:val="0"/>
              <w:snapToGrid w:val="0"/>
              <w:spacing w:before="215" w:line="228" w:lineRule="auto"/>
              <w:ind w:left="14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违约内容</w:t>
            </w:r>
          </w:p>
        </w:tc>
        <w:tc>
          <w:tcPr>
            <w:tcW w:w="1799" w:type="dxa"/>
          </w:tcPr>
          <w:p w14:paraId="2FC7D913">
            <w:pPr>
              <w:kinsoku w:val="0"/>
              <w:autoSpaceDE w:val="0"/>
              <w:autoSpaceDN w:val="0"/>
              <w:adjustRightInd w:val="0"/>
              <w:snapToGrid w:val="0"/>
              <w:spacing w:before="216" w:line="228" w:lineRule="auto"/>
              <w:ind w:left="37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违约金标准</w:t>
            </w:r>
          </w:p>
        </w:tc>
        <w:tc>
          <w:tcPr>
            <w:tcW w:w="1579" w:type="dxa"/>
          </w:tcPr>
          <w:p w14:paraId="28EC9825">
            <w:pPr>
              <w:kinsoku w:val="0"/>
              <w:autoSpaceDE w:val="0"/>
              <w:autoSpaceDN w:val="0"/>
              <w:adjustRightInd w:val="0"/>
              <w:snapToGrid w:val="0"/>
              <w:spacing w:before="216" w:line="229" w:lineRule="auto"/>
              <w:ind w:left="58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2"/>
                <w:kern w:val="0"/>
                <w:sz w:val="20"/>
                <w:szCs w:val="20"/>
                <w:highlight w:val="none"/>
                <w:lang w:eastAsia="en-US"/>
                <w14:textFill>
                  <w14:solidFill>
                    <w14:schemeClr w14:val="tx1"/>
                  </w14:solidFill>
                </w14:textFill>
              </w:rPr>
              <w:t>备注</w:t>
            </w:r>
          </w:p>
        </w:tc>
      </w:tr>
      <w:tr w14:paraId="3EE12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6C8ADCA8">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414B557">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B7D8F88">
            <w:pPr>
              <w:kinsoku w:val="0"/>
              <w:autoSpaceDE w:val="0"/>
              <w:autoSpaceDN w:val="0"/>
              <w:adjustRightInd w:val="0"/>
              <w:snapToGrid w:val="0"/>
              <w:spacing w:before="65" w:line="269"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40</w:t>
            </w:r>
          </w:p>
        </w:tc>
        <w:tc>
          <w:tcPr>
            <w:tcW w:w="1469" w:type="dxa"/>
          </w:tcPr>
          <w:p w14:paraId="1A1052A4">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49EA951">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1CE5FEB">
            <w:pPr>
              <w:kinsoku w:val="0"/>
              <w:autoSpaceDE w:val="0"/>
              <w:autoSpaceDN w:val="0"/>
              <w:adjustRightInd w:val="0"/>
              <w:snapToGrid w:val="0"/>
              <w:spacing w:before="65" w:line="268" w:lineRule="exact"/>
              <w:ind w:left="43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13.1.2</w:t>
            </w:r>
          </w:p>
        </w:tc>
        <w:tc>
          <w:tcPr>
            <w:tcW w:w="3763" w:type="dxa"/>
          </w:tcPr>
          <w:p w14:paraId="3F3E2B9D">
            <w:pPr>
              <w:kinsoku w:val="0"/>
              <w:autoSpaceDE w:val="0"/>
              <w:autoSpaceDN w:val="0"/>
              <w:adjustRightInd w:val="0"/>
              <w:snapToGrid w:val="0"/>
              <w:spacing w:before="108" w:line="306" w:lineRule="auto"/>
              <w:ind w:left="114" w:right="105" w:firstLine="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因任何方式（包括政府质量监督部门、</w:t>
            </w:r>
            <w:r>
              <w:rPr>
                <w:rFonts w:ascii="宋体" w:hAnsi="宋体" w:cs="宋体"/>
                <w:snapToGrid w:val="0"/>
                <w:color w:val="000000" w:themeColor="text1"/>
                <w:spacing w:val="8"/>
                <w:kern w:val="0"/>
                <w:sz w:val="20"/>
                <w:szCs w:val="20"/>
                <w:highlight w:val="none"/>
                <w14:textFill>
                  <w14:solidFill>
                    <w14:schemeClr w14:val="tx1"/>
                  </w14:solidFill>
                </w14:textFill>
              </w:rPr>
              <w:t>发包人或监理人组织的各类检查）发现的关键工程质量不合格、工序不规范造</w:t>
            </w:r>
            <w:r>
              <w:rPr>
                <w:rFonts w:ascii="宋体" w:hAnsi="宋体" w:cs="宋体"/>
                <w:snapToGrid w:val="0"/>
                <w:color w:val="000000" w:themeColor="text1"/>
                <w:spacing w:val="7"/>
                <w:kern w:val="0"/>
                <w:sz w:val="20"/>
                <w:szCs w:val="20"/>
                <w:highlight w:val="none"/>
                <w14:textFill>
                  <w14:solidFill>
                    <w14:schemeClr w14:val="tx1"/>
                  </w14:solidFill>
                </w14:textFill>
              </w:rPr>
              <w:t>成质量隐患的</w:t>
            </w:r>
          </w:p>
        </w:tc>
        <w:tc>
          <w:tcPr>
            <w:tcW w:w="1799" w:type="dxa"/>
          </w:tcPr>
          <w:p w14:paraId="041FD243">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092D614">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81A3E1D">
            <w:pPr>
              <w:kinsoku w:val="0"/>
              <w:autoSpaceDE w:val="0"/>
              <w:autoSpaceDN w:val="0"/>
              <w:adjustRightInd w:val="0"/>
              <w:snapToGrid w:val="0"/>
              <w:spacing w:before="65" w:line="228" w:lineRule="auto"/>
              <w:ind w:left="4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5"/>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lang w:eastAsia="en-US"/>
                <w14:textFill>
                  <w14:solidFill>
                    <w14:schemeClr w14:val="tx1"/>
                  </w14:solidFill>
                </w14:textFill>
              </w:rPr>
              <w:t>万元/次</w:t>
            </w:r>
          </w:p>
        </w:tc>
        <w:tc>
          <w:tcPr>
            <w:tcW w:w="1579" w:type="dxa"/>
          </w:tcPr>
          <w:p w14:paraId="4B07C98A">
            <w:pPr>
              <w:kinsoku w:val="0"/>
              <w:autoSpaceDE w:val="0"/>
              <w:autoSpaceDN w:val="0"/>
              <w:adjustRightInd w:val="0"/>
              <w:snapToGrid w:val="0"/>
              <w:spacing w:before="109"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12CBBF06">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62D19FE0">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52F73A04">
            <w:pPr>
              <w:kinsoku w:val="0"/>
              <w:autoSpaceDE w:val="0"/>
              <w:autoSpaceDN w:val="0"/>
              <w:adjustRightInd w:val="0"/>
              <w:snapToGrid w:val="0"/>
              <w:spacing w:before="113" w:line="226"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43CD7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455C65AF">
            <w:pPr>
              <w:kinsoku w:val="0"/>
              <w:autoSpaceDE w:val="0"/>
              <w:autoSpaceDN w:val="0"/>
              <w:adjustRightInd w:val="0"/>
              <w:snapToGrid w:val="0"/>
              <w:spacing w:before="290" w:line="270"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41</w:t>
            </w:r>
          </w:p>
        </w:tc>
        <w:tc>
          <w:tcPr>
            <w:tcW w:w="1469" w:type="dxa"/>
          </w:tcPr>
          <w:p w14:paraId="6252B43F">
            <w:pPr>
              <w:kinsoku w:val="0"/>
              <w:autoSpaceDE w:val="0"/>
              <w:autoSpaceDN w:val="0"/>
              <w:adjustRightInd w:val="0"/>
              <w:snapToGrid w:val="0"/>
              <w:spacing w:before="290" w:line="267" w:lineRule="exact"/>
              <w:ind w:left="54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13.7</w:t>
            </w:r>
          </w:p>
        </w:tc>
        <w:tc>
          <w:tcPr>
            <w:tcW w:w="3763" w:type="dxa"/>
          </w:tcPr>
          <w:p w14:paraId="0379044D">
            <w:pPr>
              <w:kinsoku w:val="0"/>
              <w:autoSpaceDE w:val="0"/>
              <w:autoSpaceDN w:val="0"/>
              <w:adjustRightInd w:val="0"/>
              <w:snapToGrid w:val="0"/>
              <w:spacing w:before="110" w:line="279" w:lineRule="auto"/>
              <w:ind w:left="133" w:right="105" w:hanging="2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存在偷工减料，有意降低工程质量，企</w:t>
            </w:r>
            <w:r>
              <w:rPr>
                <w:rFonts w:ascii="宋体" w:hAnsi="宋体" w:cs="宋体"/>
                <w:snapToGrid w:val="0"/>
                <w:color w:val="000000" w:themeColor="text1"/>
                <w:spacing w:val="7"/>
                <w:kern w:val="0"/>
                <w:sz w:val="20"/>
                <w:szCs w:val="20"/>
                <w:highlight w:val="none"/>
                <w14:textFill>
                  <w14:solidFill>
                    <w14:schemeClr w14:val="tx1"/>
                  </w14:solidFill>
                </w14:textFill>
              </w:rPr>
              <w:t>图蒙骗发包人、监理人的</w:t>
            </w:r>
          </w:p>
        </w:tc>
        <w:tc>
          <w:tcPr>
            <w:tcW w:w="1799" w:type="dxa"/>
          </w:tcPr>
          <w:p w14:paraId="48EBC905">
            <w:pPr>
              <w:kinsoku w:val="0"/>
              <w:autoSpaceDE w:val="0"/>
              <w:autoSpaceDN w:val="0"/>
              <w:adjustRightInd w:val="0"/>
              <w:snapToGrid w:val="0"/>
              <w:spacing w:before="289" w:line="228" w:lineRule="auto"/>
              <w:ind w:left="4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10</w:t>
            </w:r>
            <w:r>
              <w:rPr>
                <w:rFonts w:ascii="宋体" w:hAnsi="宋体" w:cs="宋体"/>
                <w:snapToGrid w:val="0"/>
                <w:color w:val="000000" w:themeColor="text1"/>
                <w:spacing w:val="-35"/>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lang w:eastAsia="en-US"/>
                <w14:textFill>
                  <w14:solidFill>
                    <w14:schemeClr w14:val="tx1"/>
                  </w14:solidFill>
                </w14:textFill>
              </w:rPr>
              <w:t>万元/次</w:t>
            </w:r>
          </w:p>
        </w:tc>
        <w:tc>
          <w:tcPr>
            <w:tcW w:w="1579" w:type="dxa"/>
          </w:tcPr>
          <w:p w14:paraId="51D0B01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6375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373F51C5">
            <w:pPr>
              <w:kinsoku w:val="0"/>
              <w:autoSpaceDE w:val="0"/>
              <w:autoSpaceDN w:val="0"/>
              <w:adjustRightInd w:val="0"/>
              <w:snapToGrid w:val="0"/>
              <w:spacing w:before="212" w:line="270"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42</w:t>
            </w:r>
          </w:p>
        </w:tc>
        <w:tc>
          <w:tcPr>
            <w:tcW w:w="1469" w:type="dxa"/>
          </w:tcPr>
          <w:p w14:paraId="206FDEA9">
            <w:pPr>
              <w:kinsoku w:val="0"/>
              <w:autoSpaceDE w:val="0"/>
              <w:autoSpaceDN w:val="0"/>
              <w:adjustRightInd w:val="0"/>
              <w:snapToGrid w:val="0"/>
              <w:spacing w:before="212" w:line="268" w:lineRule="exact"/>
              <w:ind w:left="49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13.12</w:t>
            </w:r>
          </w:p>
        </w:tc>
        <w:tc>
          <w:tcPr>
            <w:tcW w:w="3763" w:type="dxa"/>
          </w:tcPr>
          <w:p w14:paraId="50F229C3">
            <w:pPr>
              <w:kinsoku w:val="0"/>
              <w:autoSpaceDE w:val="0"/>
              <w:autoSpaceDN w:val="0"/>
              <w:adjustRightInd w:val="0"/>
              <w:snapToGrid w:val="0"/>
              <w:spacing w:before="213" w:line="228" w:lineRule="auto"/>
              <w:ind w:left="13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出现严重的质量缺陷或质量事故的</w:t>
            </w:r>
          </w:p>
        </w:tc>
        <w:tc>
          <w:tcPr>
            <w:tcW w:w="1799" w:type="dxa"/>
          </w:tcPr>
          <w:p w14:paraId="2D5E65F7">
            <w:pPr>
              <w:kinsoku w:val="0"/>
              <w:autoSpaceDE w:val="0"/>
              <w:autoSpaceDN w:val="0"/>
              <w:adjustRightInd w:val="0"/>
              <w:snapToGrid w:val="0"/>
              <w:spacing w:before="212" w:line="228" w:lineRule="auto"/>
              <w:ind w:left="26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10-50</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579" w:type="dxa"/>
          </w:tcPr>
          <w:p w14:paraId="3E9B889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1759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25E23A8C">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EB9B447">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576463B">
            <w:pPr>
              <w:kinsoku w:val="0"/>
              <w:autoSpaceDE w:val="0"/>
              <w:autoSpaceDN w:val="0"/>
              <w:adjustRightInd w:val="0"/>
              <w:snapToGrid w:val="0"/>
              <w:spacing w:before="65" w:line="268"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43</w:t>
            </w:r>
          </w:p>
        </w:tc>
        <w:tc>
          <w:tcPr>
            <w:tcW w:w="1469" w:type="dxa"/>
          </w:tcPr>
          <w:p w14:paraId="448E7D2C">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098499B">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7629A61">
            <w:pPr>
              <w:kinsoku w:val="0"/>
              <w:autoSpaceDE w:val="0"/>
              <w:autoSpaceDN w:val="0"/>
              <w:adjustRightInd w:val="0"/>
              <w:snapToGrid w:val="0"/>
              <w:spacing w:before="65" w:line="267" w:lineRule="exact"/>
              <w:ind w:left="42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position w:val="1"/>
                <w:sz w:val="20"/>
                <w:szCs w:val="20"/>
                <w:highlight w:val="none"/>
                <w:lang w:eastAsia="en-US"/>
                <w14:textFill>
                  <w14:solidFill>
                    <w14:schemeClr w14:val="tx1"/>
                  </w14:solidFill>
                </w14:textFill>
              </w:rPr>
              <w:t>20.1.3</w:t>
            </w:r>
          </w:p>
        </w:tc>
        <w:tc>
          <w:tcPr>
            <w:tcW w:w="3763" w:type="dxa"/>
          </w:tcPr>
          <w:p w14:paraId="3866597E">
            <w:pPr>
              <w:kinsoku w:val="0"/>
              <w:autoSpaceDE w:val="0"/>
              <w:autoSpaceDN w:val="0"/>
              <w:adjustRightInd w:val="0"/>
              <w:snapToGrid w:val="0"/>
              <w:spacing w:before="289" w:line="334" w:lineRule="auto"/>
              <w:ind w:left="112" w:right="105"/>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承包人不履行索赔主体责任或发包人认为承包人履行索赔主体责任不尽责</w:t>
            </w:r>
            <w:r>
              <w:rPr>
                <w:rFonts w:ascii="宋体" w:hAnsi="宋体" w:cs="宋体"/>
                <w:snapToGrid w:val="0"/>
                <w:color w:val="000000" w:themeColor="text1"/>
                <w:kern w:val="0"/>
                <w:sz w:val="20"/>
                <w:szCs w:val="20"/>
                <w:highlight w:val="none"/>
                <w14:textFill>
                  <w14:solidFill>
                    <w14:schemeClr w14:val="tx1"/>
                  </w14:solidFill>
                </w14:textFill>
              </w:rPr>
              <w:t>的</w:t>
            </w:r>
          </w:p>
        </w:tc>
        <w:tc>
          <w:tcPr>
            <w:tcW w:w="1799" w:type="dxa"/>
          </w:tcPr>
          <w:p w14:paraId="6293C120">
            <w:pPr>
              <w:kinsoku w:val="0"/>
              <w:autoSpaceDE w:val="0"/>
              <w:autoSpaceDN w:val="0"/>
              <w:adjustRightInd w:val="0"/>
              <w:snapToGrid w:val="0"/>
              <w:spacing w:before="288" w:line="228" w:lineRule="auto"/>
              <w:ind w:left="16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视情节最高按该</w:t>
            </w:r>
          </w:p>
          <w:p w14:paraId="599D40CB">
            <w:pPr>
              <w:kinsoku w:val="0"/>
              <w:autoSpaceDE w:val="0"/>
              <w:autoSpaceDN w:val="0"/>
              <w:adjustRightInd w:val="0"/>
              <w:snapToGrid w:val="0"/>
              <w:spacing w:before="113" w:line="228" w:lineRule="auto"/>
              <w:ind w:left="14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变更金额的</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100%</w:t>
            </w:r>
          </w:p>
          <w:p w14:paraId="2D93D1E6">
            <w:pPr>
              <w:kinsoku w:val="0"/>
              <w:autoSpaceDE w:val="0"/>
              <w:autoSpaceDN w:val="0"/>
              <w:adjustRightInd w:val="0"/>
              <w:snapToGrid w:val="0"/>
              <w:spacing w:before="113" w:line="228" w:lineRule="auto"/>
              <w:ind w:left="3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计扣违约金</w:t>
            </w:r>
          </w:p>
        </w:tc>
        <w:tc>
          <w:tcPr>
            <w:tcW w:w="1579" w:type="dxa"/>
          </w:tcPr>
          <w:p w14:paraId="10755F62">
            <w:pPr>
              <w:kinsoku w:val="0"/>
              <w:autoSpaceDE w:val="0"/>
              <w:autoSpaceDN w:val="0"/>
              <w:adjustRightInd w:val="0"/>
              <w:snapToGrid w:val="0"/>
              <w:spacing w:before="108" w:line="227" w:lineRule="auto"/>
              <w:ind w:left="16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供招标人结合</w:t>
            </w:r>
          </w:p>
          <w:p w14:paraId="6E725C5B">
            <w:pPr>
              <w:kinsoku w:val="0"/>
              <w:autoSpaceDE w:val="0"/>
              <w:autoSpaceDN w:val="0"/>
              <w:adjustRightInd w:val="0"/>
              <w:snapToGrid w:val="0"/>
              <w:spacing w:before="114" w:line="228" w:lineRule="auto"/>
              <w:ind w:left="16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项目实际情况</w:t>
            </w:r>
          </w:p>
          <w:p w14:paraId="2707F524">
            <w:pPr>
              <w:kinsoku w:val="0"/>
              <w:autoSpaceDE w:val="0"/>
              <w:autoSpaceDN w:val="0"/>
              <w:adjustRightInd w:val="0"/>
              <w:snapToGrid w:val="0"/>
              <w:spacing w:before="112" w:line="228" w:lineRule="auto"/>
              <w:ind w:left="16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lang w:eastAsia="en-US"/>
                <w14:textFill>
                  <w14:solidFill>
                    <w14:schemeClr w14:val="tx1"/>
                  </w14:solidFill>
                </w14:textFill>
              </w:rPr>
              <w:t>参考使用，合</w:t>
            </w:r>
          </w:p>
          <w:p w14:paraId="6202460F">
            <w:pPr>
              <w:kinsoku w:val="0"/>
              <w:autoSpaceDE w:val="0"/>
              <w:autoSpaceDN w:val="0"/>
              <w:adjustRightInd w:val="0"/>
              <w:snapToGrid w:val="0"/>
              <w:spacing w:before="113" w:line="226" w:lineRule="auto"/>
              <w:ind w:left="48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6"/>
                <w:kern w:val="0"/>
                <w:sz w:val="20"/>
                <w:szCs w:val="20"/>
                <w:highlight w:val="none"/>
                <w:lang w:eastAsia="en-US"/>
                <w14:textFill>
                  <w14:solidFill>
                    <w14:schemeClr w14:val="tx1"/>
                  </w14:solidFill>
                </w14:textFill>
              </w:rPr>
              <w:t>理设置</w:t>
            </w:r>
          </w:p>
        </w:tc>
      </w:tr>
      <w:tr w14:paraId="60EAE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7CE16A87">
            <w:pPr>
              <w:kinsoku w:val="0"/>
              <w:autoSpaceDE w:val="0"/>
              <w:autoSpaceDN w:val="0"/>
              <w:adjustRightInd w:val="0"/>
              <w:snapToGrid w:val="0"/>
              <w:spacing w:before="212" w:line="270"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44</w:t>
            </w:r>
          </w:p>
        </w:tc>
        <w:tc>
          <w:tcPr>
            <w:tcW w:w="1469" w:type="dxa"/>
          </w:tcPr>
          <w:p w14:paraId="56331633">
            <w:pPr>
              <w:kinsoku w:val="0"/>
              <w:autoSpaceDE w:val="0"/>
              <w:autoSpaceDN w:val="0"/>
              <w:adjustRightInd w:val="0"/>
              <w:snapToGrid w:val="0"/>
              <w:spacing w:before="212" w:line="268" w:lineRule="exact"/>
              <w:ind w:left="5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25.6</w:t>
            </w:r>
          </w:p>
        </w:tc>
        <w:tc>
          <w:tcPr>
            <w:tcW w:w="3763" w:type="dxa"/>
          </w:tcPr>
          <w:p w14:paraId="411381F9">
            <w:pPr>
              <w:kinsoku w:val="0"/>
              <w:autoSpaceDE w:val="0"/>
              <w:autoSpaceDN w:val="0"/>
              <w:adjustRightInd w:val="0"/>
              <w:snapToGrid w:val="0"/>
              <w:spacing w:before="212" w:line="228" w:lineRule="auto"/>
              <w:ind w:left="11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保密要求落实不到位</w:t>
            </w:r>
          </w:p>
        </w:tc>
        <w:tc>
          <w:tcPr>
            <w:tcW w:w="1799" w:type="dxa"/>
          </w:tcPr>
          <w:p w14:paraId="7EBD2EAC">
            <w:pPr>
              <w:kinsoku w:val="0"/>
              <w:autoSpaceDE w:val="0"/>
              <w:autoSpaceDN w:val="0"/>
              <w:adjustRightInd w:val="0"/>
              <w:snapToGrid w:val="0"/>
              <w:spacing w:before="212" w:line="228" w:lineRule="auto"/>
              <w:ind w:left="4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30</w:t>
            </w:r>
            <w:r>
              <w:rPr>
                <w:rFonts w:ascii="宋体" w:hAnsi="宋体" w:cs="宋体"/>
                <w:snapToGrid w:val="0"/>
                <w:color w:val="000000" w:themeColor="text1"/>
                <w:spacing w:val="-36"/>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万元/次</w:t>
            </w:r>
          </w:p>
        </w:tc>
        <w:tc>
          <w:tcPr>
            <w:tcW w:w="1579" w:type="dxa"/>
          </w:tcPr>
          <w:p w14:paraId="016120F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619F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6515D714">
            <w:pPr>
              <w:widowControl/>
              <w:kinsoku w:val="0"/>
              <w:autoSpaceDE w:val="0"/>
              <w:autoSpaceDN w:val="0"/>
              <w:adjustRightInd w:val="0"/>
              <w:snapToGrid w:val="0"/>
              <w:spacing w:line="40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BDF3661">
            <w:pPr>
              <w:kinsoku w:val="0"/>
              <w:autoSpaceDE w:val="0"/>
              <w:autoSpaceDN w:val="0"/>
              <w:adjustRightInd w:val="0"/>
              <w:snapToGrid w:val="0"/>
              <w:spacing w:before="65" w:line="268"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45</w:t>
            </w:r>
          </w:p>
        </w:tc>
        <w:tc>
          <w:tcPr>
            <w:tcW w:w="1469" w:type="dxa"/>
          </w:tcPr>
          <w:p w14:paraId="613C6A9F">
            <w:pPr>
              <w:widowControl/>
              <w:kinsoku w:val="0"/>
              <w:autoSpaceDE w:val="0"/>
              <w:autoSpaceDN w:val="0"/>
              <w:adjustRightInd w:val="0"/>
              <w:snapToGrid w:val="0"/>
              <w:spacing w:line="40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AAB33EC">
            <w:pPr>
              <w:kinsoku w:val="0"/>
              <w:autoSpaceDE w:val="0"/>
              <w:autoSpaceDN w:val="0"/>
              <w:adjustRightInd w:val="0"/>
              <w:snapToGrid w:val="0"/>
              <w:spacing w:before="65" w:line="267" w:lineRule="exact"/>
              <w:ind w:left="5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25.6</w:t>
            </w:r>
          </w:p>
        </w:tc>
        <w:tc>
          <w:tcPr>
            <w:tcW w:w="3763" w:type="dxa"/>
          </w:tcPr>
          <w:p w14:paraId="6922027D">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2570BE4">
            <w:pPr>
              <w:kinsoku w:val="0"/>
              <w:autoSpaceDE w:val="0"/>
              <w:autoSpaceDN w:val="0"/>
              <w:adjustRightInd w:val="0"/>
              <w:snapToGrid w:val="0"/>
              <w:spacing w:before="65" w:line="228" w:lineRule="auto"/>
              <w:ind w:left="1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9"/>
                <w:kern w:val="0"/>
                <w:sz w:val="20"/>
                <w:szCs w:val="20"/>
                <w:highlight w:val="none"/>
                <w:lang w:eastAsia="en-US"/>
                <w14:textFill>
                  <w14:solidFill>
                    <w14:schemeClr w14:val="tx1"/>
                  </w14:solidFill>
                </w14:textFill>
              </w:rPr>
              <w:t>舆情管理落实不到位</w:t>
            </w:r>
          </w:p>
        </w:tc>
        <w:tc>
          <w:tcPr>
            <w:tcW w:w="1799" w:type="dxa"/>
          </w:tcPr>
          <w:p w14:paraId="7CC8F268">
            <w:pPr>
              <w:kinsoku w:val="0"/>
              <w:autoSpaceDE w:val="0"/>
              <w:autoSpaceDN w:val="0"/>
              <w:adjustRightInd w:val="0"/>
              <w:snapToGrid w:val="0"/>
              <w:spacing w:before="110"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根据具体情况，按</w:t>
            </w:r>
          </w:p>
          <w:p w14:paraId="54270B85">
            <w:pPr>
              <w:kinsoku w:val="0"/>
              <w:autoSpaceDE w:val="0"/>
              <w:autoSpaceDN w:val="0"/>
              <w:adjustRightInd w:val="0"/>
              <w:snapToGrid w:val="0"/>
              <w:spacing w:before="113" w:line="228" w:lineRule="auto"/>
              <w:ind w:left="19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2-10</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万元/次处</w:t>
            </w:r>
          </w:p>
          <w:p w14:paraId="47E98F50">
            <w:pPr>
              <w:kinsoku w:val="0"/>
              <w:autoSpaceDE w:val="0"/>
              <w:autoSpaceDN w:val="0"/>
              <w:adjustRightInd w:val="0"/>
              <w:snapToGrid w:val="0"/>
              <w:spacing w:before="112" w:line="225" w:lineRule="auto"/>
              <w:ind w:left="5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以违约金</w:t>
            </w:r>
          </w:p>
        </w:tc>
        <w:tc>
          <w:tcPr>
            <w:tcW w:w="1579" w:type="dxa"/>
          </w:tcPr>
          <w:p w14:paraId="106DAE2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DB63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3" w:hRule="atLeast"/>
        </w:trPr>
        <w:tc>
          <w:tcPr>
            <w:tcW w:w="861" w:type="dxa"/>
          </w:tcPr>
          <w:p w14:paraId="2113EAD1">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B4E1F6C">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9D81ECA">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9B87A68">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3431E74">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070C85F">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40C868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540062D">
            <w:pPr>
              <w:kinsoku w:val="0"/>
              <w:autoSpaceDE w:val="0"/>
              <w:autoSpaceDN w:val="0"/>
              <w:adjustRightInd w:val="0"/>
              <w:snapToGrid w:val="0"/>
              <w:spacing w:before="65" w:line="269"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46</w:t>
            </w:r>
          </w:p>
        </w:tc>
        <w:tc>
          <w:tcPr>
            <w:tcW w:w="1469" w:type="dxa"/>
          </w:tcPr>
          <w:p w14:paraId="00AA0FBF">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80348A5">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AA40657">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350E934">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546BC9F">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5385229">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56B8F24">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95FB96A">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ED6A6A5">
            <w:pPr>
              <w:kinsoku w:val="0"/>
              <w:autoSpaceDE w:val="0"/>
              <w:autoSpaceDN w:val="0"/>
              <w:adjustRightInd w:val="0"/>
              <w:snapToGrid w:val="0"/>
              <w:spacing w:before="65" w:line="136" w:lineRule="exact"/>
              <w:ind w:left="68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3"/>
                <w:sz w:val="20"/>
                <w:szCs w:val="20"/>
                <w:highlight w:val="none"/>
                <w:lang w:eastAsia="en-US"/>
                <w14:textFill>
                  <w14:solidFill>
                    <w14:schemeClr w14:val="tx1"/>
                  </w14:solidFill>
                </w14:textFill>
              </w:rPr>
              <w:t>-</w:t>
            </w:r>
          </w:p>
        </w:tc>
        <w:tc>
          <w:tcPr>
            <w:tcW w:w="3763" w:type="dxa"/>
          </w:tcPr>
          <w:p w14:paraId="31495C59">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B896B57">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7C8B6A8">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582140B">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F4452E7">
            <w:pPr>
              <w:kinsoku w:val="0"/>
              <w:autoSpaceDE w:val="0"/>
              <w:autoSpaceDN w:val="0"/>
              <w:adjustRightInd w:val="0"/>
              <w:snapToGrid w:val="0"/>
              <w:spacing w:before="65" w:line="333" w:lineRule="auto"/>
              <w:ind w:left="112" w:right="10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1"/>
                <w:kern w:val="0"/>
                <w:sz w:val="20"/>
                <w:szCs w:val="20"/>
                <w:highlight w:val="none"/>
                <w14:textFill>
                  <w14:solidFill>
                    <w14:schemeClr w14:val="tx1"/>
                  </w14:solidFill>
                </w14:textFill>
              </w:rPr>
              <w:t>承包人未在发包人及监理人规定的时</w:t>
            </w:r>
            <w:r>
              <w:rPr>
                <w:rFonts w:ascii="宋体" w:hAnsi="宋体" w:cs="宋体"/>
                <w:snapToGrid w:val="0"/>
                <w:color w:val="000000" w:themeColor="text1"/>
                <w:spacing w:val="8"/>
                <w:kern w:val="0"/>
                <w:sz w:val="20"/>
                <w:szCs w:val="20"/>
                <w:highlight w:val="none"/>
                <w14:textFill>
                  <w14:solidFill>
                    <w14:schemeClr w14:val="tx1"/>
                  </w14:solidFill>
                </w14:textFill>
              </w:rPr>
              <w:t>间内上报其要求的有关资料，含计量及计划、统计、变更、结算书、（交）竣</w:t>
            </w:r>
            <w:r>
              <w:rPr>
                <w:rFonts w:ascii="宋体" w:hAnsi="宋体" w:cs="宋体"/>
                <w:snapToGrid w:val="0"/>
                <w:color w:val="000000" w:themeColor="text1"/>
                <w:spacing w:val="12"/>
                <w:kern w:val="0"/>
                <w:sz w:val="20"/>
                <w:szCs w:val="20"/>
                <w:highlight w:val="none"/>
                <w14:textFill>
                  <w14:solidFill>
                    <w14:schemeClr w14:val="tx1"/>
                  </w14:solidFill>
                </w14:textFill>
              </w:rPr>
              <w:t>工等资料</w:t>
            </w:r>
            <w:r>
              <w:rPr>
                <w:rFonts w:ascii="宋体" w:hAnsi="宋体" w:cs="宋体"/>
                <w:snapToGrid w:val="0"/>
                <w:color w:val="000000" w:themeColor="text1"/>
                <w:spacing w:val="4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2"/>
                <w:kern w:val="0"/>
                <w:sz w:val="20"/>
                <w:szCs w:val="20"/>
                <w:highlight w:val="none"/>
                <w14:textFill>
                  <w14:solidFill>
                    <w14:schemeClr w14:val="tx1"/>
                  </w14:solidFill>
                </w14:textFill>
              </w:rPr>
              <w:t>，或承包人上报有关资料出</w:t>
            </w:r>
            <w:r>
              <w:rPr>
                <w:rFonts w:ascii="宋体" w:hAnsi="宋体" w:cs="宋体"/>
                <w:snapToGrid w:val="0"/>
                <w:color w:val="000000" w:themeColor="text1"/>
                <w:spacing w:val="8"/>
                <w:kern w:val="0"/>
                <w:sz w:val="20"/>
                <w:szCs w:val="20"/>
                <w:highlight w:val="none"/>
                <w14:textFill>
                  <w14:solidFill>
                    <w14:schemeClr w14:val="tx1"/>
                  </w14:solidFill>
                </w14:textFill>
              </w:rPr>
              <w:t>现数据严重失实、有意瞒报、误报等的</w:t>
            </w:r>
          </w:p>
        </w:tc>
        <w:tc>
          <w:tcPr>
            <w:tcW w:w="1799" w:type="dxa"/>
          </w:tcPr>
          <w:p w14:paraId="2F343F49">
            <w:pPr>
              <w:kinsoku w:val="0"/>
              <w:autoSpaceDE w:val="0"/>
              <w:autoSpaceDN w:val="0"/>
              <w:adjustRightInd w:val="0"/>
              <w:snapToGrid w:val="0"/>
              <w:spacing w:before="110" w:line="228" w:lineRule="auto"/>
              <w:ind w:left="15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万元/次，同时</w:t>
            </w:r>
          </w:p>
          <w:p w14:paraId="2DC630EA">
            <w:pPr>
              <w:kinsoku w:val="0"/>
              <w:autoSpaceDE w:val="0"/>
              <w:autoSpaceDN w:val="0"/>
              <w:adjustRightInd w:val="0"/>
              <w:snapToGrid w:val="0"/>
              <w:spacing w:before="113" w:line="228" w:lineRule="auto"/>
              <w:ind w:left="17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处以</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元/天</w:t>
            </w:r>
          </w:p>
          <w:p w14:paraId="094FFE83">
            <w:pPr>
              <w:kinsoku w:val="0"/>
              <w:autoSpaceDE w:val="0"/>
              <w:autoSpaceDN w:val="0"/>
              <w:adjustRightInd w:val="0"/>
              <w:snapToGrid w:val="0"/>
              <w:spacing w:before="112" w:line="228" w:lineRule="auto"/>
              <w:ind w:left="18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的违约金直至承</w:t>
            </w:r>
          </w:p>
          <w:p w14:paraId="04FA5A14">
            <w:pPr>
              <w:kinsoku w:val="0"/>
              <w:autoSpaceDE w:val="0"/>
              <w:autoSpaceDN w:val="0"/>
              <w:adjustRightInd w:val="0"/>
              <w:snapToGrid w:val="0"/>
              <w:spacing w:before="11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包人纠正为止。同</w:t>
            </w:r>
          </w:p>
          <w:p w14:paraId="6A9BC62F">
            <w:pPr>
              <w:kinsoku w:val="0"/>
              <w:autoSpaceDE w:val="0"/>
              <w:autoSpaceDN w:val="0"/>
              <w:adjustRightInd w:val="0"/>
              <w:snapToGrid w:val="0"/>
              <w:spacing w:before="113" w:line="228" w:lineRule="auto"/>
              <w:ind w:left="20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一资料如超过</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w:t>
            </w:r>
          </w:p>
          <w:p w14:paraId="6B28590F">
            <w:pPr>
              <w:kinsoku w:val="0"/>
              <w:autoSpaceDE w:val="0"/>
              <w:autoSpaceDN w:val="0"/>
              <w:adjustRightInd w:val="0"/>
              <w:snapToGrid w:val="0"/>
              <w:spacing w:before="112" w:line="228" w:lineRule="auto"/>
              <w:ind w:left="12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次仍未上报的，可</w:t>
            </w:r>
          </w:p>
          <w:p w14:paraId="48DD336F">
            <w:pPr>
              <w:kinsoku w:val="0"/>
              <w:autoSpaceDE w:val="0"/>
              <w:autoSpaceDN w:val="0"/>
              <w:adjustRightInd w:val="0"/>
              <w:snapToGrid w:val="0"/>
              <w:spacing w:before="113" w:line="228" w:lineRule="auto"/>
              <w:ind w:right="17"/>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处以</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万元/次，</w:t>
            </w:r>
          </w:p>
          <w:p w14:paraId="2E3551B8">
            <w:pPr>
              <w:kinsoku w:val="0"/>
              <w:autoSpaceDE w:val="0"/>
              <w:autoSpaceDN w:val="0"/>
              <w:adjustRightInd w:val="0"/>
              <w:snapToGrid w:val="0"/>
              <w:spacing w:before="114" w:line="228" w:lineRule="auto"/>
              <w:ind w:left="13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同时处以</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1</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万元/</w:t>
            </w:r>
          </w:p>
          <w:p w14:paraId="57B0F76B">
            <w:pPr>
              <w:kinsoku w:val="0"/>
              <w:autoSpaceDE w:val="0"/>
              <w:autoSpaceDN w:val="0"/>
              <w:adjustRightInd w:val="0"/>
              <w:snapToGrid w:val="0"/>
              <w:spacing w:before="113" w:line="228" w:lineRule="auto"/>
              <w:ind w:left="17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天的处违约金直</w:t>
            </w:r>
          </w:p>
          <w:p w14:paraId="0FEE322A">
            <w:pPr>
              <w:kinsoku w:val="0"/>
              <w:autoSpaceDE w:val="0"/>
              <w:autoSpaceDN w:val="0"/>
              <w:adjustRightInd w:val="0"/>
              <w:snapToGrid w:val="0"/>
              <w:spacing w:before="112" w:line="228" w:lineRule="auto"/>
              <w:ind w:left="1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至承包人纠正为</w:t>
            </w:r>
          </w:p>
          <w:p w14:paraId="16D67758">
            <w:pPr>
              <w:kinsoku w:val="0"/>
              <w:autoSpaceDE w:val="0"/>
              <w:autoSpaceDN w:val="0"/>
              <w:adjustRightInd w:val="0"/>
              <w:snapToGrid w:val="0"/>
              <w:spacing w:before="114" w:line="223" w:lineRule="auto"/>
              <w:ind w:left="80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止</w:t>
            </w:r>
          </w:p>
        </w:tc>
        <w:tc>
          <w:tcPr>
            <w:tcW w:w="1579" w:type="dxa"/>
          </w:tcPr>
          <w:p w14:paraId="076725C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9F1E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861" w:type="dxa"/>
          </w:tcPr>
          <w:p w14:paraId="22C836CA">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AFD29AB">
            <w:pPr>
              <w:kinsoku w:val="0"/>
              <w:autoSpaceDE w:val="0"/>
              <w:autoSpaceDN w:val="0"/>
              <w:adjustRightInd w:val="0"/>
              <w:snapToGrid w:val="0"/>
              <w:spacing w:before="65" w:line="268" w:lineRule="exact"/>
              <w:ind w:left="33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47</w:t>
            </w:r>
          </w:p>
        </w:tc>
        <w:tc>
          <w:tcPr>
            <w:tcW w:w="1469" w:type="dxa"/>
          </w:tcPr>
          <w:p w14:paraId="09947A5E">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2D0425E">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370C871">
            <w:pPr>
              <w:kinsoku w:val="0"/>
              <w:autoSpaceDE w:val="0"/>
              <w:autoSpaceDN w:val="0"/>
              <w:adjustRightInd w:val="0"/>
              <w:snapToGrid w:val="0"/>
              <w:spacing w:before="65" w:line="136" w:lineRule="exact"/>
              <w:ind w:left="68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3"/>
                <w:sz w:val="20"/>
                <w:szCs w:val="20"/>
                <w:highlight w:val="none"/>
                <w:lang w:eastAsia="en-US"/>
                <w14:textFill>
                  <w14:solidFill>
                    <w14:schemeClr w14:val="tx1"/>
                  </w14:solidFill>
                </w14:textFill>
              </w:rPr>
              <w:t>-</w:t>
            </w:r>
          </w:p>
        </w:tc>
        <w:tc>
          <w:tcPr>
            <w:tcW w:w="3763" w:type="dxa"/>
          </w:tcPr>
          <w:p w14:paraId="173EEAA6">
            <w:pPr>
              <w:kinsoku w:val="0"/>
              <w:autoSpaceDE w:val="0"/>
              <w:autoSpaceDN w:val="0"/>
              <w:adjustRightInd w:val="0"/>
              <w:snapToGrid w:val="0"/>
              <w:spacing w:before="113" w:line="297" w:lineRule="auto"/>
              <w:ind w:left="116" w:right="105" w:hanging="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在规定期限内，未执行有关合同指令、</w:t>
            </w:r>
            <w:r>
              <w:rPr>
                <w:rFonts w:ascii="宋体" w:hAnsi="宋体" w:cs="宋体"/>
                <w:snapToGrid w:val="0"/>
                <w:color w:val="000000" w:themeColor="text1"/>
                <w:spacing w:val="7"/>
                <w:kern w:val="0"/>
                <w:sz w:val="20"/>
                <w:szCs w:val="20"/>
                <w:highlight w:val="none"/>
                <w14:textFill>
                  <w14:solidFill>
                    <w14:schemeClr w14:val="tx1"/>
                  </w14:solidFill>
                </w14:textFill>
              </w:rPr>
              <w:t>发包人指令、会议纪要（决定）以及有</w:t>
            </w:r>
            <w:r>
              <w:rPr>
                <w:rFonts w:ascii="宋体" w:hAnsi="宋体" w:cs="宋体"/>
                <w:snapToGrid w:val="0"/>
                <w:color w:val="000000" w:themeColor="text1"/>
                <w:spacing w:val="6"/>
                <w:kern w:val="0"/>
                <w:sz w:val="20"/>
                <w:szCs w:val="20"/>
                <w:highlight w:val="none"/>
                <w14:textFill>
                  <w14:solidFill>
                    <w14:schemeClr w14:val="tx1"/>
                  </w14:solidFill>
                </w14:textFill>
              </w:rPr>
              <w:t>关制度的</w:t>
            </w:r>
          </w:p>
        </w:tc>
        <w:tc>
          <w:tcPr>
            <w:tcW w:w="1799" w:type="dxa"/>
          </w:tcPr>
          <w:p w14:paraId="6550AF13">
            <w:pPr>
              <w:widowControl/>
              <w:kinsoku w:val="0"/>
              <w:autoSpaceDE w:val="0"/>
              <w:autoSpaceDN w:val="0"/>
              <w:adjustRightInd w:val="0"/>
              <w:snapToGrid w:val="0"/>
              <w:spacing w:line="40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BACCC0B">
            <w:pPr>
              <w:kinsoku w:val="0"/>
              <w:autoSpaceDE w:val="0"/>
              <w:autoSpaceDN w:val="0"/>
              <w:adjustRightInd w:val="0"/>
              <w:snapToGrid w:val="0"/>
              <w:spacing w:before="65" w:line="228" w:lineRule="auto"/>
              <w:ind w:left="46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5</w:t>
            </w:r>
            <w:r>
              <w:rPr>
                <w:rFonts w:ascii="宋体" w:hAnsi="宋体" w:cs="宋体"/>
                <w:snapToGrid w:val="0"/>
                <w:color w:val="000000" w:themeColor="text1"/>
                <w:spacing w:val="-31"/>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lang w:eastAsia="en-US"/>
                <w14:textFill>
                  <w14:solidFill>
                    <w14:schemeClr w14:val="tx1"/>
                  </w14:solidFill>
                </w14:textFill>
              </w:rPr>
              <w:t>万元/次</w:t>
            </w:r>
          </w:p>
        </w:tc>
        <w:tc>
          <w:tcPr>
            <w:tcW w:w="1579" w:type="dxa"/>
          </w:tcPr>
          <w:p w14:paraId="7287D74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05B8547D">
      <w:pPr>
        <w:pStyle w:val="83"/>
        <w:rPr>
          <w:rFonts w:ascii="宋体" w:cs="宋体"/>
          <w:color w:val="000000" w:themeColor="text1"/>
          <w:sz w:val="24"/>
          <w:highlight w:val="none"/>
          <w14:textFill>
            <w14:solidFill>
              <w14:schemeClr w14:val="tx1"/>
            </w14:solidFill>
          </w14:textFill>
        </w:rPr>
      </w:pPr>
    </w:p>
    <w:p w14:paraId="4F4C6FE9">
      <w:pPr>
        <w:pStyle w:val="83"/>
        <w:rPr>
          <w:rFonts w:ascii="宋体" w:cs="宋体"/>
          <w:color w:val="000000" w:themeColor="text1"/>
          <w:sz w:val="24"/>
          <w:highlight w:val="none"/>
          <w14:textFill>
            <w14:solidFill>
              <w14:schemeClr w14:val="tx1"/>
            </w14:solidFill>
          </w14:textFill>
        </w:rPr>
      </w:pPr>
    </w:p>
    <w:p w14:paraId="4AC00E48">
      <w:pPr>
        <w:pStyle w:val="83"/>
        <w:rPr>
          <w:rFonts w:ascii="宋体" w:cs="宋体"/>
          <w:color w:val="000000" w:themeColor="text1"/>
          <w:sz w:val="24"/>
          <w:highlight w:val="none"/>
          <w14:textFill>
            <w14:solidFill>
              <w14:schemeClr w14:val="tx1"/>
            </w14:solidFill>
          </w14:textFill>
        </w:rPr>
      </w:pPr>
    </w:p>
    <w:p w14:paraId="014715C9">
      <w:pPr>
        <w:pStyle w:val="83"/>
        <w:rPr>
          <w:rFonts w:ascii="宋体" w:cs="宋体"/>
          <w:color w:val="000000" w:themeColor="text1"/>
          <w:sz w:val="24"/>
          <w:highlight w:val="none"/>
          <w14:textFill>
            <w14:solidFill>
              <w14:schemeClr w14:val="tx1"/>
            </w14:solidFill>
          </w14:textFill>
        </w:rPr>
      </w:pPr>
    </w:p>
    <w:p w14:paraId="3EC9A527">
      <w:pPr>
        <w:pStyle w:val="83"/>
        <w:rPr>
          <w:rFonts w:ascii="宋体" w:cs="宋体"/>
          <w:color w:val="000000" w:themeColor="text1"/>
          <w:sz w:val="24"/>
          <w:highlight w:val="none"/>
          <w14:textFill>
            <w14:solidFill>
              <w14:schemeClr w14:val="tx1"/>
            </w14:solidFill>
          </w14:textFill>
        </w:rPr>
      </w:pPr>
    </w:p>
    <w:p w14:paraId="1CCDFCE3">
      <w:pPr>
        <w:pStyle w:val="83"/>
        <w:rPr>
          <w:rFonts w:ascii="宋体" w:cs="宋体"/>
          <w:color w:val="000000" w:themeColor="text1"/>
          <w:sz w:val="24"/>
          <w:highlight w:val="none"/>
          <w14:textFill>
            <w14:solidFill>
              <w14:schemeClr w14:val="tx1"/>
            </w14:solidFill>
          </w14:textFill>
        </w:rPr>
      </w:pPr>
    </w:p>
    <w:p w14:paraId="2C3C7B2C">
      <w:pPr>
        <w:pStyle w:val="83"/>
        <w:rPr>
          <w:rFonts w:ascii="宋体" w:cs="宋体"/>
          <w:color w:val="000000" w:themeColor="text1"/>
          <w:sz w:val="24"/>
          <w:highlight w:val="none"/>
          <w14:textFill>
            <w14:solidFill>
              <w14:schemeClr w14:val="tx1"/>
            </w14:solidFill>
          </w14:textFill>
        </w:rPr>
      </w:pPr>
    </w:p>
    <w:p w14:paraId="32874F59">
      <w:pPr>
        <w:pStyle w:val="74"/>
        <w:spacing w:line="360" w:lineRule="auto"/>
        <w:rPr>
          <w:rFonts w:ascii="宋体"/>
          <w:color w:val="000000" w:themeColor="text1"/>
          <w:sz w:val="24"/>
          <w:szCs w:val="24"/>
          <w:highlight w:val="none"/>
          <w14:textFill>
            <w14:solidFill>
              <w14:schemeClr w14:val="tx1"/>
            </w14:solidFill>
          </w14:textFill>
        </w:rPr>
      </w:pPr>
      <w:bookmarkStart w:id="381" w:name="_Toc453056971"/>
      <w:bookmarkStart w:id="382" w:name="_Toc451261389"/>
      <w:bookmarkStart w:id="383" w:name="_Toc12136"/>
      <w:bookmarkStart w:id="384" w:name="_Toc452498898"/>
      <w:bookmarkStart w:id="385" w:name="_Toc453057199"/>
      <w:bookmarkStart w:id="386" w:name="_Toc452498668"/>
      <w:bookmarkStart w:id="387" w:name="_Toc5359"/>
      <w:bookmarkStart w:id="388" w:name="_Toc6911"/>
      <w:bookmarkStart w:id="389" w:name="_Toc12967"/>
      <w:r>
        <w:rPr>
          <w:rFonts w:hint="eastAsia"/>
          <w:bCs w:val="0"/>
          <w:color w:val="000000" w:themeColor="text1"/>
          <w:sz w:val="24"/>
          <w:szCs w:val="24"/>
          <w:highlight w:val="none"/>
          <w14:textFill>
            <w14:solidFill>
              <w14:schemeClr w14:val="tx1"/>
            </w14:solidFill>
          </w14:textFill>
        </w:rPr>
        <w:t>附件十</w:t>
      </w:r>
      <w:bookmarkEnd w:id="381"/>
      <w:bookmarkEnd w:id="382"/>
      <w:bookmarkEnd w:id="383"/>
      <w:bookmarkEnd w:id="384"/>
      <w:bookmarkEnd w:id="385"/>
      <w:bookmarkEnd w:id="386"/>
      <w:bookmarkEnd w:id="387"/>
      <w:r>
        <w:rPr>
          <w:rFonts w:hint="eastAsia"/>
          <w:bCs w:val="0"/>
          <w:color w:val="000000" w:themeColor="text1"/>
          <w:sz w:val="24"/>
          <w:szCs w:val="24"/>
          <w:highlight w:val="none"/>
          <w14:textFill>
            <w14:solidFill>
              <w14:schemeClr w14:val="tx1"/>
            </w14:solidFill>
          </w14:textFill>
        </w:rPr>
        <w:t>三</w:t>
      </w:r>
      <w:r>
        <w:rPr>
          <w:bCs w:val="0"/>
          <w:color w:val="000000" w:themeColor="text1"/>
          <w:sz w:val="24"/>
          <w:szCs w:val="24"/>
          <w:highlight w:val="none"/>
          <w14:textFill>
            <w14:solidFill>
              <w14:schemeClr w14:val="tx1"/>
            </w14:solidFill>
          </w14:textFill>
        </w:rPr>
        <w:t xml:space="preserve">  工程质量、安全及文明施工违约项目一览表</w:t>
      </w:r>
      <w:bookmarkEnd w:id="388"/>
      <w:bookmarkEnd w:id="389"/>
    </w:p>
    <w:p w14:paraId="14C5B963">
      <w:pPr>
        <w:pStyle w:val="83"/>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 xml:space="preserve">               </w:t>
      </w:r>
    </w:p>
    <w:p w14:paraId="187FC78A">
      <w:pPr>
        <w:pStyle w:val="83"/>
        <w:jc w:val="center"/>
        <w:rPr>
          <w:rFonts w:ascii="宋体" w:cs="宋体"/>
          <w:b/>
          <w:bCs/>
          <w:color w:val="000000" w:themeColor="text1"/>
          <w:sz w:val="24"/>
          <w:highlight w:val="none"/>
          <w14:textFill>
            <w14:solidFill>
              <w14:schemeClr w14:val="tx1"/>
            </w14:solidFill>
          </w14:textFill>
        </w:rPr>
      </w:pPr>
      <w:r>
        <w:rPr>
          <w:rFonts w:ascii="宋体" w:cs="宋体"/>
          <w:b/>
          <w:bCs/>
          <w:color w:val="000000" w:themeColor="text1"/>
          <w:sz w:val="24"/>
          <w:highlight w:val="none"/>
          <w14:textFill>
            <w14:solidFill>
              <w14:schemeClr w14:val="tx1"/>
            </w14:solidFill>
          </w14:textFill>
        </w:rPr>
        <w:t>工程质量、安全及文明施工违约项目一览表</w:t>
      </w:r>
    </w:p>
    <w:p w14:paraId="122A3740">
      <w:pPr>
        <w:widowControl/>
        <w:kinsoku w:val="0"/>
        <w:autoSpaceDE w:val="0"/>
        <w:autoSpaceDN w:val="0"/>
        <w:adjustRightInd w:val="0"/>
        <w:snapToGrid w:val="0"/>
        <w:spacing w:line="93"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F659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3D193733">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5313670D">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2AB7E2AE">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46821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31" w:type="dxa"/>
            <w:vAlign w:val="center"/>
          </w:tcPr>
          <w:p w14:paraId="1A1277E1">
            <w:pPr>
              <w:widowControl/>
              <w:kinsoku w:val="0"/>
              <w:autoSpaceDE w:val="0"/>
              <w:autoSpaceDN w:val="0"/>
              <w:adjustRightInd w:val="0"/>
              <w:snapToGrid w:val="0"/>
              <w:spacing w:line="370" w:lineRule="auto"/>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原材</w:t>
            </w:r>
            <w:r>
              <w:rPr>
                <w:rFonts w:ascii="宋体" w:hAnsi="宋体" w:cs="宋体"/>
                <w:snapToGrid w:val="0"/>
                <w:color w:val="000000" w:themeColor="text1"/>
                <w:kern w:val="0"/>
                <w:sz w:val="20"/>
                <w:szCs w:val="20"/>
                <w:highlight w:val="none"/>
                <w:lang w:eastAsia="en-US"/>
                <w14:textFill>
                  <w14:solidFill>
                    <w14:schemeClr w14:val="tx1"/>
                  </w14:solidFill>
                </w14:textFill>
              </w:rPr>
              <w:t>料</w:t>
            </w:r>
          </w:p>
        </w:tc>
        <w:tc>
          <w:tcPr>
            <w:tcW w:w="839" w:type="dxa"/>
          </w:tcPr>
          <w:p w14:paraId="450E2B6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C255BAC">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327E9E1">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4E2C3F1">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9A3618B">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925737D">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4B615C78">
            <w:pPr>
              <w:kinsoku w:val="0"/>
              <w:autoSpaceDE w:val="0"/>
              <w:autoSpaceDN w:val="0"/>
              <w:adjustRightInd w:val="0"/>
              <w:snapToGrid w:val="0"/>
              <w:spacing w:before="141" w:line="369" w:lineRule="auto"/>
              <w:ind w:left="114" w:right="108"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凡是施工用材出现不合格情况，应对相关单位进行处罚，并将情况上报交通运输</w:t>
            </w:r>
            <w:r>
              <w:rPr>
                <w:rFonts w:ascii="宋体" w:hAnsi="宋体" w:cs="宋体"/>
                <w:snapToGrid w:val="0"/>
                <w:color w:val="000000" w:themeColor="text1"/>
                <w:spacing w:val="8"/>
                <w:kern w:val="0"/>
                <w:sz w:val="20"/>
                <w:szCs w:val="20"/>
                <w:highlight w:val="none"/>
                <w14:textFill>
                  <w14:solidFill>
                    <w14:schemeClr w14:val="tx1"/>
                  </w14:solidFill>
                </w14:textFill>
              </w:rPr>
              <w:t>主管部门，建议对该品牌及供货商列入黑名单。</w:t>
            </w:r>
          </w:p>
          <w:p w14:paraId="761D3772">
            <w:pPr>
              <w:kinsoku w:val="0"/>
              <w:autoSpaceDE w:val="0"/>
              <w:autoSpaceDN w:val="0"/>
              <w:adjustRightInd w:val="0"/>
              <w:snapToGrid w:val="0"/>
              <w:spacing w:line="369"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桥梁支座、桥梁伸缩装置、土工织物（土工格栅、土工布）</w:t>
            </w:r>
            <w:r>
              <w:rPr>
                <w:rFonts w:ascii="宋体" w:hAnsi="宋体" w:cs="宋体"/>
                <w:snapToGrid w:val="0"/>
                <w:color w:val="000000" w:themeColor="text1"/>
                <w:spacing w:val="10"/>
                <w:kern w:val="0"/>
                <w:sz w:val="20"/>
                <w:szCs w:val="20"/>
                <w:highlight w:val="none"/>
                <w14:textFill>
                  <w14:solidFill>
                    <w14:schemeClr w14:val="tx1"/>
                  </w14:solidFill>
                </w14:textFill>
              </w:rPr>
              <w:t>、外加剂、锚（夹）</w:t>
            </w:r>
            <w:r>
              <w:rPr>
                <w:rFonts w:ascii="宋体" w:hAnsi="宋体" w:cs="宋体"/>
                <w:snapToGrid w:val="0"/>
                <w:color w:val="000000" w:themeColor="text1"/>
                <w:spacing w:val="11"/>
                <w:kern w:val="0"/>
                <w:sz w:val="20"/>
                <w:szCs w:val="20"/>
                <w:highlight w:val="none"/>
                <w14:textFill>
                  <w14:solidFill>
                    <w14:schemeClr w14:val="tx1"/>
                  </w14:solidFill>
                </w14:textFill>
              </w:rPr>
              <w:t>具、机电工程及交通安全设施等产品，出现不合格检验批，除该批次的产品全部</w:t>
            </w:r>
            <w:r>
              <w:rPr>
                <w:rFonts w:ascii="宋体" w:hAnsi="宋体" w:cs="宋体"/>
                <w:snapToGrid w:val="0"/>
                <w:color w:val="000000" w:themeColor="text1"/>
                <w:spacing w:val="4"/>
                <w:kern w:val="0"/>
                <w:sz w:val="20"/>
                <w:szCs w:val="20"/>
                <w:highlight w:val="none"/>
                <w14:textFill>
                  <w14:solidFill>
                    <w14:schemeClr w14:val="tx1"/>
                  </w14:solidFill>
                </w14:textFill>
              </w:rPr>
              <w:t>退回外，违约金</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10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万元/次。</w:t>
            </w:r>
          </w:p>
          <w:p w14:paraId="0D0CE891">
            <w:pPr>
              <w:kinsoku w:val="0"/>
              <w:autoSpaceDE w:val="0"/>
              <w:autoSpaceDN w:val="0"/>
              <w:adjustRightInd w:val="0"/>
              <w:snapToGrid w:val="0"/>
              <w:spacing w:line="301" w:lineRule="auto"/>
              <w:ind w:left="130" w:right="108" w:hanging="1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钢材、水泥、沥青、集料等原材料出现不合格材料时，除该批次的产品全部清除</w:t>
            </w:r>
            <w:r>
              <w:rPr>
                <w:rFonts w:ascii="宋体" w:hAnsi="宋体" w:cs="宋体"/>
                <w:snapToGrid w:val="0"/>
                <w:color w:val="000000" w:themeColor="text1"/>
                <w:spacing w:val="4"/>
                <w:kern w:val="0"/>
                <w:sz w:val="20"/>
                <w:szCs w:val="20"/>
                <w:highlight w:val="none"/>
                <w14:textFill>
                  <w14:solidFill>
                    <w14:schemeClr w14:val="tx1"/>
                  </w14:solidFill>
                </w14:textFill>
              </w:rPr>
              <w:t>出场外，违约金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万元/次。</w:t>
            </w:r>
          </w:p>
        </w:tc>
      </w:tr>
      <w:tr w14:paraId="70A01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4E424770">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DAF9FFC">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1735425">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29DF0A7">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2A011A8">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EDE6E27">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BD8B7CE">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44E12B4">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E4486EC">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D047685">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E46F3F4">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DB09CA0">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2F40ADE">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CA8BFB0">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E63E71E">
            <w:pPr>
              <w:kinsoku w:val="0"/>
              <w:autoSpaceDE w:val="0"/>
              <w:autoSpaceDN w:val="0"/>
              <w:adjustRightInd w:val="0"/>
              <w:snapToGrid w:val="0"/>
              <w:spacing w:before="65" w:line="228" w:lineRule="auto"/>
              <w:ind w:left="21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路基</w:t>
            </w:r>
          </w:p>
          <w:p w14:paraId="1B04F3DA">
            <w:pPr>
              <w:kinsoku w:val="0"/>
              <w:autoSpaceDE w:val="0"/>
              <w:autoSpaceDN w:val="0"/>
              <w:adjustRightInd w:val="0"/>
              <w:snapToGrid w:val="0"/>
              <w:spacing w:before="154" w:line="229"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及砌</w:t>
            </w:r>
          </w:p>
          <w:p w14:paraId="7100E1E0">
            <w:pPr>
              <w:kinsoku w:val="0"/>
              <w:autoSpaceDE w:val="0"/>
              <w:autoSpaceDN w:val="0"/>
              <w:adjustRightInd w:val="0"/>
              <w:snapToGrid w:val="0"/>
              <w:spacing w:before="152" w:line="229"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体工</w:t>
            </w:r>
          </w:p>
          <w:p w14:paraId="217F8E70">
            <w:pPr>
              <w:kinsoku w:val="0"/>
              <w:autoSpaceDE w:val="0"/>
              <w:autoSpaceDN w:val="0"/>
              <w:adjustRightInd w:val="0"/>
              <w:snapToGrid w:val="0"/>
              <w:spacing w:before="150" w:line="228" w:lineRule="auto"/>
              <w:ind w:left="31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程</w:t>
            </w:r>
          </w:p>
        </w:tc>
        <w:tc>
          <w:tcPr>
            <w:tcW w:w="839" w:type="dxa"/>
          </w:tcPr>
          <w:p w14:paraId="2DF5DA2E">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06C6B04">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677B658A">
            <w:pPr>
              <w:kinsoku w:val="0"/>
              <w:autoSpaceDE w:val="0"/>
              <w:autoSpaceDN w:val="0"/>
              <w:adjustRightInd w:val="0"/>
              <w:snapToGrid w:val="0"/>
              <w:spacing w:before="144" w:line="300" w:lineRule="auto"/>
              <w:ind w:left="129" w:right="108" w:hanging="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填土没有路拱（要求</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2%—4%</w:t>
            </w:r>
            <w:r>
              <w:rPr>
                <w:rFonts w:ascii="宋体" w:hAnsi="宋体" w:cs="宋体"/>
                <w:snapToGrid w:val="0"/>
                <w:color w:val="000000" w:themeColor="text1"/>
                <w:spacing w:val="13"/>
                <w:kern w:val="0"/>
                <w:sz w:val="20"/>
                <w:szCs w:val="20"/>
                <w:highlight w:val="none"/>
                <w14:textFill>
                  <w14:solidFill>
                    <w14:schemeClr w14:val="tx1"/>
                  </w14:solidFill>
                </w14:textFill>
              </w:rPr>
              <w:t>），</w:t>
            </w:r>
            <w:r>
              <w:rPr>
                <w:rFonts w:ascii="宋体" w:hAnsi="宋体" w:cs="宋体"/>
                <w:snapToGrid w:val="0"/>
                <w:color w:val="000000" w:themeColor="text1"/>
                <w:spacing w:val="9"/>
                <w:kern w:val="0"/>
                <w:sz w:val="20"/>
                <w:szCs w:val="20"/>
                <w:highlight w:val="none"/>
                <w14:textFill>
                  <w14:solidFill>
                    <w14:schemeClr w14:val="tx1"/>
                  </w14:solidFill>
                </w14:textFill>
              </w:rPr>
              <w:t>排水不畅的；</w:t>
            </w:r>
            <w:r>
              <w:rPr>
                <w:rFonts w:ascii="宋体" w:hAnsi="宋体" w:cs="宋体"/>
                <w:snapToGrid w:val="0"/>
                <w:color w:val="000000" w:themeColor="text1"/>
                <w:spacing w:val="8"/>
                <w:kern w:val="0"/>
                <w:sz w:val="20"/>
                <w:szCs w:val="20"/>
                <w:highlight w:val="none"/>
                <w14:textFill>
                  <w14:solidFill>
                    <w14:schemeClr w14:val="tx1"/>
                  </w14:solidFill>
                </w14:textFill>
              </w:rPr>
              <w:t>路基施工未采取临时防护排水措施</w:t>
            </w:r>
            <w:r>
              <w:rPr>
                <w:rFonts w:ascii="宋体" w:hAnsi="宋体" w:cs="宋体"/>
                <w:snapToGrid w:val="0"/>
                <w:color w:val="000000" w:themeColor="text1"/>
                <w:spacing w:val="3"/>
                <w:kern w:val="0"/>
                <w:sz w:val="20"/>
                <w:szCs w:val="20"/>
                <w:highlight w:val="none"/>
                <w14:textFill>
                  <w14:solidFill>
                    <w14:schemeClr w14:val="tx1"/>
                  </w14:solidFill>
                </w14:textFill>
              </w:rPr>
              <w:t>的，违约金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元/处。</w:t>
            </w:r>
          </w:p>
        </w:tc>
      </w:tr>
      <w:tr w14:paraId="79389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0EDB77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04C141A">
            <w:pPr>
              <w:kinsoku w:val="0"/>
              <w:autoSpaceDE w:val="0"/>
              <w:autoSpaceDN w:val="0"/>
              <w:adjustRightInd w:val="0"/>
              <w:snapToGrid w:val="0"/>
              <w:spacing w:before="226"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77B745C6">
            <w:pPr>
              <w:kinsoku w:val="0"/>
              <w:autoSpaceDE w:val="0"/>
              <w:autoSpaceDN w:val="0"/>
              <w:adjustRightInd w:val="0"/>
              <w:snapToGrid w:val="0"/>
              <w:spacing w:before="226"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路基平整度不符合规范要求的，违约金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28C2A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A9709A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13E3552">
            <w:pPr>
              <w:kinsoku w:val="0"/>
              <w:autoSpaceDE w:val="0"/>
              <w:autoSpaceDN w:val="0"/>
              <w:adjustRightInd w:val="0"/>
              <w:snapToGrid w:val="0"/>
              <w:spacing w:before="22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7A68C9EE">
            <w:pPr>
              <w:kinsoku w:val="0"/>
              <w:autoSpaceDE w:val="0"/>
              <w:autoSpaceDN w:val="0"/>
              <w:adjustRightInd w:val="0"/>
              <w:snapToGrid w:val="0"/>
              <w:spacing w:before="225"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路基填土未经平地机整平就进行压实施工的，违</w:t>
            </w:r>
            <w:r>
              <w:rPr>
                <w:rFonts w:ascii="宋体" w:hAnsi="宋体" w:cs="宋体"/>
                <w:snapToGrid w:val="0"/>
                <w:color w:val="000000" w:themeColor="text1"/>
                <w:spacing w:val="7"/>
                <w:kern w:val="0"/>
                <w:sz w:val="20"/>
                <w:szCs w:val="20"/>
                <w:highlight w:val="none"/>
                <w14:textFill>
                  <w14:solidFill>
                    <w14:schemeClr w14:val="tx1"/>
                  </w14:solidFill>
                </w14:textFill>
              </w:rPr>
              <w:t>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03637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0A1AB12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8E73814">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35464EB">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65F19940">
            <w:pPr>
              <w:kinsoku w:val="0"/>
              <w:autoSpaceDE w:val="0"/>
              <w:autoSpaceDN w:val="0"/>
              <w:adjustRightInd w:val="0"/>
              <w:snapToGrid w:val="0"/>
              <w:spacing w:before="144" w:line="300" w:lineRule="auto"/>
              <w:ind w:left="117" w:right="108"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填土松铺厚度或现场实测的压实层厚度超过试验段报告明确的松铺厚度或压实层</w:t>
            </w:r>
            <w:r>
              <w:rPr>
                <w:rFonts w:ascii="宋体" w:hAnsi="宋体" w:cs="宋体"/>
                <w:snapToGrid w:val="0"/>
                <w:color w:val="000000" w:themeColor="text1"/>
                <w:spacing w:val="4"/>
                <w:kern w:val="0"/>
                <w:sz w:val="20"/>
                <w:szCs w:val="20"/>
                <w:highlight w:val="none"/>
                <w14:textFill>
                  <w14:solidFill>
                    <w14:schemeClr w14:val="tx1"/>
                  </w14:solidFill>
                </w14:textFill>
              </w:rPr>
              <w:t>厚时，违约金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元/处。</w:t>
            </w:r>
          </w:p>
        </w:tc>
      </w:tr>
      <w:tr w14:paraId="1C513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59F5F11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85519E7">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F908939">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54AA7F29">
            <w:pPr>
              <w:kinsoku w:val="0"/>
              <w:autoSpaceDE w:val="0"/>
              <w:autoSpaceDN w:val="0"/>
              <w:adjustRightInd w:val="0"/>
              <w:snapToGrid w:val="0"/>
              <w:spacing w:before="146" w:line="299" w:lineRule="auto"/>
              <w:ind w:left="114" w:right="10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路槽底面以下</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0-80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范围内，填料最大粒径不超过</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7"/>
                <w:kern w:val="0"/>
                <w:sz w:val="20"/>
                <w:szCs w:val="20"/>
                <w:highlight w:val="none"/>
                <w14:textFill>
                  <w14:solidFill>
                    <w14:schemeClr w14:val="tx1"/>
                  </w14:solidFill>
                </w14:textFill>
              </w:rPr>
              <w:t>，在</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80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以下的</w:t>
            </w:r>
            <w:r>
              <w:rPr>
                <w:rFonts w:ascii="宋体" w:hAnsi="宋体" w:cs="宋体"/>
                <w:snapToGrid w:val="0"/>
                <w:color w:val="000000" w:themeColor="text1"/>
                <w:spacing w:val="6"/>
                <w:kern w:val="0"/>
                <w:sz w:val="20"/>
                <w:szCs w:val="20"/>
                <w:highlight w:val="none"/>
                <w14:textFill>
                  <w14:solidFill>
                    <w14:schemeClr w14:val="tx1"/>
                  </w14:solidFill>
                </w14:textFill>
              </w:rPr>
              <w:t>填料最</w:t>
            </w:r>
            <w:r>
              <w:rPr>
                <w:rFonts w:ascii="宋体" w:hAnsi="宋体" w:cs="宋体"/>
                <w:snapToGrid w:val="0"/>
                <w:color w:val="000000" w:themeColor="text1"/>
                <w:spacing w:val="5"/>
                <w:kern w:val="0"/>
                <w:sz w:val="20"/>
                <w:szCs w:val="20"/>
                <w:highlight w:val="none"/>
                <w14:textFill>
                  <w14:solidFill>
                    <w14:schemeClr w14:val="tx1"/>
                  </w14:solidFill>
                </w14:textFill>
              </w:rPr>
              <w:t>大粒径不超过</w:t>
            </w:r>
            <w:r>
              <w:rPr>
                <w:rFonts w:ascii="宋体" w:hAnsi="宋体" w:cs="宋体"/>
                <w:snapToGrid w:val="0"/>
                <w:color w:val="000000" w:themeColor="text1"/>
                <w:spacing w:val="-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15</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5"/>
                <w:kern w:val="0"/>
                <w:sz w:val="20"/>
                <w:szCs w:val="20"/>
                <w:highlight w:val="none"/>
                <w14:textFill>
                  <w14:solidFill>
                    <w14:schemeClr w14:val="tx1"/>
                  </w14:solidFill>
                </w14:textFill>
              </w:rPr>
              <w:t>。</w:t>
            </w:r>
            <w:r>
              <w:rPr>
                <w:rFonts w:ascii="宋体" w:hAnsi="宋体" w:cs="宋体"/>
                <w:snapToGrid w:val="0"/>
                <w:color w:val="000000" w:themeColor="text1"/>
                <w:spacing w:val="5"/>
                <w:kern w:val="0"/>
                <w:sz w:val="20"/>
                <w:szCs w:val="20"/>
                <w:highlight w:val="none"/>
                <w:lang w:eastAsia="en-US"/>
                <w14:textFill>
                  <w14:solidFill>
                    <w14:schemeClr w14:val="tx1"/>
                  </w14:solidFill>
                </w14:textFill>
              </w:rPr>
              <w:t>违者违约金</w:t>
            </w:r>
            <w:r>
              <w:rPr>
                <w:rFonts w:ascii="宋体" w:hAnsi="宋体" w:cs="宋体"/>
                <w:snapToGrid w:val="0"/>
                <w:color w:val="000000" w:themeColor="text1"/>
                <w:spacing w:val="-35"/>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lang w:eastAsia="en-US"/>
                <w14:textFill>
                  <w14:solidFill>
                    <w14:schemeClr w14:val="tx1"/>
                  </w14:solidFill>
                </w14:textFill>
              </w:rPr>
              <w:t>2,000</w:t>
            </w:r>
            <w:r>
              <w:rPr>
                <w:rFonts w:ascii="宋体" w:hAnsi="宋体" w:cs="宋体"/>
                <w:snapToGrid w:val="0"/>
                <w:color w:val="000000" w:themeColor="text1"/>
                <w:spacing w:val="-38"/>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lang w:eastAsia="en-US"/>
                <w14:textFill>
                  <w14:solidFill>
                    <w14:schemeClr w14:val="tx1"/>
                  </w14:solidFill>
                </w14:textFill>
              </w:rPr>
              <w:t>元/次。</w:t>
            </w:r>
          </w:p>
        </w:tc>
      </w:tr>
      <w:tr w14:paraId="18B08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8C483A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3AB95C56">
            <w:pPr>
              <w:kinsoku w:val="0"/>
              <w:autoSpaceDE w:val="0"/>
              <w:autoSpaceDN w:val="0"/>
              <w:adjustRightInd w:val="0"/>
              <w:snapToGrid w:val="0"/>
              <w:spacing w:before="229"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5A6CB9BB">
            <w:pPr>
              <w:kinsoku w:val="0"/>
              <w:autoSpaceDE w:val="0"/>
              <w:autoSpaceDN w:val="0"/>
              <w:adjustRightInd w:val="0"/>
              <w:snapToGrid w:val="0"/>
              <w:spacing w:before="228" w:line="225" w:lineRule="auto"/>
              <w:ind w:left="114"/>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路基填土应按规定作液限、塑限指数及</w:t>
            </w:r>
            <w:r>
              <w:rPr>
                <w:rFonts w:ascii="宋体" w:hAnsi="宋体" w:cs="宋体"/>
                <w:snapToGrid w:val="0"/>
                <w:color w:val="000000" w:themeColor="text1"/>
                <w:spacing w:val="-41"/>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CBR</w:t>
            </w:r>
            <w:r>
              <w:rPr>
                <w:rFonts w:ascii="宋体" w:hAnsi="宋体" w:cs="宋体"/>
                <w:snapToGrid w:val="0"/>
                <w:color w:val="000000" w:themeColor="text1"/>
                <w:spacing w:val="-4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值试验。</w:t>
            </w:r>
            <w:r>
              <w:rPr>
                <w:rFonts w:ascii="宋体" w:hAnsi="宋体" w:cs="宋体"/>
                <w:snapToGrid w:val="0"/>
                <w:color w:val="000000" w:themeColor="text1"/>
                <w:spacing w:val="8"/>
                <w:kern w:val="0"/>
                <w:sz w:val="20"/>
                <w:szCs w:val="20"/>
                <w:highlight w:val="none"/>
                <w:lang w:eastAsia="en-US"/>
                <w14:textFill>
                  <w14:solidFill>
                    <w14:schemeClr w14:val="tx1"/>
                  </w14:solidFill>
                </w14:textFill>
              </w:rPr>
              <w:t>违者违约金</w:t>
            </w:r>
            <w:r>
              <w:rPr>
                <w:rFonts w:ascii="宋体" w:hAnsi="宋体" w:cs="宋体"/>
                <w:snapToGrid w:val="0"/>
                <w:color w:val="000000" w:themeColor="text1"/>
                <w:spacing w:val="-33"/>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lang w:eastAsia="en-US"/>
                <w14:textFill>
                  <w14:solidFill>
                    <w14:schemeClr w14:val="tx1"/>
                  </w14:solidFill>
                </w14:textFill>
              </w:rPr>
              <w:t>5,000</w:t>
            </w:r>
            <w:r>
              <w:rPr>
                <w:rFonts w:ascii="宋体" w:hAnsi="宋体" w:cs="宋体"/>
                <w:snapToGrid w:val="0"/>
                <w:color w:val="000000" w:themeColor="text1"/>
                <w:spacing w:val="-3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lang w:eastAsia="en-US"/>
                <w14:textFill>
                  <w14:solidFill>
                    <w14:schemeClr w14:val="tx1"/>
                  </w14:solidFill>
                </w14:textFill>
              </w:rPr>
              <w:t>元/次。</w:t>
            </w:r>
          </w:p>
        </w:tc>
      </w:tr>
      <w:tr w14:paraId="1E1E6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5A6F0C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1483F3F4">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D3DCB1D">
            <w:pPr>
              <w:kinsoku w:val="0"/>
              <w:autoSpaceDE w:val="0"/>
              <w:autoSpaceDN w:val="0"/>
              <w:adjustRightInd w:val="0"/>
              <w:snapToGrid w:val="0"/>
              <w:spacing w:before="65" w:line="268"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29414B1C">
            <w:pPr>
              <w:kinsoku w:val="0"/>
              <w:autoSpaceDE w:val="0"/>
              <w:autoSpaceDN w:val="0"/>
              <w:adjustRightInd w:val="0"/>
              <w:snapToGrid w:val="0"/>
              <w:spacing w:before="145" w:line="300" w:lineRule="auto"/>
              <w:ind w:left="115" w:right="108" w:hanging="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确保填方边坡碾压密实，边坡坡面要夯实，路基宽度在设计基础上每边超填不小</w:t>
            </w:r>
            <w:r>
              <w:rPr>
                <w:rFonts w:ascii="宋体" w:hAnsi="宋体" w:cs="宋体"/>
                <w:snapToGrid w:val="0"/>
                <w:color w:val="000000" w:themeColor="text1"/>
                <w:spacing w:val="6"/>
                <w:kern w:val="0"/>
                <w:sz w:val="20"/>
                <w:szCs w:val="20"/>
                <w:highlight w:val="none"/>
                <w14:textFill>
                  <w14:solidFill>
                    <w14:schemeClr w14:val="tx1"/>
                  </w14:solidFill>
                </w14:textFill>
              </w:rPr>
              <w:t>于</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6"/>
                <w:kern w:val="0"/>
                <w:sz w:val="20"/>
                <w:szCs w:val="20"/>
                <w:highlight w:val="none"/>
                <w14:textFill>
                  <w14:solidFill>
                    <w14:schemeClr w14:val="tx1"/>
                  </w14:solidFill>
                </w14:textFill>
              </w:rPr>
              <w:t>，等植草前刷坡。</w:t>
            </w:r>
            <w:r>
              <w:rPr>
                <w:rFonts w:ascii="宋体" w:hAnsi="宋体" w:cs="宋体"/>
                <w:snapToGrid w:val="0"/>
                <w:color w:val="000000" w:themeColor="text1"/>
                <w:spacing w:val="6"/>
                <w:kern w:val="0"/>
                <w:sz w:val="20"/>
                <w:szCs w:val="20"/>
                <w:highlight w:val="none"/>
                <w:lang w:eastAsia="en-US"/>
                <w14:textFill>
                  <w14:solidFill>
                    <w14:schemeClr w14:val="tx1"/>
                  </w14:solidFill>
                </w14:textFill>
              </w:rPr>
              <w:t>违者违约金</w:t>
            </w:r>
            <w:r>
              <w:rPr>
                <w:rFonts w:ascii="宋体" w:hAnsi="宋体" w:cs="宋体"/>
                <w:snapToGrid w:val="0"/>
                <w:color w:val="000000" w:themeColor="text1"/>
                <w:spacing w:val="-34"/>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lang w:eastAsia="en-US"/>
                <w14:textFill>
                  <w14:solidFill>
                    <w14:schemeClr w14:val="tx1"/>
                  </w14:solidFill>
                </w14:textFill>
              </w:rPr>
              <w:t>2,000</w:t>
            </w:r>
            <w:r>
              <w:rPr>
                <w:rFonts w:ascii="宋体" w:hAnsi="宋体" w:cs="宋体"/>
                <w:snapToGrid w:val="0"/>
                <w:color w:val="000000" w:themeColor="text1"/>
                <w:spacing w:val="-3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lang w:eastAsia="en-US"/>
                <w14:textFill>
                  <w14:solidFill>
                    <w14:schemeClr w14:val="tx1"/>
                  </w14:solidFill>
                </w14:textFill>
              </w:rPr>
              <w:t>元/处。</w:t>
            </w:r>
          </w:p>
        </w:tc>
      </w:tr>
      <w:tr w14:paraId="72087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EE882C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6CF24258">
            <w:pPr>
              <w:kinsoku w:val="0"/>
              <w:autoSpaceDE w:val="0"/>
              <w:autoSpaceDN w:val="0"/>
              <w:adjustRightInd w:val="0"/>
              <w:snapToGrid w:val="0"/>
              <w:spacing w:before="229"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71895A0D">
            <w:pPr>
              <w:kinsoku w:val="0"/>
              <w:autoSpaceDE w:val="0"/>
              <w:autoSpaceDN w:val="0"/>
              <w:adjustRightInd w:val="0"/>
              <w:snapToGrid w:val="0"/>
              <w:spacing w:before="229"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填土压实度达不到设计要求的，违约金</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元/检测段。</w:t>
            </w:r>
          </w:p>
        </w:tc>
      </w:tr>
      <w:tr w14:paraId="77A60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37AAE7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A46C403">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6054612">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1008ED6A">
            <w:pPr>
              <w:kinsoku w:val="0"/>
              <w:autoSpaceDE w:val="0"/>
              <w:autoSpaceDN w:val="0"/>
              <w:adjustRightInd w:val="0"/>
              <w:snapToGrid w:val="0"/>
              <w:spacing w:before="145" w:line="300" w:lineRule="auto"/>
              <w:ind w:left="113"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石方路基靠近边坡范围采用光面爆破，爆破后及时清理险石、松石，违者违约金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2F344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F7D988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4100F8A">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8D0C7B">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12CCA1C3">
            <w:pPr>
              <w:kinsoku w:val="0"/>
              <w:autoSpaceDE w:val="0"/>
              <w:autoSpaceDN w:val="0"/>
              <w:adjustRightInd w:val="0"/>
              <w:snapToGrid w:val="0"/>
              <w:spacing w:before="145" w:line="300" w:lineRule="auto"/>
              <w:ind w:left="117" w:right="108"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路堤填石要求逐层水平填筑石块，摆放平整，码砌边部，空隙用石渣石屑嵌压稳</w:t>
            </w:r>
            <w:r>
              <w:rPr>
                <w:rFonts w:ascii="宋体" w:hAnsi="宋体" w:cs="宋体"/>
                <w:snapToGrid w:val="0"/>
                <w:color w:val="000000" w:themeColor="text1"/>
                <w:spacing w:val="7"/>
                <w:kern w:val="0"/>
                <w:sz w:val="20"/>
                <w:szCs w:val="20"/>
                <w:highlight w:val="none"/>
                <w14:textFill>
                  <w14:solidFill>
                    <w14:schemeClr w14:val="tx1"/>
                  </w14:solidFill>
                </w14:textFill>
              </w:rPr>
              <w:t>定，石块尺寸符合规范要求，违者违约金</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27AA4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66E4EC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0601ABD">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8C3E59B">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0F93133F">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粉喷桩应严格控制喷粉时间、停粉时间、水泥喷入量，不得中断喷粉，确保喷粉</w:t>
            </w:r>
            <w:r>
              <w:rPr>
                <w:rFonts w:ascii="宋体" w:hAnsi="宋体" w:cs="宋体"/>
                <w:snapToGrid w:val="0"/>
                <w:color w:val="000000" w:themeColor="text1"/>
                <w:spacing w:val="8"/>
                <w:kern w:val="0"/>
                <w:sz w:val="20"/>
                <w:szCs w:val="20"/>
                <w:highlight w:val="none"/>
                <w14:textFill>
                  <w14:solidFill>
                    <w14:schemeClr w14:val="tx1"/>
                  </w14:solidFill>
                </w14:textFill>
              </w:rPr>
              <w:t>桩长度，桩身上部范围必须进行二次搅拌，违者违约金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r>
              <w:rPr>
                <w:rFonts w:ascii="宋体" w:hAnsi="宋体" w:cs="宋体"/>
                <w:snapToGrid w:val="0"/>
                <w:color w:val="000000" w:themeColor="text1"/>
                <w:spacing w:val="7"/>
                <w:kern w:val="0"/>
                <w:sz w:val="20"/>
                <w:szCs w:val="20"/>
                <w:highlight w:val="none"/>
                <w14:textFill>
                  <w14:solidFill>
                    <w14:schemeClr w14:val="tx1"/>
                  </w14:solidFill>
                </w14:textFill>
              </w:rPr>
              <w:t>/次。</w:t>
            </w:r>
          </w:p>
        </w:tc>
      </w:tr>
      <w:tr w14:paraId="1F7AB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283FCE6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F11C552">
            <w:pPr>
              <w:kinsoku w:val="0"/>
              <w:autoSpaceDE w:val="0"/>
              <w:autoSpaceDN w:val="0"/>
              <w:adjustRightInd w:val="0"/>
              <w:snapToGrid w:val="0"/>
              <w:spacing w:before="227"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tcPr>
          <w:p w14:paraId="7B1C7012">
            <w:pPr>
              <w:kinsoku w:val="0"/>
              <w:autoSpaceDE w:val="0"/>
              <w:autoSpaceDN w:val="0"/>
              <w:adjustRightInd w:val="0"/>
              <w:snapToGrid w:val="0"/>
              <w:spacing w:before="227" w:line="227"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软基换填处理未将软土清除干净就进行回填施工的，违约金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r>
              <w:rPr>
                <w:rFonts w:ascii="宋体" w:hAnsi="宋体" w:cs="宋体"/>
                <w:snapToGrid w:val="0"/>
                <w:color w:val="000000" w:themeColor="text1"/>
                <w:spacing w:val="7"/>
                <w:kern w:val="0"/>
                <w:sz w:val="20"/>
                <w:szCs w:val="20"/>
                <w:highlight w:val="none"/>
                <w14:textFill>
                  <w14:solidFill>
                    <w14:schemeClr w14:val="tx1"/>
                  </w14:solidFill>
                </w14:textFill>
              </w:rPr>
              <w:t>处。</w:t>
            </w:r>
          </w:p>
        </w:tc>
      </w:tr>
    </w:tbl>
    <w:p w14:paraId="37E705D0">
      <w:pPr>
        <w:kinsoku w:val="0"/>
        <w:autoSpaceDE w:val="0"/>
        <w:autoSpaceDN w:val="0"/>
        <w:adjustRightInd w:val="0"/>
        <w:snapToGrid w:val="0"/>
        <w:spacing w:line="3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7846EA0">
      <w:pPr>
        <w:kinsoku w:val="0"/>
        <w:autoSpaceDE w:val="0"/>
        <w:autoSpaceDN w:val="0"/>
        <w:adjustRightInd w:val="0"/>
        <w:snapToGrid w:val="0"/>
        <w:spacing w:line="3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873014">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bookmarkStart w:id="390" w:name="bookmark334"/>
      <w:bookmarkEnd w:id="390"/>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1B6FC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6" w:hRule="atLeast"/>
        </w:trPr>
        <w:tc>
          <w:tcPr>
            <w:tcW w:w="831" w:type="dxa"/>
          </w:tcPr>
          <w:p w14:paraId="0AFDADEC">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5F576D2C">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194D7109">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536E6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01B20BD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112E52E6">
            <w:pPr>
              <w:kinsoku w:val="0"/>
              <w:autoSpaceDE w:val="0"/>
              <w:autoSpaceDN w:val="0"/>
              <w:adjustRightInd w:val="0"/>
              <w:snapToGrid w:val="0"/>
              <w:spacing w:before="223"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4B0DA440">
            <w:pPr>
              <w:kinsoku w:val="0"/>
              <w:autoSpaceDE w:val="0"/>
              <w:autoSpaceDN w:val="0"/>
              <w:adjustRightInd w:val="0"/>
              <w:snapToGrid w:val="0"/>
              <w:spacing w:before="222"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软基处理未按要求进行沉降和稳定性观测的，违约金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w:t>
            </w:r>
            <w:r>
              <w:rPr>
                <w:rFonts w:ascii="宋体" w:hAnsi="宋体" w:cs="宋体"/>
                <w:snapToGrid w:val="0"/>
                <w:color w:val="000000" w:themeColor="text1"/>
                <w:spacing w:val="7"/>
                <w:kern w:val="0"/>
                <w:sz w:val="20"/>
                <w:szCs w:val="20"/>
                <w:highlight w:val="none"/>
                <w14:textFill>
                  <w14:solidFill>
                    <w14:schemeClr w14:val="tx1"/>
                  </w14:solidFill>
                </w14:textFill>
              </w:rPr>
              <w:t>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321F0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A74D36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9782BF4">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5584293">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2B59056A">
            <w:pPr>
              <w:kinsoku w:val="0"/>
              <w:autoSpaceDE w:val="0"/>
              <w:autoSpaceDN w:val="0"/>
              <w:adjustRightInd w:val="0"/>
              <w:snapToGrid w:val="0"/>
              <w:spacing w:before="140" w:line="302" w:lineRule="auto"/>
              <w:ind w:left="114"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软基路段施工前应调查软土分布范围、软土深度，进行土工试验，发现与设计不</w:t>
            </w:r>
            <w:r>
              <w:rPr>
                <w:rFonts w:ascii="宋体" w:hAnsi="宋体" w:cs="宋体"/>
                <w:snapToGrid w:val="0"/>
                <w:color w:val="000000" w:themeColor="text1"/>
                <w:spacing w:val="7"/>
                <w:kern w:val="0"/>
                <w:sz w:val="20"/>
                <w:szCs w:val="20"/>
                <w:highlight w:val="none"/>
                <w14:textFill>
                  <w14:solidFill>
                    <w14:schemeClr w14:val="tx1"/>
                  </w14:solidFill>
                </w14:textFill>
              </w:rPr>
              <w:t>符的，应通知监理人，违者违约金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B659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5D6B0D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67B4EEA">
            <w:pPr>
              <w:kinsoku w:val="0"/>
              <w:autoSpaceDE w:val="0"/>
              <w:autoSpaceDN w:val="0"/>
              <w:adjustRightInd w:val="0"/>
              <w:snapToGrid w:val="0"/>
              <w:spacing w:before="223"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799CDC73">
            <w:pPr>
              <w:kinsoku w:val="0"/>
              <w:autoSpaceDE w:val="0"/>
              <w:autoSpaceDN w:val="0"/>
              <w:adjustRightInd w:val="0"/>
              <w:snapToGrid w:val="0"/>
              <w:spacing w:before="223"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袋装砂井施工中，砂袋未垂吊、灌沙不饱满的，违约金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w:t>
            </w:r>
            <w:r>
              <w:rPr>
                <w:rFonts w:ascii="宋体" w:hAnsi="宋体" w:cs="宋体"/>
                <w:snapToGrid w:val="0"/>
                <w:color w:val="000000" w:themeColor="text1"/>
                <w:spacing w:val="7"/>
                <w:kern w:val="0"/>
                <w:sz w:val="20"/>
                <w:szCs w:val="20"/>
                <w:highlight w:val="none"/>
                <w14:textFill>
                  <w14:solidFill>
                    <w14:schemeClr w14:val="tx1"/>
                  </w14:solidFill>
                </w14:textFill>
              </w:rPr>
              <w:t>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元/根。</w:t>
            </w:r>
          </w:p>
        </w:tc>
      </w:tr>
      <w:tr w14:paraId="5951D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7BB235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05A3612">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50698D8">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0106C393">
            <w:pPr>
              <w:kinsoku w:val="0"/>
              <w:autoSpaceDE w:val="0"/>
              <w:autoSpaceDN w:val="0"/>
              <w:adjustRightInd w:val="0"/>
              <w:snapToGrid w:val="0"/>
              <w:spacing w:before="140" w:line="302" w:lineRule="auto"/>
              <w:ind w:left="113" w:right="5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袋装砂井、砂袋织物和塑料排水板的材料质量必须符合设计</w:t>
            </w:r>
            <w:r>
              <w:rPr>
                <w:rFonts w:ascii="宋体" w:hAnsi="宋体" w:cs="宋体"/>
                <w:snapToGrid w:val="0"/>
                <w:color w:val="000000" w:themeColor="text1"/>
                <w:spacing w:val="7"/>
                <w:kern w:val="0"/>
                <w:sz w:val="20"/>
                <w:szCs w:val="20"/>
                <w:highlight w:val="none"/>
                <w14:textFill>
                  <w14:solidFill>
                    <w14:schemeClr w14:val="tx1"/>
                  </w14:solidFill>
                </w14:textFill>
              </w:rPr>
              <w:t>要求，违者违约金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45A82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3997BC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82F249D">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33FB442">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6CAB73B0">
            <w:pPr>
              <w:kinsoku w:val="0"/>
              <w:autoSpaceDE w:val="0"/>
              <w:autoSpaceDN w:val="0"/>
              <w:adjustRightInd w:val="0"/>
              <w:snapToGrid w:val="0"/>
              <w:spacing w:before="142" w:line="301" w:lineRule="auto"/>
              <w:ind w:left="113"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土工格栅、土工布等土工材料质量不符合设计要求，搭接宽度、搭接方式不符合</w:t>
            </w:r>
            <w:r>
              <w:rPr>
                <w:rFonts w:ascii="宋体" w:hAnsi="宋体" w:cs="宋体"/>
                <w:snapToGrid w:val="0"/>
                <w:color w:val="000000" w:themeColor="text1"/>
                <w:spacing w:val="6"/>
                <w:kern w:val="0"/>
                <w:sz w:val="20"/>
                <w:szCs w:val="20"/>
                <w:highlight w:val="none"/>
                <w14:textFill>
                  <w14:solidFill>
                    <w14:schemeClr w14:val="tx1"/>
                  </w14:solidFill>
                </w14:textFill>
              </w:rPr>
              <w:t>有关要求的，违约金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tc>
      </w:tr>
      <w:tr w14:paraId="7255D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3" w:hRule="atLeast"/>
        </w:trPr>
        <w:tc>
          <w:tcPr>
            <w:tcW w:w="831" w:type="dxa"/>
            <w:vMerge w:val="continue"/>
            <w:tcBorders>
              <w:top w:val="nil"/>
              <w:bottom w:val="nil"/>
            </w:tcBorders>
          </w:tcPr>
          <w:p w14:paraId="47195D5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6BE87FF">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AE4C42A">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58E7848">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2FB9052">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DF4D521">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DB4D6B1">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22C541">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C2539B7">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50CD5A34">
            <w:pPr>
              <w:kinsoku w:val="0"/>
              <w:autoSpaceDE w:val="0"/>
              <w:autoSpaceDN w:val="0"/>
              <w:adjustRightInd w:val="0"/>
              <w:snapToGrid w:val="0"/>
              <w:spacing w:before="140" w:line="225"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结构物台背回填施工应符合以下要求，违者违约金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r>
              <w:rPr>
                <w:rFonts w:ascii="宋体" w:hAnsi="宋体" w:cs="宋体"/>
                <w:snapToGrid w:val="0"/>
                <w:color w:val="000000" w:themeColor="text1"/>
                <w:spacing w:val="7"/>
                <w:kern w:val="0"/>
                <w:sz w:val="20"/>
                <w:szCs w:val="20"/>
                <w:highlight w:val="none"/>
                <w14:textFill>
                  <w14:solidFill>
                    <w14:schemeClr w14:val="tx1"/>
                  </w14:solidFill>
                </w14:textFill>
              </w:rPr>
              <w:t>处（次</w:t>
            </w:r>
            <w:r>
              <w:rPr>
                <w:rFonts w:ascii="宋体" w:hAnsi="宋体" w:cs="宋体"/>
                <w:snapToGrid w:val="0"/>
                <w:color w:val="000000" w:themeColor="text1"/>
                <w:kern w:val="0"/>
                <w:sz w:val="20"/>
                <w:szCs w:val="20"/>
                <w:highlight w:val="none"/>
                <w14:textFill>
                  <w14:solidFill>
                    <w14:schemeClr w14:val="tx1"/>
                  </w14:solidFill>
                </w14:textFill>
              </w:rPr>
              <w:t>）：</w:t>
            </w:r>
          </w:p>
          <w:p w14:paraId="04B07549">
            <w:pPr>
              <w:kinsoku w:val="0"/>
              <w:autoSpaceDE w:val="0"/>
              <w:autoSpaceDN w:val="0"/>
              <w:adjustRightInd w:val="0"/>
              <w:snapToGrid w:val="0"/>
              <w:spacing w:before="157" w:line="299" w:lineRule="auto"/>
              <w:ind w:left="117" w:right="110" w:firstLine="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（1）除肋式及桩柱式外，回填必须在上部结构安装完毕，结构物验</w:t>
            </w:r>
            <w:r>
              <w:rPr>
                <w:rFonts w:ascii="宋体" w:hAnsi="宋体" w:cs="宋体"/>
                <w:snapToGrid w:val="0"/>
                <w:color w:val="000000" w:themeColor="text1"/>
                <w:spacing w:val="7"/>
                <w:kern w:val="0"/>
                <w:sz w:val="20"/>
                <w:szCs w:val="20"/>
                <w:highlight w:val="none"/>
                <w14:textFill>
                  <w14:solidFill>
                    <w14:schemeClr w14:val="tx1"/>
                  </w14:solidFill>
                </w14:textFill>
              </w:rPr>
              <w:t>收合格，且砼</w:t>
            </w:r>
            <w:r>
              <w:rPr>
                <w:rFonts w:ascii="宋体" w:hAnsi="宋体" w:cs="宋体"/>
                <w:snapToGrid w:val="0"/>
                <w:color w:val="000000" w:themeColor="text1"/>
                <w:spacing w:val="10"/>
                <w:kern w:val="0"/>
                <w:sz w:val="20"/>
                <w:szCs w:val="20"/>
                <w:highlight w:val="none"/>
                <w14:textFill>
                  <w14:solidFill>
                    <w14:schemeClr w14:val="tx1"/>
                  </w14:solidFill>
                </w14:textFill>
              </w:rPr>
              <w:t>强度达到设计的85%后方可进行；</w:t>
            </w:r>
          </w:p>
          <w:p w14:paraId="49F210E4">
            <w:pPr>
              <w:kinsoku w:val="0"/>
              <w:autoSpaceDE w:val="0"/>
              <w:autoSpaceDN w:val="0"/>
              <w:adjustRightInd w:val="0"/>
              <w:snapToGrid w:val="0"/>
              <w:spacing w:before="151" w:line="299" w:lineRule="auto"/>
              <w:ind w:left="116" w:right="110" w:firstLine="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（2）回填必须在构造物两端对称填筑压实，以免产生变形、破坏，</w:t>
            </w:r>
            <w:r>
              <w:rPr>
                <w:rFonts w:ascii="宋体" w:hAnsi="宋体" w:cs="宋体"/>
                <w:snapToGrid w:val="0"/>
                <w:color w:val="000000" w:themeColor="text1"/>
                <w:spacing w:val="7"/>
                <w:kern w:val="0"/>
                <w:sz w:val="20"/>
                <w:szCs w:val="20"/>
                <w:highlight w:val="none"/>
                <w14:textFill>
                  <w14:solidFill>
                    <w14:schemeClr w14:val="tx1"/>
                  </w14:solidFill>
                </w14:textFill>
              </w:rPr>
              <w:t>每层松铺厚度</w:t>
            </w:r>
            <w:r>
              <w:rPr>
                <w:rFonts w:ascii="宋体" w:hAnsi="宋体" w:cs="宋体"/>
                <w:snapToGrid w:val="0"/>
                <w:color w:val="000000" w:themeColor="text1"/>
                <w:spacing w:val="4"/>
                <w:kern w:val="0"/>
                <w:sz w:val="20"/>
                <w:szCs w:val="20"/>
                <w:highlight w:val="none"/>
                <w14:textFill>
                  <w14:solidFill>
                    <w14:schemeClr w14:val="tx1"/>
                  </w14:solidFill>
                </w14:textFill>
              </w:rPr>
              <w:t>不大于</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4"/>
                <w:kern w:val="0"/>
                <w:sz w:val="20"/>
                <w:szCs w:val="20"/>
                <w:highlight w:val="none"/>
                <w14:textFill>
                  <w14:solidFill>
                    <w14:schemeClr w14:val="tx1"/>
                  </w14:solidFill>
                </w14:textFill>
              </w:rPr>
              <w:t>；</w:t>
            </w:r>
          </w:p>
          <w:p w14:paraId="24A509F5">
            <w:pPr>
              <w:kinsoku w:val="0"/>
              <w:autoSpaceDE w:val="0"/>
              <w:autoSpaceDN w:val="0"/>
              <w:adjustRightInd w:val="0"/>
              <w:snapToGrid w:val="0"/>
              <w:spacing w:before="153" w:line="298" w:lineRule="auto"/>
              <w:ind w:left="117" w:right="108" w:firstLine="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w:t>
            </w:r>
            <w:r>
              <w:rPr>
                <w:rFonts w:ascii="宋体" w:hAnsi="宋体" w:cs="宋体"/>
                <w:snapToGrid w:val="0"/>
                <w:color w:val="000000" w:themeColor="text1"/>
                <w:spacing w:val="-4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回填界面路基填筑时必须超填</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以上，超填部分回填施工前清除，保证</w:t>
            </w:r>
            <w:r>
              <w:rPr>
                <w:rFonts w:ascii="宋体" w:hAnsi="宋体" w:cs="宋体"/>
                <w:snapToGrid w:val="0"/>
                <w:color w:val="000000" w:themeColor="text1"/>
                <w:spacing w:val="4"/>
                <w:kern w:val="0"/>
                <w:sz w:val="20"/>
                <w:szCs w:val="20"/>
                <w:highlight w:val="none"/>
                <w14:textFill>
                  <w14:solidFill>
                    <w14:schemeClr w14:val="tx1"/>
                  </w14:solidFill>
                </w14:textFill>
              </w:rPr>
              <w:t>界面密实；</w:t>
            </w:r>
          </w:p>
          <w:p w14:paraId="67BF2CCE">
            <w:pPr>
              <w:kinsoku w:val="0"/>
              <w:autoSpaceDE w:val="0"/>
              <w:autoSpaceDN w:val="0"/>
              <w:adjustRightInd w:val="0"/>
              <w:snapToGrid w:val="0"/>
              <w:spacing w:before="153" w:line="299" w:lineRule="auto"/>
              <w:ind w:left="116" w:right="55" w:firstLine="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（4）回填砂施工采用水密法，配合插入式振捣捧小型夯</w:t>
            </w:r>
            <w:r>
              <w:rPr>
                <w:rFonts w:ascii="宋体" w:hAnsi="宋体" w:cs="宋体"/>
                <w:snapToGrid w:val="0"/>
                <w:color w:val="000000" w:themeColor="text1"/>
                <w:spacing w:val="3"/>
                <w:kern w:val="0"/>
                <w:sz w:val="20"/>
                <w:szCs w:val="20"/>
                <w:highlight w:val="none"/>
                <w14:textFill>
                  <w14:solidFill>
                    <w14:schemeClr w14:val="tx1"/>
                  </w14:solidFill>
                </w14:textFill>
              </w:rPr>
              <w:t>实设备，小型压路机进行，</w:t>
            </w:r>
            <w:r>
              <w:rPr>
                <w:rFonts w:ascii="宋体" w:hAnsi="宋体" w:cs="宋体"/>
                <w:snapToGrid w:val="0"/>
                <w:color w:val="000000" w:themeColor="text1"/>
                <w:spacing w:val="7"/>
                <w:kern w:val="0"/>
                <w:sz w:val="20"/>
                <w:szCs w:val="20"/>
                <w:highlight w:val="none"/>
                <w14:textFill>
                  <w14:solidFill>
                    <w14:schemeClr w14:val="tx1"/>
                  </w14:solidFill>
                </w14:textFill>
              </w:rPr>
              <w:t>必须达到设计压实度；</w:t>
            </w:r>
          </w:p>
          <w:p w14:paraId="3C4ECD72">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（5）台背填料及回填断面应符合设计和规范要求。</w:t>
            </w:r>
          </w:p>
        </w:tc>
      </w:tr>
      <w:tr w14:paraId="41CC3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5" w:hRule="atLeast"/>
        </w:trPr>
        <w:tc>
          <w:tcPr>
            <w:tcW w:w="831" w:type="dxa"/>
            <w:vMerge w:val="continue"/>
            <w:tcBorders>
              <w:top w:val="nil"/>
              <w:bottom w:val="nil"/>
            </w:tcBorders>
          </w:tcPr>
          <w:p w14:paraId="2745D95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88F861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808DAF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211C7F8">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89147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EDA85D4">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B796544">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EFA4DF0">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F6D55D4">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7622" w:type="dxa"/>
          </w:tcPr>
          <w:p w14:paraId="503DF442">
            <w:pPr>
              <w:kinsoku w:val="0"/>
              <w:autoSpaceDE w:val="0"/>
              <w:autoSpaceDN w:val="0"/>
              <w:adjustRightInd w:val="0"/>
              <w:snapToGrid w:val="0"/>
              <w:spacing w:before="142" w:line="225" w:lineRule="auto"/>
              <w:ind w:right="13"/>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支挡工程（含砌体工程）不满足下列规定者，违约金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元/项，并作返工处理：</w:t>
            </w:r>
          </w:p>
          <w:p w14:paraId="43446D9A">
            <w:pPr>
              <w:kinsoku w:val="0"/>
              <w:autoSpaceDE w:val="0"/>
              <w:autoSpaceDN w:val="0"/>
              <w:adjustRightInd w:val="0"/>
              <w:snapToGrid w:val="0"/>
              <w:spacing w:before="157"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（1）不得采用风化石，表面石料粒径需≥30</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8"/>
                <w:kern w:val="0"/>
                <w:sz w:val="20"/>
                <w:szCs w:val="20"/>
                <w:highlight w:val="none"/>
                <w14:textFill>
                  <w14:solidFill>
                    <w14:schemeClr w14:val="tx1"/>
                  </w14:solidFill>
                </w14:textFill>
              </w:rPr>
              <w:t>；</w:t>
            </w:r>
          </w:p>
          <w:p w14:paraId="26749DF3">
            <w:pPr>
              <w:kinsoku w:val="0"/>
              <w:autoSpaceDE w:val="0"/>
              <w:autoSpaceDN w:val="0"/>
              <w:adjustRightInd w:val="0"/>
              <w:snapToGrid w:val="0"/>
              <w:spacing w:before="151" w:line="300" w:lineRule="auto"/>
              <w:ind w:left="113" w:right="108" w:firstLine="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（2）构造物表面平顺，无凹凸扭曲现象，砂浆抹边的棱角线、平直度符</w:t>
            </w:r>
            <w:r>
              <w:rPr>
                <w:rFonts w:ascii="宋体" w:hAnsi="宋体" w:cs="宋体"/>
                <w:snapToGrid w:val="0"/>
                <w:color w:val="000000" w:themeColor="text1"/>
                <w:spacing w:val="7"/>
                <w:kern w:val="0"/>
                <w:sz w:val="20"/>
                <w:szCs w:val="20"/>
                <w:highlight w:val="none"/>
                <w14:textFill>
                  <w14:solidFill>
                    <w14:schemeClr w14:val="tx1"/>
                  </w14:solidFill>
                </w14:textFill>
              </w:rPr>
              <w:t>合设计及</w:t>
            </w:r>
            <w:r>
              <w:rPr>
                <w:rFonts w:ascii="宋体" w:hAnsi="宋体" w:cs="宋体"/>
                <w:snapToGrid w:val="0"/>
                <w:color w:val="000000" w:themeColor="text1"/>
                <w:spacing w:val="5"/>
                <w:kern w:val="0"/>
                <w:sz w:val="20"/>
                <w:szCs w:val="20"/>
                <w:highlight w:val="none"/>
                <w14:textFill>
                  <w14:solidFill>
                    <w14:schemeClr w14:val="tx1"/>
                  </w14:solidFill>
                </w14:textFill>
              </w:rPr>
              <w:t>规范要求；</w:t>
            </w:r>
          </w:p>
          <w:p w14:paraId="2EA991F4">
            <w:pPr>
              <w:kinsoku w:val="0"/>
              <w:autoSpaceDE w:val="0"/>
              <w:autoSpaceDN w:val="0"/>
              <w:adjustRightInd w:val="0"/>
              <w:snapToGrid w:val="0"/>
              <w:spacing w:before="152"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（3）构造物结构尺寸符合设计及规范要求。</w:t>
            </w:r>
          </w:p>
          <w:p w14:paraId="0DF4F4BE">
            <w:pPr>
              <w:kinsoku w:val="0"/>
              <w:autoSpaceDE w:val="0"/>
              <w:autoSpaceDN w:val="0"/>
              <w:adjustRightInd w:val="0"/>
              <w:snapToGrid w:val="0"/>
              <w:spacing w:before="152"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（4）勾缝不得有瞎缝、丢缝、裂纹和脱落现象，缝宽统一；</w:t>
            </w:r>
          </w:p>
          <w:p w14:paraId="201CFD62">
            <w:pPr>
              <w:kinsoku w:val="0"/>
              <w:autoSpaceDE w:val="0"/>
              <w:autoSpaceDN w:val="0"/>
              <w:adjustRightInd w:val="0"/>
              <w:snapToGrid w:val="0"/>
              <w:spacing w:before="155" w:line="299" w:lineRule="auto"/>
              <w:ind w:left="112" w:right="53" w:firstLine="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（5）石缝不大于40</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2"/>
                <w:kern w:val="0"/>
                <w:sz w:val="20"/>
                <w:szCs w:val="20"/>
                <w:highlight w:val="none"/>
                <w14:textFill>
                  <w14:solidFill>
                    <w14:schemeClr w14:val="tx1"/>
                  </w14:solidFill>
                </w14:textFill>
              </w:rPr>
              <w:t>，砌缝内砂浆均匀饱满，不得有空洞；层间错缝不大于</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80</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2"/>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三块石相接空隙不大于</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70</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7"/>
                <w:kern w:val="0"/>
                <w:sz w:val="20"/>
                <w:szCs w:val="20"/>
                <w:highlight w:val="none"/>
                <w14:textFill>
                  <w14:solidFill>
                    <w14:schemeClr w14:val="tx1"/>
                  </w14:solidFill>
                </w14:textFill>
              </w:rPr>
              <w:t>；</w:t>
            </w:r>
          </w:p>
          <w:p w14:paraId="329B0E1E">
            <w:pPr>
              <w:kinsoku w:val="0"/>
              <w:autoSpaceDE w:val="0"/>
              <w:autoSpaceDN w:val="0"/>
              <w:adjustRightInd w:val="0"/>
              <w:snapToGrid w:val="0"/>
              <w:spacing w:before="62"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（6）砂浆抹面，平整度用</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2m</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直尺检查≤8</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8"/>
                <w:kern w:val="0"/>
                <w:sz w:val="20"/>
                <w:szCs w:val="20"/>
                <w:highlight w:val="none"/>
                <w14:textFill>
                  <w14:solidFill>
                    <w14:schemeClr w14:val="tx1"/>
                  </w14:solidFill>
                </w14:textFill>
              </w:rPr>
              <w:t>，不得有裂缝、空鼓现象；</w:t>
            </w:r>
          </w:p>
          <w:p w14:paraId="557745A3">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（7）泄水孔按设计设置，数量、位置和坡度符合要求</w:t>
            </w:r>
            <w:r>
              <w:rPr>
                <w:rFonts w:ascii="宋体" w:hAnsi="宋体" w:cs="宋体"/>
                <w:snapToGrid w:val="0"/>
                <w:color w:val="000000" w:themeColor="text1"/>
                <w:spacing w:val="8"/>
                <w:kern w:val="0"/>
                <w:sz w:val="20"/>
                <w:szCs w:val="20"/>
                <w:highlight w:val="none"/>
                <w14:textFill>
                  <w14:solidFill>
                    <w14:schemeClr w14:val="tx1"/>
                  </w14:solidFill>
                </w14:textFill>
              </w:rPr>
              <w:t>，无堵塞现象。</w:t>
            </w:r>
          </w:p>
        </w:tc>
      </w:tr>
      <w:tr w14:paraId="1CDAA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58E0784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2567045">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69B8B27">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4EE6C3C">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7622" w:type="dxa"/>
          </w:tcPr>
          <w:p w14:paraId="46B97AE0">
            <w:pPr>
              <w:kinsoku w:val="0"/>
              <w:autoSpaceDE w:val="0"/>
              <w:autoSpaceDN w:val="0"/>
              <w:adjustRightInd w:val="0"/>
              <w:snapToGrid w:val="0"/>
              <w:spacing w:before="144"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浆砌或砼排水工程存在下列情况之一的，违约金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p w14:paraId="58A204EC">
            <w:pPr>
              <w:kinsoku w:val="0"/>
              <w:autoSpaceDE w:val="0"/>
              <w:autoSpaceDN w:val="0"/>
              <w:adjustRightInd w:val="0"/>
              <w:snapToGrid w:val="0"/>
              <w:spacing w:before="156"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（1）铺砌厚度不满足要求；</w:t>
            </w:r>
          </w:p>
          <w:p w14:paraId="7953BEE6">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（2）垫层厚度不满足要求的；</w:t>
            </w:r>
          </w:p>
          <w:p w14:paraId="06085631">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（3）砌缝内砂浆不饱满的；</w:t>
            </w:r>
          </w:p>
        </w:tc>
      </w:tr>
    </w:tbl>
    <w:p w14:paraId="2B30D06D">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BD8C0A">
      <w:pPr>
        <w:rPr>
          <w:color w:val="000000" w:themeColor="text1"/>
          <w:highlight w:val="none"/>
          <w14:textFill>
            <w14:solidFill>
              <w14:schemeClr w14:val="tx1"/>
            </w14:solidFill>
          </w14:textFill>
        </w:rPr>
        <w:sectPr>
          <w:headerReference r:id="rId71" w:type="default"/>
          <w:footerReference r:id="rId72" w:type="default"/>
          <w:pgSz w:w="11906" w:h="16839"/>
          <w:pgMar w:top="1182" w:right="1304" w:bottom="1168" w:left="1304" w:header="849" w:footer="934" w:gutter="0"/>
          <w:cols w:space="720" w:num="1"/>
        </w:sectPr>
      </w:pPr>
    </w:p>
    <w:p w14:paraId="1FF1D248">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45A21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5BE1719A">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7D778879">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5C78FE73">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56F7A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31" w:type="dxa"/>
            <w:vMerge w:val="restart"/>
            <w:tcBorders>
              <w:bottom w:val="nil"/>
            </w:tcBorders>
          </w:tcPr>
          <w:p w14:paraId="23BFC6C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61E68FC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2943DF42">
            <w:pPr>
              <w:kinsoku w:val="0"/>
              <w:autoSpaceDE w:val="0"/>
              <w:autoSpaceDN w:val="0"/>
              <w:adjustRightInd w:val="0"/>
              <w:snapToGrid w:val="0"/>
              <w:spacing w:before="141"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（4）砂浆不采用机械拌和的；</w:t>
            </w:r>
          </w:p>
          <w:p w14:paraId="71428069">
            <w:pPr>
              <w:kinsoku w:val="0"/>
              <w:autoSpaceDE w:val="0"/>
              <w:autoSpaceDN w:val="0"/>
              <w:adjustRightInd w:val="0"/>
              <w:snapToGrid w:val="0"/>
              <w:spacing w:before="155"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（5）砌缝没有错开的；</w:t>
            </w:r>
          </w:p>
          <w:p w14:paraId="02697025">
            <w:pPr>
              <w:kinsoku w:val="0"/>
              <w:autoSpaceDE w:val="0"/>
              <w:autoSpaceDN w:val="0"/>
              <w:adjustRightInd w:val="0"/>
              <w:snapToGrid w:val="0"/>
              <w:spacing w:before="150"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（6）砂浆强度达不到规定要求的；</w:t>
            </w:r>
          </w:p>
          <w:p w14:paraId="5530BFD7">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（7）沟底未清理干净，有浮土、泥浆等杂物的；</w:t>
            </w:r>
          </w:p>
          <w:p w14:paraId="51457785">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（8）施工后不进行养护的；</w:t>
            </w:r>
          </w:p>
          <w:p w14:paraId="31A25A42">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（9）截水沟与实际地形砌顺，要求线形顺畅，地形无变化时，不得出现</w:t>
            </w:r>
            <w:r>
              <w:rPr>
                <w:rFonts w:ascii="宋体" w:hAnsi="宋体" w:cs="宋体"/>
                <w:snapToGrid w:val="0"/>
                <w:color w:val="000000" w:themeColor="text1"/>
                <w:spacing w:val="8"/>
                <w:kern w:val="0"/>
                <w:sz w:val="20"/>
                <w:szCs w:val="20"/>
                <w:highlight w:val="none"/>
                <w14:textFill>
                  <w14:solidFill>
                    <w14:schemeClr w14:val="tx1"/>
                  </w14:solidFill>
                </w14:textFill>
              </w:rPr>
              <w:t>弯曲；</w:t>
            </w:r>
          </w:p>
          <w:p w14:paraId="464F245B">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（10）排水沟出现“沟外沟</w:t>
            </w:r>
            <w:r>
              <w:rPr>
                <w:rFonts w:ascii="宋体" w:hAnsi="宋体" w:cs="宋体"/>
                <w:snapToGrid w:val="0"/>
                <w:color w:val="000000" w:themeColor="text1"/>
                <w:spacing w:val="-5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”问题。</w:t>
            </w:r>
          </w:p>
        </w:tc>
      </w:tr>
      <w:tr w14:paraId="3F024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86F39C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64FCC77">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190EA0E">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7622" w:type="dxa"/>
          </w:tcPr>
          <w:p w14:paraId="77C24B14">
            <w:pPr>
              <w:kinsoku w:val="0"/>
              <w:autoSpaceDE w:val="0"/>
              <w:autoSpaceDN w:val="0"/>
              <w:adjustRightInd w:val="0"/>
              <w:snapToGrid w:val="0"/>
              <w:spacing w:before="142" w:line="301" w:lineRule="auto"/>
              <w:ind w:left="113" w:right="10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排水盲沟（渗沟）断面不符合设计要求，回填碎石含泥量超标的，土工布铺设不</w:t>
            </w:r>
            <w:r>
              <w:rPr>
                <w:rFonts w:ascii="宋体" w:hAnsi="宋体" w:cs="宋体"/>
                <w:snapToGrid w:val="0"/>
                <w:color w:val="000000" w:themeColor="text1"/>
                <w:spacing w:val="7"/>
                <w:kern w:val="0"/>
                <w:sz w:val="20"/>
                <w:szCs w:val="20"/>
                <w:highlight w:val="none"/>
                <w14:textFill>
                  <w14:solidFill>
                    <w14:schemeClr w14:val="tx1"/>
                  </w14:solidFill>
                </w14:textFill>
              </w:rPr>
              <w:t>符合要求的，出水口堵塞的，违者违约金</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206DE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690F5AF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8A5D70B">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60E334F">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7622" w:type="dxa"/>
          </w:tcPr>
          <w:p w14:paraId="7F3022A9">
            <w:pPr>
              <w:kinsoku w:val="0"/>
              <w:autoSpaceDE w:val="0"/>
              <w:autoSpaceDN w:val="0"/>
              <w:adjustRightInd w:val="0"/>
              <w:snapToGrid w:val="0"/>
              <w:spacing w:before="141" w:line="301" w:lineRule="auto"/>
              <w:ind w:left="113" w:right="10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边坡开挖未做到开挖一级、防护一级的，斜陡坡路堤基底台阶开挖不符合设计及</w:t>
            </w:r>
            <w:r>
              <w:rPr>
                <w:rFonts w:ascii="宋体" w:hAnsi="宋体" w:cs="宋体"/>
                <w:snapToGrid w:val="0"/>
                <w:color w:val="000000" w:themeColor="text1"/>
                <w:spacing w:val="5"/>
                <w:kern w:val="0"/>
                <w:sz w:val="20"/>
                <w:szCs w:val="20"/>
                <w:highlight w:val="none"/>
                <w14:textFill>
                  <w14:solidFill>
                    <w14:schemeClr w14:val="tx1"/>
                  </w14:solidFill>
                </w14:textFill>
              </w:rPr>
              <w:t>规范要求的，违约金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tc>
      </w:tr>
      <w:tr w14:paraId="0894F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tcBorders>
          </w:tcPr>
          <w:p w14:paraId="52DBD00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5ECC540">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5F3EF02">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2394261">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D38CFD3">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23</w:t>
            </w:r>
          </w:p>
        </w:tc>
        <w:tc>
          <w:tcPr>
            <w:tcW w:w="7622" w:type="dxa"/>
          </w:tcPr>
          <w:p w14:paraId="3C1E461E">
            <w:pPr>
              <w:kinsoku w:val="0"/>
              <w:autoSpaceDE w:val="0"/>
              <w:autoSpaceDN w:val="0"/>
              <w:adjustRightInd w:val="0"/>
              <w:snapToGrid w:val="0"/>
              <w:spacing w:before="143"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锚杆或锚索工程存在以下类别的问题时，违约金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p w14:paraId="0FFDD89F">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（1）锚杆或锚索长度不足；</w:t>
            </w:r>
          </w:p>
          <w:p w14:paraId="255C9155">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（2）压浆、封锚不规范；</w:t>
            </w:r>
          </w:p>
          <w:p w14:paraId="72E24097">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（3）张拉力不足；</w:t>
            </w:r>
          </w:p>
          <w:p w14:paraId="5AE4EBF7">
            <w:pPr>
              <w:kinsoku w:val="0"/>
              <w:autoSpaceDE w:val="0"/>
              <w:autoSpaceDN w:val="0"/>
              <w:adjustRightInd w:val="0"/>
              <w:snapToGrid w:val="0"/>
              <w:spacing w:before="152"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（4）强度不合格。</w:t>
            </w:r>
          </w:p>
        </w:tc>
      </w:tr>
      <w:tr w14:paraId="04A97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78EBFF4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桥涵</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工程</w:t>
            </w:r>
          </w:p>
        </w:tc>
        <w:tc>
          <w:tcPr>
            <w:tcW w:w="839" w:type="dxa"/>
          </w:tcPr>
          <w:p w14:paraId="2F365EDD">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A880BE6">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009972CF">
            <w:pPr>
              <w:kinsoku w:val="0"/>
              <w:autoSpaceDE w:val="0"/>
              <w:autoSpaceDN w:val="0"/>
              <w:adjustRightInd w:val="0"/>
              <w:snapToGrid w:val="0"/>
              <w:spacing w:before="142" w:line="301" w:lineRule="auto"/>
              <w:ind w:left="112" w:right="53" w:firstLine="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防撞栏出现大量麻面；线形有明显波折、错台</w:t>
            </w:r>
            <w:r>
              <w:rPr>
                <w:rFonts w:ascii="宋体" w:hAnsi="宋体" w:cs="宋体"/>
                <w:snapToGrid w:val="0"/>
                <w:color w:val="000000" w:themeColor="text1"/>
                <w:spacing w:val="6"/>
                <w:kern w:val="0"/>
                <w:sz w:val="20"/>
                <w:szCs w:val="20"/>
                <w:highlight w:val="none"/>
                <w14:textFill>
                  <w14:solidFill>
                    <w14:schemeClr w14:val="tx1"/>
                  </w14:solidFill>
                </w14:textFill>
              </w:rPr>
              <w:t>；墙角或接缝漏浆；表面多处露筋，</w:t>
            </w:r>
            <w:r>
              <w:rPr>
                <w:rFonts w:ascii="宋体" w:hAnsi="宋体" w:cs="宋体"/>
                <w:snapToGrid w:val="0"/>
                <w:color w:val="000000" w:themeColor="text1"/>
                <w:spacing w:val="4"/>
                <w:kern w:val="0"/>
                <w:sz w:val="20"/>
                <w:szCs w:val="20"/>
                <w:highlight w:val="none"/>
                <w14:textFill>
                  <w14:solidFill>
                    <w14:schemeClr w14:val="tx1"/>
                  </w14:solidFill>
                </w14:textFill>
              </w:rPr>
              <w:t>每十米违约金</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w:t>
            </w:r>
          </w:p>
        </w:tc>
      </w:tr>
      <w:tr w14:paraId="5A21F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C7CD00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D585EB4">
            <w:pPr>
              <w:kinsoku w:val="0"/>
              <w:autoSpaceDE w:val="0"/>
              <w:autoSpaceDN w:val="0"/>
              <w:adjustRightInd w:val="0"/>
              <w:snapToGrid w:val="0"/>
              <w:spacing w:before="226"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5D8EE74C">
            <w:pPr>
              <w:kinsoku w:val="0"/>
              <w:autoSpaceDE w:val="0"/>
              <w:autoSpaceDN w:val="0"/>
              <w:adjustRightInd w:val="0"/>
              <w:snapToGrid w:val="0"/>
              <w:spacing w:before="226" w:line="225"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构造物不按要求进行养生的，违约金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7216B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4C2852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9A1A20F">
            <w:pPr>
              <w:kinsoku w:val="0"/>
              <w:autoSpaceDE w:val="0"/>
              <w:autoSpaceDN w:val="0"/>
              <w:adjustRightInd w:val="0"/>
              <w:snapToGrid w:val="0"/>
              <w:spacing w:before="228"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3A46F06A">
            <w:pPr>
              <w:kinsoku w:val="0"/>
              <w:autoSpaceDE w:val="0"/>
              <w:autoSpaceDN w:val="0"/>
              <w:adjustRightInd w:val="0"/>
              <w:snapToGrid w:val="0"/>
              <w:spacing w:before="227" w:line="225"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构造物施工未采取措施保证钢筋保护层厚度就浇筑砼的，违约金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元/次。</w:t>
            </w:r>
          </w:p>
        </w:tc>
      </w:tr>
      <w:tr w14:paraId="53BDE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bottom w:val="nil"/>
            </w:tcBorders>
          </w:tcPr>
          <w:p w14:paraId="6C9AAED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C91C5C9">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1AE9A6E">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C573774">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3E9C2A3">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4F89BBEA">
            <w:pPr>
              <w:kinsoku w:val="0"/>
              <w:autoSpaceDE w:val="0"/>
              <w:autoSpaceDN w:val="0"/>
              <w:adjustRightInd w:val="0"/>
              <w:snapToGrid w:val="0"/>
              <w:spacing w:before="145" w:line="225" w:lineRule="auto"/>
              <w:ind w:left="11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下列情况，违者违约金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元/处：</w:t>
            </w:r>
          </w:p>
          <w:p w14:paraId="6F23F857">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（1）伸缩缝位置必须保证满足设计要求，安装时必须按气温来确定安装</w:t>
            </w:r>
            <w:r>
              <w:rPr>
                <w:rFonts w:ascii="宋体" w:hAnsi="宋体" w:cs="宋体"/>
                <w:snapToGrid w:val="0"/>
                <w:color w:val="000000" w:themeColor="text1"/>
                <w:spacing w:val="8"/>
                <w:kern w:val="0"/>
                <w:sz w:val="20"/>
                <w:szCs w:val="20"/>
                <w:highlight w:val="none"/>
                <w14:textFill>
                  <w14:solidFill>
                    <w14:schemeClr w14:val="tx1"/>
                  </w14:solidFill>
                </w14:textFill>
              </w:rPr>
              <w:t>宽度；</w:t>
            </w:r>
          </w:p>
          <w:p w14:paraId="7B9D8003">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（2）预留槽口的砼面必须密实、平整，无杂物；</w:t>
            </w:r>
          </w:p>
          <w:p w14:paraId="599991F5">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（3）伸缩缝型钢及配件的规格、质量与设计一致；</w:t>
            </w:r>
          </w:p>
          <w:p w14:paraId="547DB4D3">
            <w:pPr>
              <w:kinsoku w:val="0"/>
              <w:autoSpaceDE w:val="0"/>
              <w:autoSpaceDN w:val="0"/>
              <w:adjustRightInd w:val="0"/>
              <w:snapToGrid w:val="0"/>
              <w:spacing w:before="152"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（4）预埋钢筋应按设计要求预埋。</w:t>
            </w:r>
          </w:p>
        </w:tc>
      </w:tr>
      <w:tr w14:paraId="581E7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62878E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7C81B66">
            <w:pPr>
              <w:kinsoku w:val="0"/>
              <w:autoSpaceDE w:val="0"/>
              <w:autoSpaceDN w:val="0"/>
              <w:adjustRightInd w:val="0"/>
              <w:snapToGrid w:val="0"/>
              <w:spacing w:before="229"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25C9474F">
            <w:pPr>
              <w:kinsoku w:val="0"/>
              <w:autoSpaceDE w:val="0"/>
              <w:autoSpaceDN w:val="0"/>
              <w:adjustRightInd w:val="0"/>
              <w:snapToGrid w:val="0"/>
              <w:spacing w:before="228"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预应力张拉不规范，或张拉力不符设计要求的，违约金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5EAFE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7D82C1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157D2FB">
            <w:pPr>
              <w:kinsoku w:val="0"/>
              <w:autoSpaceDE w:val="0"/>
              <w:autoSpaceDN w:val="0"/>
              <w:adjustRightInd w:val="0"/>
              <w:snapToGrid w:val="0"/>
              <w:spacing w:before="228"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1835FE47">
            <w:pPr>
              <w:kinsoku w:val="0"/>
              <w:autoSpaceDE w:val="0"/>
              <w:autoSpaceDN w:val="0"/>
              <w:adjustRightInd w:val="0"/>
              <w:snapToGrid w:val="0"/>
              <w:spacing w:before="227"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预应力筋有烧伤或划伤，必须立即撤换，违</w:t>
            </w:r>
            <w:r>
              <w:rPr>
                <w:rFonts w:ascii="宋体" w:hAnsi="宋体" w:cs="宋体"/>
                <w:snapToGrid w:val="0"/>
                <w:color w:val="000000" w:themeColor="text1"/>
                <w:spacing w:val="7"/>
                <w:kern w:val="0"/>
                <w:sz w:val="20"/>
                <w:szCs w:val="20"/>
                <w:highlight w:val="none"/>
                <w14:textFill>
                  <w14:solidFill>
                    <w14:schemeClr w14:val="tx1"/>
                  </w14:solidFill>
                </w14:textFill>
              </w:rPr>
              <w:t>者违约金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7F1FF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E0FE99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FD374D5">
            <w:pPr>
              <w:kinsoku w:val="0"/>
              <w:autoSpaceDE w:val="0"/>
              <w:autoSpaceDN w:val="0"/>
              <w:adjustRightInd w:val="0"/>
              <w:snapToGrid w:val="0"/>
              <w:spacing w:before="227" w:line="268"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33575405">
            <w:pPr>
              <w:kinsoku w:val="0"/>
              <w:autoSpaceDE w:val="0"/>
              <w:autoSpaceDN w:val="0"/>
              <w:adjustRightInd w:val="0"/>
              <w:snapToGrid w:val="0"/>
              <w:spacing w:before="226"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预应力筋因施工不当造成断丝且无法补救时，违约金</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8,000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FE6C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5F3635B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52B4A9F">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A07846C">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5FC78EEE">
            <w:pPr>
              <w:kinsoku w:val="0"/>
              <w:autoSpaceDE w:val="0"/>
              <w:autoSpaceDN w:val="0"/>
              <w:adjustRightInd w:val="0"/>
              <w:snapToGrid w:val="0"/>
              <w:spacing w:before="144" w:line="301" w:lineRule="auto"/>
              <w:ind w:left="114" w:right="10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预制梁施工必须符合设计要求，吊装位置准确，标高误差±1</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3"/>
                <w:kern w:val="0"/>
                <w:sz w:val="20"/>
                <w:szCs w:val="20"/>
                <w:highlight w:val="none"/>
                <w14:textFill>
                  <w14:solidFill>
                    <w14:schemeClr w14:val="tx1"/>
                  </w14:solidFill>
                </w14:textFill>
              </w:rPr>
              <w:t>，违者违约金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2,000元/处。</w:t>
            </w:r>
          </w:p>
        </w:tc>
      </w:tr>
    </w:tbl>
    <w:p w14:paraId="26A7161B">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864A0DD">
      <w:pPr>
        <w:rPr>
          <w:color w:val="000000" w:themeColor="text1"/>
          <w:highlight w:val="none"/>
          <w14:textFill>
            <w14:solidFill>
              <w14:schemeClr w14:val="tx1"/>
            </w14:solidFill>
          </w14:textFill>
        </w:rPr>
        <w:sectPr>
          <w:footerReference r:id="rId73" w:type="default"/>
          <w:pgSz w:w="11906" w:h="16839"/>
          <w:pgMar w:top="1182" w:right="1304" w:bottom="1168" w:left="1304" w:header="849" w:footer="934" w:gutter="0"/>
          <w:cols w:space="720" w:num="1"/>
        </w:sectPr>
      </w:pPr>
    </w:p>
    <w:p w14:paraId="48494D16">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5C330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79F8262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55C55C30">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1AD22740">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32629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191DE56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65466DA2">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80077E1">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3E26EAD2">
            <w:pPr>
              <w:kinsoku w:val="0"/>
              <w:autoSpaceDE w:val="0"/>
              <w:autoSpaceDN w:val="0"/>
              <w:adjustRightInd w:val="0"/>
              <w:snapToGrid w:val="0"/>
              <w:spacing w:before="141" w:line="301" w:lineRule="auto"/>
              <w:ind w:left="115"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一个经过自检的钢筋骨架中钢筋焊接长度不足及焊缝不饱满超过</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3</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处的，违约金</w:t>
            </w:r>
            <w:r>
              <w:rPr>
                <w:rFonts w:ascii="宋体" w:hAnsi="宋体" w:cs="宋体"/>
                <w:snapToGrid w:val="0"/>
                <w:color w:val="000000" w:themeColor="text1"/>
                <w:spacing w:val="3"/>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元/个。</w:t>
            </w:r>
          </w:p>
        </w:tc>
      </w:tr>
      <w:tr w14:paraId="71C6D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3B29C86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2C6DC4D">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5323497">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6F0856F9">
            <w:pPr>
              <w:kinsoku w:val="0"/>
              <w:autoSpaceDE w:val="0"/>
              <w:autoSpaceDN w:val="0"/>
              <w:adjustRightInd w:val="0"/>
              <w:snapToGrid w:val="0"/>
              <w:spacing w:before="141" w:line="301" w:lineRule="auto"/>
              <w:ind w:left="129" w:right="108" w:hanging="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一个经过自检的钢筋骨架有</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3</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处钢筋间距（包括主筋和构造筋）不符合规范要求</w:t>
            </w:r>
            <w:r>
              <w:rPr>
                <w:rFonts w:ascii="宋体" w:hAnsi="宋体" w:cs="宋体"/>
                <w:snapToGrid w:val="0"/>
                <w:color w:val="000000" w:themeColor="text1"/>
                <w:spacing w:val="3"/>
                <w:kern w:val="0"/>
                <w:sz w:val="20"/>
                <w:szCs w:val="20"/>
                <w:highlight w:val="none"/>
                <w14:textFill>
                  <w14:solidFill>
                    <w14:schemeClr w14:val="tx1"/>
                  </w14:solidFill>
                </w14:textFill>
              </w:rPr>
              <w:t>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元/个。</w:t>
            </w:r>
          </w:p>
        </w:tc>
      </w:tr>
      <w:tr w14:paraId="34294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5B7A29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E00FE60">
            <w:pPr>
              <w:kinsoku w:val="0"/>
              <w:autoSpaceDE w:val="0"/>
              <w:autoSpaceDN w:val="0"/>
              <w:adjustRightInd w:val="0"/>
              <w:snapToGrid w:val="0"/>
              <w:spacing w:before="22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02615C00">
            <w:pPr>
              <w:kinsoku w:val="0"/>
              <w:autoSpaceDE w:val="0"/>
              <w:autoSpaceDN w:val="0"/>
              <w:adjustRightInd w:val="0"/>
              <w:snapToGrid w:val="0"/>
              <w:spacing w:before="224" w:line="225" w:lineRule="auto"/>
              <w:ind w:left="11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钢筋骨架已生锈，在浇筑砼前未作去锈处理的，违约金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7E365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D0C2D3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614DAE6">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29CD461">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tcPr>
          <w:p w14:paraId="396AC9A1">
            <w:pPr>
              <w:kinsoku w:val="0"/>
              <w:autoSpaceDE w:val="0"/>
              <w:autoSpaceDN w:val="0"/>
              <w:adjustRightInd w:val="0"/>
              <w:snapToGrid w:val="0"/>
              <w:spacing w:before="142" w:line="301" w:lineRule="auto"/>
              <w:ind w:left="112"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在钻孔桩的施工中泥浆循环系统未设沉淀池的，或沉淀池规格不符合有关要求</w:t>
            </w:r>
            <w:r>
              <w:rPr>
                <w:rFonts w:ascii="宋体" w:hAnsi="宋体" w:cs="宋体"/>
                <w:snapToGrid w:val="0"/>
                <w:color w:val="000000" w:themeColor="text1"/>
                <w:spacing w:val="6"/>
                <w:kern w:val="0"/>
                <w:sz w:val="20"/>
                <w:szCs w:val="20"/>
                <w:highlight w:val="none"/>
                <w14:textFill>
                  <w14:solidFill>
                    <w14:schemeClr w14:val="tx1"/>
                  </w14:solidFill>
                </w14:textFill>
              </w:rPr>
              <w:t>的，</w:t>
            </w:r>
            <w:r>
              <w:rPr>
                <w:rFonts w:ascii="宋体" w:hAnsi="宋体" w:cs="宋体"/>
                <w:snapToGrid w:val="0"/>
                <w:color w:val="000000" w:themeColor="text1"/>
                <w:spacing w:val="4"/>
                <w:kern w:val="0"/>
                <w:sz w:val="20"/>
                <w:szCs w:val="20"/>
                <w:highlight w:val="none"/>
                <w14:textFill>
                  <w14:solidFill>
                    <w14:schemeClr w14:val="tx1"/>
                  </w14:solidFill>
                </w14:textFill>
              </w:rPr>
              <w:t>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元/处。</w:t>
            </w:r>
          </w:p>
        </w:tc>
      </w:tr>
      <w:tr w14:paraId="51286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030AA9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BD88F82">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522D7D3">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23AB5181">
            <w:pPr>
              <w:kinsoku w:val="0"/>
              <w:autoSpaceDE w:val="0"/>
              <w:autoSpaceDN w:val="0"/>
              <w:adjustRightInd w:val="0"/>
              <w:snapToGrid w:val="0"/>
              <w:spacing w:before="142" w:line="301" w:lineRule="auto"/>
              <w:ind w:left="113" w:right="106"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桩基检测评定为</w:t>
            </w:r>
            <w:r>
              <w:rPr>
                <w:rFonts w:ascii="宋体" w:hAnsi="宋体" w:cs="宋体"/>
                <w:snapToGrid w:val="0"/>
                <w:color w:val="000000" w:themeColor="text1"/>
                <w:spacing w:val="-4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C</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类桩的，每根违约金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w:t>
            </w:r>
            <w:r>
              <w:rPr>
                <w:rFonts w:ascii="宋体" w:hAnsi="宋体" w:cs="宋体"/>
                <w:snapToGrid w:val="0"/>
                <w:color w:val="000000" w:themeColor="text1"/>
                <w:spacing w:val="4"/>
                <w:kern w:val="0"/>
                <w:sz w:val="20"/>
                <w:szCs w:val="20"/>
                <w:highlight w:val="none"/>
                <w14:textFill>
                  <w14:solidFill>
                    <w14:schemeClr w14:val="tx1"/>
                  </w14:solidFill>
                </w14:textFill>
              </w:rPr>
              <w:t>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元，出现不合格桩的，违约金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5,000</w:t>
            </w:r>
            <w:r>
              <w:rPr>
                <w:rFonts w:ascii="宋体" w:hAnsi="宋体" w:cs="宋体"/>
                <w:snapToGrid w:val="0"/>
                <w:color w:val="000000" w:themeColor="text1"/>
                <w:spacing w:val="3"/>
                <w:kern w:val="0"/>
                <w:sz w:val="20"/>
                <w:szCs w:val="20"/>
                <w:highlight w:val="none"/>
                <w14:textFill>
                  <w14:solidFill>
                    <w14:schemeClr w14:val="tx1"/>
                  </w14:solidFill>
                </w14:textFill>
              </w:rPr>
              <w:t>元/根。</w:t>
            </w:r>
          </w:p>
        </w:tc>
      </w:tr>
      <w:tr w14:paraId="3819C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47A777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41C52F5">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28AB90BD">
            <w:pPr>
              <w:kinsoku w:val="0"/>
              <w:autoSpaceDE w:val="0"/>
              <w:autoSpaceDN w:val="0"/>
              <w:adjustRightInd w:val="0"/>
              <w:snapToGrid w:val="0"/>
              <w:spacing w:before="226" w:line="225"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浇注砼时，</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自由下落高度超过</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2m</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而不用串筒的，违约金</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tc>
      </w:tr>
      <w:tr w14:paraId="1D873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0EC08C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6950B67">
            <w:pPr>
              <w:kinsoku w:val="0"/>
              <w:autoSpaceDE w:val="0"/>
              <w:autoSpaceDN w:val="0"/>
              <w:adjustRightInd w:val="0"/>
              <w:snapToGrid w:val="0"/>
              <w:spacing w:before="22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7E003E69">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砼施工配合比不按重量比的，违约金</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5A299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89238A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004551F">
            <w:pPr>
              <w:kinsoku w:val="0"/>
              <w:autoSpaceDE w:val="0"/>
              <w:autoSpaceDN w:val="0"/>
              <w:adjustRightInd w:val="0"/>
              <w:snapToGrid w:val="0"/>
              <w:spacing w:before="227"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6E6FC4E9">
            <w:pPr>
              <w:kinsoku w:val="0"/>
              <w:autoSpaceDE w:val="0"/>
              <w:autoSpaceDN w:val="0"/>
              <w:adjustRightInd w:val="0"/>
              <w:snapToGrid w:val="0"/>
              <w:spacing w:before="226" w:line="225"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两梁板之间接缝不得有杂物，填充料符合设计要求，违者违约金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p>
        </w:tc>
      </w:tr>
      <w:tr w14:paraId="60D85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CFE5C0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1AF03E9">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5922B36">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5BB30E66">
            <w:pPr>
              <w:kinsoku w:val="0"/>
              <w:autoSpaceDE w:val="0"/>
              <w:autoSpaceDN w:val="0"/>
              <w:adjustRightInd w:val="0"/>
              <w:snapToGrid w:val="0"/>
              <w:spacing w:before="145" w:line="300" w:lineRule="auto"/>
              <w:ind w:left="112"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砼拌和机的计量装置应定期标定、误差在允许范围内，拌和机的容量要满足要</w:t>
            </w:r>
            <w:r>
              <w:rPr>
                <w:rFonts w:ascii="宋体" w:hAnsi="宋体" w:cs="宋体"/>
                <w:snapToGrid w:val="0"/>
                <w:color w:val="000000" w:themeColor="text1"/>
                <w:spacing w:val="6"/>
                <w:kern w:val="0"/>
                <w:sz w:val="20"/>
                <w:szCs w:val="20"/>
                <w:highlight w:val="none"/>
                <w14:textFill>
                  <w14:solidFill>
                    <w14:schemeClr w14:val="tx1"/>
                  </w14:solidFill>
                </w14:textFill>
              </w:rPr>
              <w:t>求，</w:t>
            </w:r>
            <w:r>
              <w:rPr>
                <w:rFonts w:ascii="宋体" w:hAnsi="宋体" w:cs="宋体"/>
                <w:snapToGrid w:val="0"/>
                <w:color w:val="000000" w:themeColor="text1"/>
                <w:spacing w:val="8"/>
                <w:kern w:val="0"/>
                <w:sz w:val="20"/>
                <w:szCs w:val="20"/>
                <w:highlight w:val="none"/>
                <w14:textFill>
                  <w14:solidFill>
                    <w14:schemeClr w14:val="tx1"/>
                  </w14:solidFill>
                </w14:textFill>
              </w:rPr>
              <w:t>桥梁施工要具备应急拌和机，不满足上述要求的，违约金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3720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45BE5B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8CB49DD">
            <w:pPr>
              <w:kinsoku w:val="0"/>
              <w:autoSpaceDE w:val="0"/>
              <w:autoSpaceDN w:val="0"/>
              <w:adjustRightInd w:val="0"/>
              <w:snapToGrid w:val="0"/>
              <w:spacing w:before="227"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6C70C219">
            <w:pPr>
              <w:kinsoku w:val="0"/>
              <w:autoSpaceDE w:val="0"/>
              <w:autoSpaceDN w:val="0"/>
              <w:adjustRightInd w:val="0"/>
              <w:snapToGrid w:val="0"/>
              <w:spacing w:before="226" w:line="225"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压浆不按配合比制浆，水灰比失控，强度达不到要求的，违约金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元/次。</w:t>
            </w:r>
          </w:p>
        </w:tc>
      </w:tr>
      <w:tr w14:paraId="38178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2CD88F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97D5FA2">
            <w:pPr>
              <w:kinsoku w:val="0"/>
              <w:autoSpaceDE w:val="0"/>
              <w:autoSpaceDN w:val="0"/>
              <w:adjustRightInd w:val="0"/>
              <w:snapToGrid w:val="0"/>
              <w:spacing w:before="226"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7622" w:type="dxa"/>
          </w:tcPr>
          <w:p w14:paraId="48FC2139">
            <w:pPr>
              <w:kinsoku w:val="0"/>
              <w:autoSpaceDE w:val="0"/>
              <w:autoSpaceDN w:val="0"/>
              <w:adjustRightInd w:val="0"/>
              <w:snapToGrid w:val="0"/>
              <w:spacing w:before="225" w:line="225"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压浆不饱满的，违约金</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元/束。</w:t>
            </w:r>
          </w:p>
        </w:tc>
      </w:tr>
      <w:tr w14:paraId="1083F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3CCE050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8C0271A">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0361D46">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7622" w:type="dxa"/>
          </w:tcPr>
          <w:p w14:paraId="449BC09F">
            <w:pPr>
              <w:kinsoku w:val="0"/>
              <w:autoSpaceDE w:val="0"/>
              <w:autoSpaceDN w:val="0"/>
              <w:adjustRightInd w:val="0"/>
              <w:snapToGrid w:val="0"/>
              <w:spacing w:before="144" w:line="300" w:lineRule="auto"/>
              <w:ind w:left="114" w:right="10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预制、现浇砼构件必须采用足够强度、大面积的钢板制模板，违者违约金</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1"/>
                <w:kern w:val="0"/>
                <w:sz w:val="20"/>
                <w:szCs w:val="20"/>
                <w:highlight w:val="none"/>
                <w14:textFill>
                  <w14:solidFill>
                    <w14:schemeClr w14:val="tx1"/>
                  </w14:solidFill>
                </w14:textFill>
              </w:rPr>
              <w:t>3,000</w:t>
            </w:r>
            <w:r>
              <w:rPr>
                <w:rFonts w:ascii="宋体" w:hAnsi="宋体" w:cs="宋体"/>
                <w:snapToGrid w:val="0"/>
                <w:color w:val="000000" w:themeColor="text1"/>
                <w:spacing w:val="3"/>
                <w:kern w:val="0"/>
                <w:sz w:val="20"/>
                <w:szCs w:val="20"/>
                <w:highlight w:val="none"/>
                <w14:textFill>
                  <w14:solidFill>
                    <w14:schemeClr w14:val="tx1"/>
                  </w14:solidFill>
                </w14:textFill>
              </w:rPr>
              <w:t>元/次。</w:t>
            </w:r>
          </w:p>
        </w:tc>
      </w:tr>
      <w:tr w14:paraId="66820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27BCC57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048A612">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E0A9DF9">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7622" w:type="dxa"/>
          </w:tcPr>
          <w:p w14:paraId="644AA6D3">
            <w:pPr>
              <w:kinsoku w:val="0"/>
              <w:autoSpaceDE w:val="0"/>
              <w:autoSpaceDN w:val="0"/>
              <w:adjustRightInd w:val="0"/>
              <w:snapToGrid w:val="0"/>
              <w:spacing w:before="144" w:line="323" w:lineRule="auto"/>
              <w:ind w:left="113" w:right="108" w:firstLine="4"/>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结构物外观质量出现限制缺陷需修补的，必须按方案试验确定可行，并经发包人</w:t>
            </w:r>
            <w:r>
              <w:rPr>
                <w:rFonts w:ascii="宋体" w:hAnsi="宋体" w:cs="宋体"/>
                <w:snapToGrid w:val="0"/>
                <w:color w:val="000000" w:themeColor="text1"/>
                <w:spacing w:val="10"/>
                <w:kern w:val="0"/>
                <w:sz w:val="20"/>
                <w:szCs w:val="20"/>
                <w:highlight w:val="none"/>
                <w14:textFill>
                  <w14:solidFill>
                    <w14:schemeClr w14:val="tx1"/>
                  </w14:solidFill>
                </w14:textFill>
              </w:rPr>
              <w:t>和监理人检查同意后，方可修整补救，无法补救的则以“推倒重来</w:t>
            </w:r>
            <w:r>
              <w:rPr>
                <w:rFonts w:ascii="宋体" w:hAnsi="宋体" w:cs="宋体"/>
                <w:snapToGrid w:val="0"/>
                <w:color w:val="000000" w:themeColor="text1"/>
                <w:spacing w:val="-5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”为原则。</w:t>
            </w:r>
            <w:r>
              <w:rPr>
                <w:rFonts w:ascii="宋体" w:hAnsi="宋体" w:cs="宋体"/>
                <w:snapToGrid w:val="0"/>
                <w:color w:val="000000" w:themeColor="text1"/>
                <w:spacing w:val="10"/>
                <w:kern w:val="0"/>
                <w:sz w:val="20"/>
                <w:szCs w:val="20"/>
                <w:highlight w:val="none"/>
                <w:lang w:eastAsia="en-US"/>
                <w14:textFill>
                  <w14:solidFill>
                    <w14:schemeClr w14:val="tx1"/>
                  </w14:solidFill>
                </w14:textFill>
              </w:rPr>
              <w:t>违</w:t>
            </w:r>
            <w:r>
              <w:rPr>
                <w:rFonts w:ascii="宋体" w:hAnsi="宋体" w:cs="宋体"/>
                <w:snapToGrid w:val="0"/>
                <w:color w:val="000000" w:themeColor="text1"/>
                <w:spacing w:val="4"/>
                <w:kern w:val="0"/>
                <w:sz w:val="20"/>
                <w:szCs w:val="20"/>
                <w:highlight w:val="none"/>
                <w:lang w:eastAsia="en-US"/>
                <w14:textFill>
                  <w14:solidFill>
                    <w14:schemeClr w14:val="tx1"/>
                  </w14:solidFill>
                </w14:textFill>
              </w:rPr>
              <w:t>者违约金</w:t>
            </w:r>
            <w:r>
              <w:rPr>
                <w:rFonts w:ascii="宋体" w:hAnsi="宋体" w:cs="宋体"/>
                <w:snapToGrid w:val="0"/>
                <w:color w:val="000000" w:themeColor="text1"/>
                <w:spacing w:val="-2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lang w:eastAsia="en-US"/>
                <w14:textFill>
                  <w14:solidFill>
                    <w14:schemeClr w14:val="tx1"/>
                  </w14:solidFill>
                </w14:textFill>
              </w:rPr>
              <w:t>3,000</w:t>
            </w:r>
            <w:r>
              <w:rPr>
                <w:rFonts w:ascii="宋体" w:hAnsi="宋体" w:cs="宋体"/>
                <w:snapToGrid w:val="0"/>
                <w:color w:val="000000" w:themeColor="text1"/>
                <w:spacing w:val="-39"/>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lang w:eastAsia="en-US"/>
                <w14:textFill>
                  <w14:solidFill>
                    <w14:schemeClr w14:val="tx1"/>
                  </w14:solidFill>
                </w14:textFill>
              </w:rPr>
              <w:t>元/处。</w:t>
            </w:r>
          </w:p>
        </w:tc>
      </w:tr>
      <w:tr w14:paraId="1DEC6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EA50F2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397CEB59">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3431803">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7622" w:type="dxa"/>
          </w:tcPr>
          <w:p w14:paraId="6815499D">
            <w:pPr>
              <w:kinsoku w:val="0"/>
              <w:autoSpaceDE w:val="0"/>
              <w:autoSpaceDN w:val="0"/>
              <w:adjustRightInd w:val="0"/>
              <w:snapToGrid w:val="0"/>
              <w:spacing w:before="147" w:line="299" w:lineRule="auto"/>
              <w:ind w:left="112" w:right="53"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各构件按首件制要求施工后，经发包人和监理人检查合格后，方可进行</w:t>
            </w:r>
            <w:r>
              <w:rPr>
                <w:rFonts w:ascii="宋体" w:hAnsi="宋体" w:cs="宋体"/>
                <w:snapToGrid w:val="0"/>
                <w:color w:val="000000" w:themeColor="text1"/>
                <w:spacing w:val="6"/>
                <w:kern w:val="0"/>
                <w:sz w:val="20"/>
                <w:szCs w:val="20"/>
                <w:highlight w:val="none"/>
                <w14:textFill>
                  <w14:solidFill>
                    <w14:schemeClr w14:val="tx1"/>
                  </w14:solidFill>
                </w14:textFill>
              </w:rPr>
              <w:t>后续施工，</w:t>
            </w:r>
            <w:r>
              <w:rPr>
                <w:rFonts w:ascii="宋体" w:hAnsi="宋体" w:cs="宋体"/>
                <w:snapToGrid w:val="0"/>
                <w:color w:val="000000" w:themeColor="text1"/>
                <w:spacing w:val="4"/>
                <w:kern w:val="0"/>
                <w:sz w:val="20"/>
                <w:szCs w:val="20"/>
                <w:highlight w:val="none"/>
                <w14:textFill>
                  <w14:solidFill>
                    <w14:schemeClr w14:val="tx1"/>
                  </w14:solidFill>
                </w14:textFill>
              </w:rPr>
              <w:t>违者违约金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元/次。</w:t>
            </w:r>
          </w:p>
        </w:tc>
      </w:tr>
      <w:tr w14:paraId="0400B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49E334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3CF0137">
            <w:pPr>
              <w:kinsoku w:val="0"/>
              <w:autoSpaceDE w:val="0"/>
              <w:autoSpaceDN w:val="0"/>
              <w:adjustRightInd w:val="0"/>
              <w:snapToGrid w:val="0"/>
              <w:spacing w:before="229"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23</w:t>
            </w:r>
          </w:p>
        </w:tc>
        <w:tc>
          <w:tcPr>
            <w:tcW w:w="7622" w:type="dxa"/>
          </w:tcPr>
          <w:p w14:paraId="18399809">
            <w:pPr>
              <w:kinsoku w:val="0"/>
              <w:autoSpaceDE w:val="0"/>
              <w:autoSpaceDN w:val="0"/>
              <w:adjustRightInd w:val="0"/>
              <w:snapToGrid w:val="0"/>
              <w:spacing w:before="228" w:line="225" w:lineRule="auto"/>
              <w:ind w:left="1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结构标高尺寸误差超出规范允许值，违约金</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4BD14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31022F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FB57316">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B9010CC">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24</w:t>
            </w:r>
          </w:p>
        </w:tc>
        <w:tc>
          <w:tcPr>
            <w:tcW w:w="7622" w:type="dxa"/>
          </w:tcPr>
          <w:p w14:paraId="0E894818">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桥面铺装强度、厚度、平整度、横坡、抗滑性能均应符合要求；桥面铺装与伸缩</w:t>
            </w:r>
            <w:r>
              <w:rPr>
                <w:rFonts w:ascii="宋体" w:hAnsi="宋体" w:cs="宋体"/>
                <w:snapToGrid w:val="0"/>
                <w:color w:val="000000" w:themeColor="text1"/>
                <w:spacing w:val="7"/>
                <w:kern w:val="0"/>
                <w:sz w:val="20"/>
                <w:szCs w:val="20"/>
                <w:highlight w:val="none"/>
                <w14:textFill>
                  <w14:solidFill>
                    <w14:schemeClr w14:val="tx1"/>
                  </w14:solidFill>
                </w14:textFill>
              </w:rPr>
              <w:t>缝结合良好，保证平整，违者违约金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5BE68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21587F5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56E8D87">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351DEA7">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F1A766E">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25</w:t>
            </w:r>
          </w:p>
        </w:tc>
        <w:tc>
          <w:tcPr>
            <w:tcW w:w="7622" w:type="dxa"/>
          </w:tcPr>
          <w:p w14:paraId="0895BA6D">
            <w:pPr>
              <w:kinsoku w:val="0"/>
              <w:autoSpaceDE w:val="0"/>
              <w:autoSpaceDN w:val="0"/>
              <w:adjustRightInd w:val="0"/>
              <w:snapToGrid w:val="0"/>
              <w:spacing w:before="14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达不到以下要求的，违约金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p w14:paraId="2CEF94E2">
            <w:pPr>
              <w:kinsoku w:val="0"/>
              <w:autoSpaceDE w:val="0"/>
              <w:autoSpaceDN w:val="0"/>
              <w:adjustRightInd w:val="0"/>
              <w:snapToGrid w:val="0"/>
              <w:spacing w:before="157"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（1）钢模板大面平整、坚固，板面缝隙小，错台不大于</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8"/>
                <w:kern w:val="0"/>
                <w:sz w:val="20"/>
                <w:szCs w:val="20"/>
                <w:highlight w:val="none"/>
                <w14:textFill>
                  <w14:solidFill>
                    <w14:schemeClr w14:val="tx1"/>
                  </w14:solidFill>
                </w14:textFill>
              </w:rPr>
              <w:t>；</w:t>
            </w:r>
          </w:p>
          <w:p w14:paraId="6EEC185F">
            <w:pPr>
              <w:kinsoku w:val="0"/>
              <w:autoSpaceDE w:val="0"/>
              <w:autoSpaceDN w:val="0"/>
              <w:adjustRightInd w:val="0"/>
              <w:snapToGrid w:val="0"/>
              <w:spacing w:before="152" w:line="299" w:lineRule="auto"/>
              <w:ind w:left="117" w:right="110" w:firstLine="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（2）在盖梁浇筑前，立柱应用薄膜包裹，并用胶布密封固定，防止</w:t>
            </w:r>
            <w:r>
              <w:rPr>
                <w:rFonts w:ascii="宋体" w:hAnsi="宋体" w:cs="宋体"/>
                <w:snapToGrid w:val="0"/>
                <w:color w:val="000000" w:themeColor="text1"/>
                <w:spacing w:val="7"/>
                <w:kern w:val="0"/>
                <w:sz w:val="20"/>
                <w:szCs w:val="20"/>
                <w:highlight w:val="none"/>
                <w14:textFill>
                  <w14:solidFill>
                    <w14:schemeClr w14:val="tx1"/>
                  </w14:solidFill>
                </w14:textFill>
              </w:rPr>
              <w:t>漏浆损坏立柱</w:t>
            </w:r>
            <w:r>
              <w:rPr>
                <w:rFonts w:ascii="宋体" w:hAnsi="宋体" w:cs="宋体"/>
                <w:snapToGrid w:val="0"/>
                <w:color w:val="000000" w:themeColor="text1"/>
                <w:spacing w:val="5"/>
                <w:kern w:val="0"/>
                <w:sz w:val="20"/>
                <w:szCs w:val="20"/>
                <w:highlight w:val="none"/>
                <w14:textFill>
                  <w14:solidFill>
                    <w14:schemeClr w14:val="tx1"/>
                  </w14:solidFill>
                </w14:textFill>
              </w:rPr>
              <w:t>外观质量；</w:t>
            </w:r>
          </w:p>
        </w:tc>
      </w:tr>
    </w:tbl>
    <w:p w14:paraId="606C6B0E">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D383464">
      <w:pPr>
        <w:rPr>
          <w:color w:val="000000" w:themeColor="text1"/>
          <w:highlight w:val="none"/>
          <w14:textFill>
            <w14:solidFill>
              <w14:schemeClr w14:val="tx1"/>
            </w14:solidFill>
          </w14:textFill>
        </w:rPr>
        <w:sectPr>
          <w:footerReference r:id="rId74" w:type="default"/>
          <w:pgSz w:w="11906" w:h="16839"/>
          <w:pgMar w:top="1182" w:right="1304" w:bottom="1168" w:left="1304" w:header="849" w:footer="934" w:gutter="0"/>
          <w:cols w:space="720" w:num="1"/>
        </w:sectPr>
      </w:pPr>
    </w:p>
    <w:p w14:paraId="690EE7E0">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258E2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7A14FAA3">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3D955ECA">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517C8AC2">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55BFF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734C0FC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193D16E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1A2769AC">
            <w:pPr>
              <w:kinsoku w:val="0"/>
              <w:autoSpaceDE w:val="0"/>
              <w:autoSpaceDN w:val="0"/>
              <w:adjustRightInd w:val="0"/>
              <w:snapToGrid w:val="0"/>
              <w:spacing w:before="141" w:line="301" w:lineRule="auto"/>
              <w:ind w:left="115" w:right="110" w:firstLine="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（3）裸露在砼外的结构钢筋或施工用的临时钢构件，时间需超过一</w:t>
            </w:r>
            <w:r>
              <w:rPr>
                <w:rFonts w:ascii="宋体" w:hAnsi="宋体" w:cs="宋体"/>
                <w:snapToGrid w:val="0"/>
                <w:color w:val="000000" w:themeColor="text1"/>
                <w:spacing w:val="7"/>
                <w:kern w:val="0"/>
                <w:sz w:val="20"/>
                <w:szCs w:val="20"/>
                <w:highlight w:val="none"/>
                <w14:textFill>
                  <w14:solidFill>
                    <w14:schemeClr w14:val="tx1"/>
                  </w14:solidFill>
                </w14:textFill>
              </w:rPr>
              <w:t>个月，必须采取有效的防锈措施。</w:t>
            </w:r>
          </w:p>
        </w:tc>
      </w:tr>
      <w:tr w14:paraId="561FE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51B757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63D7B12">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078547B">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26</w:t>
            </w:r>
          </w:p>
        </w:tc>
        <w:tc>
          <w:tcPr>
            <w:tcW w:w="7622" w:type="dxa"/>
          </w:tcPr>
          <w:p w14:paraId="379ABF0F">
            <w:pPr>
              <w:kinsoku w:val="0"/>
              <w:autoSpaceDE w:val="0"/>
              <w:autoSpaceDN w:val="0"/>
              <w:adjustRightInd w:val="0"/>
              <w:snapToGrid w:val="0"/>
              <w:spacing w:before="140" w:line="302" w:lineRule="auto"/>
              <w:ind w:left="113" w:right="16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支座垫石标高误差超过±5</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8"/>
                <w:kern w:val="0"/>
                <w:sz w:val="20"/>
                <w:szCs w:val="20"/>
                <w:highlight w:val="none"/>
                <w14:textFill>
                  <w14:solidFill>
                    <w14:schemeClr w14:val="tx1"/>
                  </w14:solidFill>
                </w14:textFill>
              </w:rPr>
              <w:t>，表面不清洁、不平整，有脱空松动的</w:t>
            </w:r>
            <w:r>
              <w:rPr>
                <w:rFonts w:ascii="宋体" w:hAnsi="宋体" w:cs="宋体"/>
                <w:snapToGrid w:val="0"/>
                <w:color w:val="000000" w:themeColor="text1"/>
                <w:spacing w:val="7"/>
                <w:kern w:val="0"/>
                <w:sz w:val="20"/>
                <w:szCs w:val="20"/>
                <w:highlight w:val="none"/>
                <w14:textFill>
                  <w14:solidFill>
                    <w14:schemeClr w14:val="tx1"/>
                  </w14:solidFill>
                </w14:textFill>
              </w:rPr>
              <w:t>，违约金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000</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7ADA8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61A058A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4429966">
            <w:pPr>
              <w:kinsoku w:val="0"/>
              <w:autoSpaceDE w:val="0"/>
              <w:autoSpaceDN w:val="0"/>
              <w:adjustRightInd w:val="0"/>
              <w:snapToGrid w:val="0"/>
              <w:spacing w:before="224"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27</w:t>
            </w:r>
          </w:p>
        </w:tc>
        <w:tc>
          <w:tcPr>
            <w:tcW w:w="7622" w:type="dxa"/>
          </w:tcPr>
          <w:p w14:paraId="19E2B738">
            <w:pPr>
              <w:kinsoku w:val="0"/>
              <w:autoSpaceDE w:val="0"/>
              <w:autoSpaceDN w:val="0"/>
              <w:adjustRightInd w:val="0"/>
              <w:snapToGrid w:val="0"/>
              <w:spacing w:before="223"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检测发现混凝土强度不合格的构件，违约金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tc>
      </w:tr>
      <w:tr w14:paraId="30768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4823F65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路面工程</w:t>
            </w:r>
          </w:p>
        </w:tc>
        <w:tc>
          <w:tcPr>
            <w:tcW w:w="839" w:type="dxa"/>
          </w:tcPr>
          <w:p w14:paraId="1C8565B4">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8952FAC">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18C5E196">
            <w:pPr>
              <w:kinsoku w:val="0"/>
              <w:autoSpaceDE w:val="0"/>
              <w:autoSpaceDN w:val="0"/>
              <w:adjustRightInd w:val="0"/>
              <w:snapToGrid w:val="0"/>
              <w:spacing w:before="140" w:line="302" w:lineRule="auto"/>
              <w:ind w:left="113"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路面基层必须碾压密实，表面干燥、清洁、无浮土，边线整齐、无松散，平整度</w:t>
            </w:r>
            <w:r>
              <w:rPr>
                <w:rFonts w:ascii="宋体" w:hAnsi="宋体" w:cs="宋体"/>
                <w:snapToGrid w:val="0"/>
                <w:color w:val="000000" w:themeColor="text1"/>
                <w:spacing w:val="7"/>
                <w:kern w:val="0"/>
                <w:sz w:val="20"/>
                <w:szCs w:val="20"/>
                <w:highlight w:val="none"/>
                <w14:textFill>
                  <w14:solidFill>
                    <w14:schemeClr w14:val="tx1"/>
                  </w14:solidFill>
                </w14:textFill>
              </w:rPr>
              <w:t>和路拱度符合要求，违者每处违约金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13E5A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4161FBC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D36A3A8">
            <w:pPr>
              <w:widowControl/>
              <w:kinsoku w:val="0"/>
              <w:autoSpaceDE w:val="0"/>
              <w:autoSpaceDN w:val="0"/>
              <w:adjustRightInd w:val="0"/>
              <w:snapToGrid w:val="0"/>
              <w:spacing w:line="33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5893948">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9987161">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0FB9D147">
            <w:pPr>
              <w:kinsoku w:val="0"/>
              <w:autoSpaceDE w:val="0"/>
              <w:autoSpaceDN w:val="0"/>
              <w:adjustRightInd w:val="0"/>
              <w:snapToGrid w:val="0"/>
              <w:spacing w:before="142" w:line="335" w:lineRule="auto"/>
              <w:ind w:left="113" w:right="53" w:firstLine="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水泥砼路面存在下列问题的，违约金</w:t>
            </w:r>
            <w:r>
              <w:rPr>
                <w:rFonts w:ascii="宋体" w:hAnsi="宋体" w:cs="宋体"/>
                <w:snapToGrid w:val="0"/>
                <w:color w:val="000000" w:themeColor="text1"/>
                <w:spacing w:val="-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元/处：1)粗细集料不符合设计和规范</w:t>
            </w:r>
            <w:r>
              <w:rPr>
                <w:rFonts w:ascii="宋体" w:hAnsi="宋体" w:cs="宋体"/>
                <w:snapToGrid w:val="0"/>
                <w:color w:val="000000" w:themeColor="text1"/>
                <w:spacing w:val="5"/>
                <w:kern w:val="0"/>
                <w:sz w:val="20"/>
                <w:szCs w:val="20"/>
                <w:highlight w:val="none"/>
                <w14:textFill>
                  <w14:solidFill>
                    <w14:schemeClr w14:val="tx1"/>
                  </w14:solidFill>
                </w14:textFill>
              </w:rPr>
              <w:t>要求；2)基层和底基层压实度＜98%（高速公路和一级</w:t>
            </w:r>
            <w:r>
              <w:rPr>
                <w:rFonts w:ascii="宋体" w:hAnsi="宋体" w:cs="宋体"/>
                <w:snapToGrid w:val="0"/>
                <w:color w:val="000000" w:themeColor="text1"/>
                <w:spacing w:val="4"/>
                <w:kern w:val="0"/>
                <w:sz w:val="20"/>
                <w:szCs w:val="20"/>
                <w:highlight w:val="none"/>
                <w14:textFill>
                  <w14:solidFill>
                    <w14:schemeClr w14:val="tx1"/>
                  </w14:solidFill>
                </w14:textFill>
              </w:rPr>
              <w:t>公路）或＜97%（其他公路</w:t>
            </w:r>
            <w:r>
              <w:rPr>
                <w:rFonts w:ascii="宋体" w:hAnsi="宋体" w:cs="宋体"/>
                <w:snapToGrid w:val="0"/>
                <w:color w:val="000000" w:themeColor="text1"/>
                <w:spacing w:val="-48"/>
                <w:w w:val="90"/>
                <w:kern w:val="0"/>
                <w:sz w:val="20"/>
                <w:szCs w:val="20"/>
                <w:highlight w:val="none"/>
                <w14:textFill>
                  <w14:solidFill>
                    <w14:schemeClr w14:val="tx1"/>
                  </w14:solidFill>
                </w14:textFill>
              </w:rPr>
              <w:t>），</w:t>
            </w:r>
            <w:r>
              <w:rPr>
                <w:rFonts w:ascii="宋体" w:hAnsi="宋体" w:cs="宋体"/>
                <w:snapToGrid w:val="0"/>
                <w:color w:val="000000" w:themeColor="text1"/>
                <w:spacing w:val="11"/>
                <w:kern w:val="0"/>
                <w:sz w:val="20"/>
                <w:szCs w:val="20"/>
                <w:highlight w:val="none"/>
                <w14:textFill>
                  <w14:solidFill>
                    <w14:schemeClr w14:val="tx1"/>
                  </w14:solidFill>
                </w14:textFill>
              </w:rPr>
              <w:t>明显离析，露骨严重，表面坑洼，开裂严重；3)基层和底基层没有清</w:t>
            </w:r>
            <w:r>
              <w:rPr>
                <w:rFonts w:ascii="宋体" w:hAnsi="宋体" w:cs="宋体"/>
                <w:snapToGrid w:val="0"/>
                <w:color w:val="000000" w:themeColor="text1"/>
                <w:spacing w:val="10"/>
                <w:kern w:val="0"/>
                <w:sz w:val="20"/>
                <w:szCs w:val="20"/>
                <w:highlight w:val="none"/>
                <w14:textFill>
                  <w14:solidFill>
                    <w14:schemeClr w14:val="tx1"/>
                  </w14:solidFill>
                </w14:textFill>
              </w:rPr>
              <w:t>理杂物，有</w:t>
            </w:r>
            <w:r>
              <w:rPr>
                <w:rFonts w:ascii="宋体" w:hAnsi="宋体" w:cs="宋体"/>
                <w:snapToGrid w:val="0"/>
                <w:color w:val="000000" w:themeColor="text1"/>
                <w:spacing w:val="9"/>
                <w:kern w:val="0"/>
                <w:sz w:val="20"/>
                <w:szCs w:val="20"/>
                <w:highlight w:val="none"/>
                <w14:textFill>
                  <w14:solidFill>
                    <w14:schemeClr w14:val="tx1"/>
                  </w14:solidFill>
                </w14:textFill>
              </w:rPr>
              <w:t>浮土；4)养护不规范；5)接缝填充料用量不足或</w:t>
            </w:r>
            <w:r>
              <w:rPr>
                <w:rFonts w:ascii="宋体" w:hAnsi="宋体" w:cs="宋体"/>
                <w:snapToGrid w:val="0"/>
                <w:color w:val="000000" w:themeColor="text1"/>
                <w:spacing w:val="8"/>
                <w:kern w:val="0"/>
                <w:sz w:val="20"/>
                <w:szCs w:val="20"/>
                <w:highlight w:val="none"/>
                <w14:textFill>
                  <w14:solidFill>
                    <w14:schemeClr w14:val="tx1"/>
                  </w14:solidFill>
                </w14:textFill>
              </w:rPr>
              <w:t>用料不符合设计要求。</w:t>
            </w:r>
          </w:p>
        </w:tc>
      </w:tr>
      <w:tr w14:paraId="243DC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4143DC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2DECC0D">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56334E8">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51C81331">
            <w:pPr>
              <w:kinsoku w:val="0"/>
              <w:autoSpaceDE w:val="0"/>
              <w:autoSpaceDN w:val="0"/>
              <w:adjustRightInd w:val="0"/>
              <w:snapToGrid w:val="0"/>
              <w:spacing w:before="145" w:line="300" w:lineRule="auto"/>
              <w:ind w:left="112" w:right="108"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水泥砼路面检测发现混凝土强度不合格的部位，违约金</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元/处；平整度合</w:t>
            </w:r>
            <w:r>
              <w:rPr>
                <w:rFonts w:ascii="宋体" w:hAnsi="宋体" w:cs="宋体"/>
                <w:snapToGrid w:val="0"/>
                <w:color w:val="000000" w:themeColor="text1"/>
                <w:spacing w:val="5"/>
                <w:kern w:val="0"/>
                <w:sz w:val="20"/>
                <w:szCs w:val="20"/>
                <w:highlight w:val="none"/>
                <w14:textFill>
                  <w14:solidFill>
                    <w14:schemeClr w14:val="tx1"/>
                  </w14:solidFill>
                </w14:textFill>
              </w:rPr>
              <w:t>格率＜80%，违约金</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30000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元/分项工程。</w:t>
            </w:r>
          </w:p>
        </w:tc>
      </w:tr>
      <w:tr w14:paraId="538AB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3" w:hRule="atLeast"/>
        </w:trPr>
        <w:tc>
          <w:tcPr>
            <w:tcW w:w="831" w:type="dxa"/>
            <w:vMerge w:val="continue"/>
            <w:tcBorders>
              <w:top w:val="nil"/>
              <w:bottom w:val="nil"/>
            </w:tcBorders>
          </w:tcPr>
          <w:p w14:paraId="240BA02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0D5A6FB">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3B289D">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51DA59">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3BF2C0">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919EBC9">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2A584D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56B2F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BF5D3D1">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A8EFD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2D3A725">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B2A1D35">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A5C6518">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535C0E4A">
            <w:pPr>
              <w:kinsoku w:val="0"/>
              <w:autoSpaceDE w:val="0"/>
              <w:autoSpaceDN w:val="0"/>
              <w:adjustRightInd w:val="0"/>
              <w:snapToGrid w:val="0"/>
              <w:spacing w:before="142"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沥青路面存在以下问题的，违约金</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10000-50000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p w14:paraId="151D9ADA">
            <w:pPr>
              <w:kinsoku w:val="0"/>
              <w:autoSpaceDE w:val="0"/>
              <w:autoSpaceDN w:val="0"/>
              <w:adjustRightInd w:val="0"/>
              <w:snapToGrid w:val="0"/>
              <w:spacing w:before="155" w:line="298" w:lineRule="auto"/>
              <w:ind w:left="114" w:right="111"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（1）沥青、矿料质量、混合料级配、混合料指标不符合要求的，沥青含量或</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SBS</w:t>
            </w:r>
            <w:r>
              <w:rPr>
                <w:rFonts w:ascii="宋体" w:hAnsi="宋体" w:cs="宋体"/>
                <w:snapToGrid w:val="0"/>
                <w:color w:val="000000" w:themeColor="text1"/>
                <w:spacing w:val="5"/>
                <w:kern w:val="0"/>
                <w:sz w:val="20"/>
                <w:szCs w:val="20"/>
                <w:highlight w:val="none"/>
                <w14:textFill>
                  <w14:solidFill>
                    <w14:schemeClr w14:val="tx1"/>
                  </w14:solidFill>
                </w14:textFill>
              </w:rPr>
              <w:t>用量不足；</w:t>
            </w:r>
          </w:p>
          <w:p w14:paraId="5B41E920">
            <w:pPr>
              <w:kinsoku w:val="0"/>
              <w:autoSpaceDE w:val="0"/>
              <w:autoSpaceDN w:val="0"/>
              <w:adjustRightInd w:val="0"/>
              <w:snapToGrid w:val="0"/>
              <w:spacing w:before="152"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（2）沥青混合料的拌和温度、摊铺温度、碾压温度不符合规范或设计</w:t>
            </w:r>
            <w:r>
              <w:rPr>
                <w:rFonts w:ascii="宋体" w:hAnsi="宋体" w:cs="宋体"/>
                <w:snapToGrid w:val="0"/>
                <w:color w:val="000000" w:themeColor="text1"/>
                <w:spacing w:val="8"/>
                <w:kern w:val="0"/>
                <w:sz w:val="20"/>
                <w:szCs w:val="20"/>
                <w:highlight w:val="none"/>
                <w14:textFill>
                  <w14:solidFill>
                    <w14:schemeClr w14:val="tx1"/>
                  </w14:solidFill>
                </w14:textFill>
              </w:rPr>
              <w:t>要求；</w:t>
            </w:r>
          </w:p>
          <w:p w14:paraId="069ABD5C">
            <w:pPr>
              <w:kinsoku w:val="0"/>
              <w:autoSpaceDE w:val="0"/>
              <w:autoSpaceDN w:val="0"/>
              <w:adjustRightInd w:val="0"/>
              <w:snapToGrid w:val="0"/>
              <w:spacing w:before="154" w:line="298" w:lineRule="auto"/>
              <w:ind w:left="152" w:right="108" w:hanging="2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（3）沥青混合料的生产，未按要求做抽提试验、筛分试验、马歇尔试验</w:t>
            </w:r>
            <w:r>
              <w:rPr>
                <w:rFonts w:ascii="宋体" w:hAnsi="宋体" w:cs="宋体"/>
                <w:snapToGrid w:val="0"/>
                <w:color w:val="000000" w:themeColor="text1"/>
                <w:spacing w:val="7"/>
                <w:kern w:val="0"/>
                <w:sz w:val="20"/>
                <w:szCs w:val="20"/>
                <w:highlight w:val="none"/>
                <w14:textFill>
                  <w14:solidFill>
                    <w14:schemeClr w14:val="tx1"/>
                  </w14:solidFill>
                </w14:textFill>
              </w:rPr>
              <w:t>，检测项目、方法、频率没有按设计或规范要求执行；</w:t>
            </w:r>
          </w:p>
          <w:p w14:paraId="35AEF6E1">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（4）拌和后的混合料不均匀一致，有花白、粗细料分离和结团成块现</w:t>
            </w:r>
            <w:r>
              <w:rPr>
                <w:rFonts w:ascii="宋体" w:hAnsi="宋体" w:cs="宋体"/>
                <w:snapToGrid w:val="0"/>
                <w:color w:val="000000" w:themeColor="text1"/>
                <w:spacing w:val="8"/>
                <w:kern w:val="0"/>
                <w:sz w:val="20"/>
                <w:szCs w:val="20"/>
                <w:highlight w:val="none"/>
                <w14:textFill>
                  <w14:solidFill>
                    <w14:schemeClr w14:val="tx1"/>
                  </w14:solidFill>
                </w14:textFill>
              </w:rPr>
              <w:t>象；</w:t>
            </w:r>
          </w:p>
          <w:p w14:paraId="227594E4">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（5）有泛油、松散、裂缝和明显离析现象；</w:t>
            </w:r>
          </w:p>
          <w:p w14:paraId="619DF08B">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（6）面层施工前未按要求对基层裂缝进行处理；</w:t>
            </w:r>
          </w:p>
          <w:p w14:paraId="5F1BF3CC">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（7）面层和路缘石及其他构造物不密贴，有积水或</w:t>
            </w:r>
            <w:r>
              <w:rPr>
                <w:rFonts w:ascii="宋体" w:hAnsi="宋体" w:cs="宋体"/>
                <w:snapToGrid w:val="0"/>
                <w:color w:val="000000" w:themeColor="text1"/>
                <w:spacing w:val="8"/>
                <w:kern w:val="0"/>
                <w:sz w:val="20"/>
                <w:szCs w:val="20"/>
                <w:highlight w:val="none"/>
                <w14:textFill>
                  <w14:solidFill>
                    <w14:schemeClr w14:val="tx1"/>
                  </w14:solidFill>
                </w14:textFill>
              </w:rPr>
              <w:t>漏水现象的；</w:t>
            </w:r>
          </w:p>
          <w:p w14:paraId="1719CF0C">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（8）运输车辆未采取保温措施；</w:t>
            </w:r>
          </w:p>
          <w:p w14:paraId="60E471F1">
            <w:pPr>
              <w:kinsoku w:val="0"/>
              <w:autoSpaceDE w:val="0"/>
              <w:autoSpaceDN w:val="0"/>
              <w:adjustRightInd w:val="0"/>
              <w:snapToGrid w:val="0"/>
              <w:spacing w:before="153"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（9）下雨时摊铺，或雨后下承层未干就摊铺的；</w:t>
            </w:r>
          </w:p>
          <w:p w14:paraId="20F6611A">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（10）纵横接缝施工不符合规范要求的。</w:t>
            </w:r>
          </w:p>
          <w:p w14:paraId="5B54729C">
            <w:pPr>
              <w:kinsoku w:val="0"/>
              <w:autoSpaceDE w:val="0"/>
              <w:autoSpaceDN w:val="0"/>
              <w:adjustRightInd w:val="0"/>
              <w:snapToGrid w:val="0"/>
              <w:spacing w:before="155"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（11）平整度没有达标。</w:t>
            </w:r>
          </w:p>
        </w:tc>
      </w:tr>
      <w:tr w14:paraId="3C29D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048185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E621855">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DC71C29">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04D306E3">
            <w:pPr>
              <w:kinsoku w:val="0"/>
              <w:autoSpaceDE w:val="0"/>
              <w:autoSpaceDN w:val="0"/>
              <w:adjustRightInd w:val="0"/>
              <w:snapToGrid w:val="0"/>
              <w:spacing w:before="147" w:line="299" w:lineRule="auto"/>
              <w:ind w:left="113"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路面基层或沥青面层未保护好，污染严重的，违约金</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元/处；污染严</w:t>
            </w:r>
            <w:r>
              <w:rPr>
                <w:rFonts w:ascii="宋体" w:hAnsi="宋体" w:cs="宋体"/>
                <w:snapToGrid w:val="0"/>
                <w:color w:val="000000" w:themeColor="text1"/>
                <w:spacing w:val="6"/>
                <w:kern w:val="0"/>
                <w:sz w:val="20"/>
                <w:szCs w:val="20"/>
                <w:highlight w:val="none"/>
                <w14:textFill>
                  <w14:solidFill>
                    <w14:schemeClr w14:val="tx1"/>
                  </w14:solidFill>
                </w14:textFill>
              </w:rPr>
              <w:t>重的路</w:t>
            </w:r>
            <w:r>
              <w:rPr>
                <w:rFonts w:ascii="宋体" w:hAnsi="宋体" w:cs="宋体"/>
                <w:snapToGrid w:val="0"/>
                <w:color w:val="000000" w:themeColor="text1"/>
                <w:spacing w:val="8"/>
                <w:kern w:val="0"/>
                <w:sz w:val="20"/>
                <w:szCs w:val="20"/>
                <w:highlight w:val="none"/>
                <w14:textFill>
                  <w14:solidFill>
                    <w14:schemeClr w14:val="tx1"/>
                  </w14:solidFill>
                </w14:textFill>
              </w:rPr>
              <w:t>面基层或沥青面层在施工下一层时未及时清理时，违约金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7"/>
                <w:kern w:val="0"/>
                <w:sz w:val="20"/>
                <w:szCs w:val="20"/>
                <w:highlight w:val="none"/>
                <w14:textFill>
                  <w14:solidFill>
                    <w14:schemeClr w14:val="tx1"/>
                  </w14:solidFill>
                </w14:textFill>
              </w:rPr>
              <w:t>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18C1E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48682F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68B2737">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D3F4DEA">
            <w:pPr>
              <w:kinsoku w:val="0"/>
              <w:autoSpaceDE w:val="0"/>
              <w:autoSpaceDN w:val="0"/>
              <w:adjustRightInd w:val="0"/>
              <w:snapToGrid w:val="0"/>
              <w:spacing w:before="65"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58A183FE">
            <w:pPr>
              <w:kinsoku w:val="0"/>
              <w:autoSpaceDE w:val="0"/>
              <w:autoSpaceDN w:val="0"/>
              <w:adjustRightInd w:val="0"/>
              <w:snapToGrid w:val="0"/>
              <w:spacing w:before="145" w:line="300" w:lineRule="auto"/>
              <w:ind w:left="117" w:right="108" w:hanging="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在进行路面施工时，若下承层清扫不彻底或施工便道未洒水造成路面污染的，违</w:t>
            </w:r>
            <w:r>
              <w:rPr>
                <w:rFonts w:ascii="宋体" w:hAnsi="宋体" w:cs="宋体"/>
                <w:snapToGrid w:val="0"/>
                <w:color w:val="000000" w:themeColor="text1"/>
                <w:spacing w:val="2"/>
                <w:kern w:val="0"/>
                <w:sz w:val="20"/>
                <w:szCs w:val="20"/>
                <w:highlight w:val="none"/>
                <w14:textFill>
                  <w14:solidFill>
                    <w14:schemeClr w14:val="tx1"/>
                  </w14:solidFill>
                </w14:textFill>
              </w:rPr>
              <w:t>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3000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5374E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04AF908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3E40C58">
            <w:pPr>
              <w:kinsoku w:val="0"/>
              <w:autoSpaceDE w:val="0"/>
              <w:autoSpaceDN w:val="0"/>
              <w:adjustRightInd w:val="0"/>
              <w:snapToGrid w:val="0"/>
              <w:spacing w:before="227"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3959F43A">
            <w:pPr>
              <w:kinsoku w:val="0"/>
              <w:autoSpaceDE w:val="0"/>
              <w:autoSpaceDN w:val="0"/>
              <w:adjustRightInd w:val="0"/>
              <w:snapToGrid w:val="0"/>
              <w:spacing w:before="227"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在进行工程质量巡查的同时，若发现施工过程不规范，且承包人拒不采用有效措</w:t>
            </w:r>
          </w:p>
        </w:tc>
      </w:tr>
    </w:tbl>
    <w:p w14:paraId="3A6CE717">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150D363">
      <w:pPr>
        <w:rPr>
          <w:color w:val="000000" w:themeColor="text1"/>
          <w:highlight w:val="none"/>
          <w14:textFill>
            <w14:solidFill>
              <w14:schemeClr w14:val="tx1"/>
            </w14:solidFill>
          </w14:textFill>
        </w:rPr>
        <w:sectPr>
          <w:footerReference r:id="rId75" w:type="default"/>
          <w:pgSz w:w="11906" w:h="16839"/>
          <w:pgMar w:top="1182" w:right="1304" w:bottom="1168" w:left="1304" w:header="849" w:footer="934" w:gutter="0"/>
          <w:cols w:space="720" w:num="1"/>
        </w:sectPr>
      </w:pPr>
    </w:p>
    <w:p w14:paraId="60E0A4FF">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BBA9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4A5A147">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5242A8FF">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4AB51614">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393FC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706E3F0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4FD7975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7CDB9095">
            <w:pPr>
              <w:kinsoku w:val="0"/>
              <w:autoSpaceDE w:val="0"/>
              <w:autoSpaceDN w:val="0"/>
              <w:adjustRightInd w:val="0"/>
              <w:snapToGrid w:val="0"/>
              <w:spacing w:before="141"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施及时补救或改正的，违约金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21206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1E16D84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62C79A5">
            <w:pPr>
              <w:widowControl/>
              <w:kinsoku w:val="0"/>
              <w:autoSpaceDE w:val="0"/>
              <w:autoSpaceDN w:val="0"/>
              <w:adjustRightInd w:val="0"/>
              <w:snapToGrid w:val="0"/>
              <w:spacing w:line="4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84B0536">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7764873D">
            <w:pPr>
              <w:kinsoku w:val="0"/>
              <w:autoSpaceDE w:val="0"/>
              <w:autoSpaceDN w:val="0"/>
              <w:adjustRightInd w:val="0"/>
              <w:snapToGrid w:val="0"/>
              <w:spacing w:before="141" w:line="324" w:lineRule="auto"/>
              <w:ind w:left="112" w:right="108" w:firstLine="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若对原材料或混合料或路面结构层的有关技术指标有怀疑时，对该技术指标进行抽查，抽查不合格的，除对已施工路面进行返工外，沥青、水泥、粗集料、细集</w:t>
            </w:r>
            <w:r>
              <w:rPr>
                <w:rFonts w:ascii="宋体" w:hAnsi="宋体" w:cs="宋体"/>
                <w:snapToGrid w:val="0"/>
                <w:color w:val="000000" w:themeColor="text1"/>
                <w:spacing w:val="7"/>
                <w:kern w:val="0"/>
                <w:sz w:val="20"/>
                <w:szCs w:val="20"/>
                <w:highlight w:val="none"/>
                <w14:textFill>
                  <w14:solidFill>
                    <w14:schemeClr w14:val="tx1"/>
                  </w14:solidFill>
                </w14:textFill>
              </w:rPr>
              <w:t>料、填料不合格违约金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元/次，混合料、结构层不合格违约金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r>
              <w:rPr>
                <w:rFonts w:ascii="宋体" w:hAnsi="宋体" w:cs="宋体"/>
                <w:snapToGrid w:val="0"/>
                <w:color w:val="000000" w:themeColor="text1"/>
                <w:spacing w:val="6"/>
                <w:kern w:val="0"/>
                <w:sz w:val="20"/>
                <w:szCs w:val="20"/>
                <w:highlight w:val="none"/>
                <w14:textFill>
                  <w14:solidFill>
                    <w14:schemeClr w14:val="tx1"/>
                  </w14:solidFill>
                </w14:textFill>
              </w:rPr>
              <w:t>次。</w:t>
            </w:r>
          </w:p>
        </w:tc>
      </w:tr>
      <w:tr w14:paraId="674AA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5081E02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2412995">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E26091C">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13887C9D">
            <w:pPr>
              <w:kinsoku w:val="0"/>
              <w:autoSpaceDE w:val="0"/>
              <w:autoSpaceDN w:val="0"/>
              <w:adjustRightInd w:val="0"/>
              <w:snapToGrid w:val="0"/>
              <w:spacing w:before="141" w:line="301" w:lineRule="auto"/>
              <w:ind w:left="129" w:right="108" w:hanging="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各路面承包人应对高程控制点准确放样，严禁为提高高程的合格率而挪动检测点</w:t>
            </w:r>
            <w:r>
              <w:rPr>
                <w:rFonts w:ascii="宋体" w:hAnsi="宋体" w:cs="宋体"/>
                <w:snapToGrid w:val="0"/>
                <w:color w:val="000000" w:themeColor="text1"/>
                <w:spacing w:val="6"/>
                <w:kern w:val="0"/>
                <w:sz w:val="20"/>
                <w:szCs w:val="20"/>
                <w:highlight w:val="none"/>
                <w14:textFill>
                  <w14:solidFill>
                    <w14:schemeClr w14:val="tx1"/>
                  </w14:solidFill>
                </w14:textFill>
              </w:rPr>
              <w:t>的位置。若发现有此行为的，违约金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0317F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7F5071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E8AA8C0">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D8D3EC8">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5D6FA8EA">
            <w:pPr>
              <w:kinsoku w:val="0"/>
              <w:autoSpaceDE w:val="0"/>
              <w:autoSpaceDN w:val="0"/>
              <w:adjustRightInd w:val="0"/>
              <w:snapToGrid w:val="0"/>
              <w:spacing w:before="142" w:line="301" w:lineRule="auto"/>
              <w:ind w:left="114" w:right="108"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基层透层、沥青路面下封层和粘层各项技术指标应符合规定，如发现洒布量不足</w:t>
            </w:r>
            <w:r>
              <w:rPr>
                <w:rFonts w:ascii="宋体" w:hAnsi="宋体" w:cs="宋体"/>
                <w:snapToGrid w:val="0"/>
                <w:color w:val="000000" w:themeColor="text1"/>
                <w:spacing w:val="6"/>
                <w:kern w:val="0"/>
                <w:sz w:val="20"/>
                <w:szCs w:val="20"/>
                <w:highlight w:val="none"/>
                <w14:textFill>
                  <w14:solidFill>
                    <w14:schemeClr w14:val="tx1"/>
                  </w14:solidFill>
                </w14:textFill>
              </w:rPr>
              <w:t>或洒布不均匀的,违约金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w:t>
            </w:r>
          </w:p>
        </w:tc>
      </w:tr>
      <w:tr w14:paraId="4FE20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DAA507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3B445A2">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9561871">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0A6D1389">
            <w:pPr>
              <w:kinsoku w:val="0"/>
              <w:autoSpaceDE w:val="0"/>
              <w:autoSpaceDN w:val="0"/>
              <w:adjustRightInd w:val="0"/>
              <w:snapToGrid w:val="0"/>
              <w:spacing w:before="142" w:line="301" w:lineRule="auto"/>
              <w:ind w:left="113"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拌和楼称量装置没有定期标定的，拌和数据无安装系统远程自动采集监测的，无</w:t>
            </w:r>
            <w:r>
              <w:rPr>
                <w:rFonts w:ascii="宋体" w:hAnsi="宋体" w:cs="宋体"/>
                <w:snapToGrid w:val="0"/>
                <w:color w:val="000000" w:themeColor="text1"/>
                <w:spacing w:val="8"/>
                <w:kern w:val="0"/>
                <w:sz w:val="20"/>
                <w:szCs w:val="20"/>
                <w:highlight w:val="none"/>
                <w14:textFill>
                  <w14:solidFill>
                    <w14:schemeClr w14:val="tx1"/>
                  </w14:solidFill>
                </w14:textFill>
              </w:rPr>
              <w:t>法打印生产清单，或对数据进行人工修改的，违约金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1D9F6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57A8F24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190FF0D">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E1EC604">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tcPr>
          <w:p w14:paraId="086D850A">
            <w:pPr>
              <w:kinsoku w:val="0"/>
              <w:autoSpaceDE w:val="0"/>
              <w:autoSpaceDN w:val="0"/>
              <w:adjustRightInd w:val="0"/>
              <w:snapToGrid w:val="0"/>
              <w:spacing w:before="144" w:line="323" w:lineRule="auto"/>
              <w:ind w:left="113" w:right="108" w:hanging="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承包人不得自行采购或挪用甲供材料，沥青实际用量与经批复的生产配合比所计</w:t>
            </w:r>
            <w:r>
              <w:rPr>
                <w:rFonts w:ascii="宋体" w:hAnsi="宋体" w:cs="宋体"/>
                <w:snapToGrid w:val="0"/>
                <w:color w:val="000000" w:themeColor="text1"/>
                <w:spacing w:val="9"/>
                <w:kern w:val="0"/>
                <w:sz w:val="20"/>
                <w:szCs w:val="20"/>
                <w:highlight w:val="none"/>
                <w14:textFill>
                  <w14:solidFill>
                    <w14:schemeClr w14:val="tx1"/>
                  </w14:solidFill>
                </w14:textFill>
              </w:rPr>
              <w:t>算沥青数量（因重大变更引起的数量差额除外）少于 0.3%或超出</w:t>
            </w:r>
            <w:r>
              <w:rPr>
                <w:rFonts w:ascii="宋体" w:hAnsi="宋体" w:cs="宋体"/>
                <w:snapToGrid w:val="0"/>
                <w:color w:val="000000" w:themeColor="text1"/>
                <w:spacing w:val="5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1%，按差价部</w:t>
            </w:r>
            <w:r>
              <w:rPr>
                <w:rFonts w:ascii="宋体" w:hAnsi="宋体" w:cs="宋体"/>
                <w:snapToGrid w:val="0"/>
                <w:color w:val="000000" w:themeColor="text1"/>
                <w:spacing w:val="7"/>
                <w:kern w:val="0"/>
                <w:sz w:val="20"/>
                <w:szCs w:val="20"/>
                <w:highlight w:val="none"/>
                <w14:textFill>
                  <w14:solidFill>
                    <w14:schemeClr w14:val="tx1"/>
                  </w14:solidFill>
                </w14:textFill>
              </w:rPr>
              <w:t>分双倍材料价款罚金。</w:t>
            </w:r>
          </w:p>
        </w:tc>
      </w:tr>
      <w:tr w14:paraId="7BA55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54A890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748379A">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EDE773F">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33F379D5">
            <w:pPr>
              <w:kinsoku w:val="0"/>
              <w:autoSpaceDE w:val="0"/>
              <w:autoSpaceDN w:val="0"/>
              <w:adjustRightInd w:val="0"/>
              <w:snapToGrid w:val="0"/>
              <w:spacing w:before="145" w:line="300" w:lineRule="auto"/>
              <w:ind w:left="115" w:right="108"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承包人不得随意改变碎石材料来源，未经批准的材料严禁用于本工程，违反规定</w:t>
            </w:r>
            <w:r>
              <w:rPr>
                <w:rFonts w:ascii="宋体" w:hAnsi="宋体" w:cs="宋体"/>
                <w:snapToGrid w:val="0"/>
                <w:color w:val="000000" w:themeColor="text1"/>
                <w:spacing w:val="7"/>
                <w:kern w:val="0"/>
                <w:sz w:val="20"/>
                <w:szCs w:val="20"/>
                <w:highlight w:val="none"/>
                <w14:textFill>
                  <w14:solidFill>
                    <w14:schemeClr w14:val="tx1"/>
                  </w14:solidFill>
                </w14:textFill>
              </w:rPr>
              <w:t>一经发现，要求清退材料并处违约金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7C35A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6A9A9F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6239F42">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81EBE2">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0E43DB04">
            <w:pPr>
              <w:kinsoku w:val="0"/>
              <w:autoSpaceDE w:val="0"/>
              <w:autoSpaceDN w:val="0"/>
              <w:adjustRightInd w:val="0"/>
              <w:snapToGrid w:val="0"/>
              <w:spacing w:before="145" w:line="300" w:lineRule="auto"/>
              <w:ind w:left="112" w:right="1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施工点无施工员现场管理的，违约金</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元/次，超过</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24</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小时仍未安排施工员在场而继续施工的，违约金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319CB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CEFCFD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52430CA">
            <w:pPr>
              <w:kinsoku w:val="0"/>
              <w:autoSpaceDE w:val="0"/>
              <w:autoSpaceDN w:val="0"/>
              <w:adjustRightInd w:val="0"/>
              <w:snapToGrid w:val="0"/>
              <w:spacing w:before="228"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31E66F1F">
            <w:pPr>
              <w:kinsoku w:val="0"/>
              <w:autoSpaceDE w:val="0"/>
              <w:autoSpaceDN w:val="0"/>
              <w:adjustRightInd w:val="0"/>
              <w:snapToGrid w:val="0"/>
              <w:spacing w:before="227" w:line="228" w:lineRule="auto"/>
              <w:ind w:left="12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因摊铺速度过快或过振、缺振造成质量问题或返工的，违约金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4C3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FA06CD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5307CC0">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C5F6285">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050DE432">
            <w:pPr>
              <w:kinsoku w:val="0"/>
              <w:autoSpaceDE w:val="0"/>
              <w:autoSpaceDN w:val="0"/>
              <w:adjustRightInd w:val="0"/>
              <w:snapToGrid w:val="0"/>
              <w:spacing w:before="146" w:line="299" w:lineRule="auto"/>
              <w:ind w:left="116"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不按设计要求设置拉杆、传力杆、胀缝钢筋骨架、板块补强钢筋的，传力杆安装</w:t>
            </w:r>
            <w:r>
              <w:rPr>
                <w:rFonts w:ascii="宋体" w:hAnsi="宋体" w:cs="宋体"/>
                <w:snapToGrid w:val="0"/>
                <w:color w:val="000000" w:themeColor="text1"/>
                <w:spacing w:val="8"/>
                <w:kern w:val="0"/>
                <w:sz w:val="20"/>
                <w:szCs w:val="20"/>
                <w:highlight w:val="none"/>
                <w14:textFill>
                  <w14:solidFill>
                    <w14:schemeClr w14:val="tx1"/>
                  </w14:solidFill>
                </w14:textFill>
              </w:rPr>
              <w:t>不水平偏斜的，胀缝板弯曲、位移、连浆、倾斜的，违约金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ED3C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7E312D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5D26DF9">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FE96A74">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0F15DDA5">
            <w:pPr>
              <w:kinsoku w:val="0"/>
              <w:autoSpaceDE w:val="0"/>
              <w:autoSpaceDN w:val="0"/>
              <w:adjustRightInd w:val="0"/>
              <w:snapToGrid w:val="0"/>
              <w:spacing w:before="145" w:line="300" w:lineRule="auto"/>
              <w:ind w:left="117" w:right="110" w:hanging="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切缝深度不够、不直顺，胀缝灌缝不饱满，胀缝表面缺陷、接缝不顺直；违约金</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p>
        </w:tc>
      </w:tr>
      <w:tr w14:paraId="5E67A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38EA41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72299A3">
            <w:pPr>
              <w:kinsoku w:val="0"/>
              <w:autoSpaceDE w:val="0"/>
              <w:autoSpaceDN w:val="0"/>
              <w:adjustRightInd w:val="0"/>
              <w:snapToGrid w:val="0"/>
              <w:spacing w:before="228"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3B3DB23B">
            <w:pPr>
              <w:kinsoku w:val="0"/>
              <w:autoSpaceDE w:val="0"/>
              <w:autoSpaceDN w:val="0"/>
              <w:adjustRightInd w:val="0"/>
              <w:snapToGrid w:val="0"/>
              <w:spacing w:before="227"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运输过程中应加盖蓬布，洒落混合料污染已成型路面，违约金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元/次。</w:t>
            </w:r>
          </w:p>
        </w:tc>
      </w:tr>
      <w:tr w14:paraId="58170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91B1CE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C7C3908">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2277365">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7622" w:type="dxa"/>
          </w:tcPr>
          <w:p w14:paraId="24F307E9">
            <w:pPr>
              <w:kinsoku w:val="0"/>
              <w:autoSpaceDE w:val="0"/>
              <w:autoSpaceDN w:val="0"/>
              <w:adjustRightInd w:val="0"/>
              <w:snapToGrid w:val="0"/>
              <w:spacing w:before="145" w:line="300" w:lineRule="auto"/>
              <w:ind w:left="115" w:right="108"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施工时随意将剩料或废料向路基边坡、桥底、涵洞内或路外倾倒，造成环境污染</w:t>
            </w:r>
            <w:r>
              <w:rPr>
                <w:rFonts w:ascii="宋体" w:hAnsi="宋体" w:cs="宋体"/>
                <w:snapToGrid w:val="0"/>
                <w:color w:val="000000" w:themeColor="text1"/>
                <w:spacing w:val="7"/>
                <w:kern w:val="0"/>
                <w:sz w:val="20"/>
                <w:szCs w:val="20"/>
                <w:highlight w:val="none"/>
                <w14:textFill>
                  <w14:solidFill>
                    <w14:schemeClr w14:val="tx1"/>
                  </w14:solidFill>
                </w14:textFill>
              </w:rPr>
              <w:t>或伤害人员、堵塞沟渠、损坏绿化的，违约金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659F0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ABBA11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26E11BD">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755E208">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7622" w:type="dxa"/>
          </w:tcPr>
          <w:p w14:paraId="7579BE43">
            <w:pPr>
              <w:kinsoku w:val="0"/>
              <w:autoSpaceDE w:val="0"/>
              <w:autoSpaceDN w:val="0"/>
              <w:adjustRightInd w:val="0"/>
              <w:snapToGrid w:val="0"/>
              <w:spacing w:before="145" w:line="300" w:lineRule="auto"/>
              <w:ind w:left="113" w:right="10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沥青面层施工前，承包人应对所有施工进出口设置岗亭，并配置高压水枪、水槽</w:t>
            </w:r>
            <w:r>
              <w:rPr>
                <w:rFonts w:ascii="宋体" w:hAnsi="宋体" w:cs="宋体"/>
                <w:snapToGrid w:val="0"/>
                <w:color w:val="000000" w:themeColor="text1"/>
                <w:spacing w:val="8"/>
                <w:kern w:val="0"/>
                <w:sz w:val="20"/>
                <w:szCs w:val="20"/>
                <w:highlight w:val="none"/>
                <w14:textFill>
                  <w14:solidFill>
                    <w14:schemeClr w14:val="tx1"/>
                  </w14:solidFill>
                </w14:textFill>
              </w:rPr>
              <w:t>等清洗车轮的设备，如发现未按要求设置的</w:t>
            </w:r>
            <w:r>
              <w:rPr>
                <w:rFonts w:ascii="宋体" w:hAnsi="宋体" w:cs="宋体"/>
                <w:snapToGrid w:val="0"/>
                <w:color w:val="000000" w:themeColor="text1"/>
                <w:spacing w:val="7"/>
                <w:kern w:val="0"/>
                <w:sz w:val="20"/>
                <w:szCs w:val="20"/>
                <w:highlight w:val="none"/>
                <w14:textFill>
                  <w14:solidFill>
                    <w14:schemeClr w14:val="tx1"/>
                  </w14:solidFill>
                </w14:textFill>
              </w:rPr>
              <w:t>，违约金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117DB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0F1AB87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4B30170">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73C1563">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BEC18CB">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7622" w:type="dxa"/>
          </w:tcPr>
          <w:p w14:paraId="62A66F14">
            <w:pPr>
              <w:kinsoku w:val="0"/>
              <w:autoSpaceDE w:val="0"/>
              <w:autoSpaceDN w:val="0"/>
              <w:adjustRightInd w:val="0"/>
              <w:snapToGrid w:val="0"/>
              <w:spacing w:before="145" w:line="335"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对于各批次沥青混合料的抽查，若实际配合比(按承包人、监理、第三方监控单位</w:t>
            </w:r>
            <w:r>
              <w:rPr>
                <w:rFonts w:ascii="宋体" w:hAnsi="宋体" w:cs="宋体"/>
                <w:snapToGrid w:val="0"/>
                <w:color w:val="000000" w:themeColor="text1"/>
                <w:spacing w:val="14"/>
                <w:kern w:val="0"/>
                <w:sz w:val="20"/>
                <w:szCs w:val="20"/>
                <w:highlight w:val="none"/>
                <w14:textFill>
                  <w14:solidFill>
                    <w14:schemeClr w14:val="tx1"/>
                  </w14:solidFill>
                </w14:textFill>
              </w:rPr>
              <w:t>试验的试验结果的平均值计算)小于按照监理人审查批准的正式生产配合比的偏</w:t>
            </w:r>
            <w:r>
              <w:rPr>
                <w:rFonts w:ascii="宋体" w:hAnsi="宋体" w:cs="宋体"/>
                <w:snapToGrid w:val="0"/>
                <w:color w:val="000000" w:themeColor="text1"/>
                <w:spacing w:val="6"/>
                <w:kern w:val="0"/>
                <w:sz w:val="20"/>
                <w:szCs w:val="20"/>
                <w:highlight w:val="none"/>
                <w14:textFill>
                  <w14:solidFill>
                    <w14:schemeClr w14:val="tx1"/>
                  </w14:solidFill>
                </w14:textFill>
              </w:rPr>
              <w:t>差超过 0.2%，违约金</w:t>
            </w:r>
            <w:r>
              <w:rPr>
                <w:rFonts w:ascii="宋体" w:hAnsi="宋体" w:cs="宋体"/>
                <w:snapToGrid w:val="0"/>
                <w:color w:val="000000" w:themeColor="text1"/>
                <w:spacing w:val="-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万元/次；施工的正式生产配比中集料的通过率超过规范</w:t>
            </w:r>
            <w:r>
              <w:rPr>
                <w:rFonts w:ascii="宋体" w:hAnsi="宋体" w:cs="宋体"/>
                <w:snapToGrid w:val="0"/>
                <w:color w:val="000000" w:themeColor="text1"/>
                <w:spacing w:val="5"/>
                <w:kern w:val="0"/>
                <w:sz w:val="20"/>
                <w:szCs w:val="20"/>
                <w:highlight w:val="none"/>
                <w14:textFill>
                  <w14:solidFill>
                    <w14:schemeClr w14:val="tx1"/>
                  </w14:solidFill>
                </w14:textFill>
              </w:rPr>
              <w:t>允许偏差，违约金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万元/次。</w:t>
            </w:r>
          </w:p>
        </w:tc>
      </w:tr>
    </w:tbl>
    <w:p w14:paraId="220CB1B7">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5F2E3D0">
      <w:pPr>
        <w:rPr>
          <w:color w:val="000000" w:themeColor="text1"/>
          <w:highlight w:val="none"/>
          <w14:textFill>
            <w14:solidFill>
              <w14:schemeClr w14:val="tx1"/>
            </w14:solidFill>
          </w14:textFill>
        </w:rPr>
        <w:sectPr>
          <w:footerReference r:id="rId76" w:type="default"/>
          <w:pgSz w:w="11906" w:h="16839"/>
          <w:pgMar w:top="1182" w:right="1304" w:bottom="1168" w:left="1304" w:header="849" w:footer="934" w:gutter="0"/>
          <w:cols w:space="720" w:num="1"/>
        </w:sectPr>
      </w:pPr>
    </w:p>
    <w:p w14:paraId="76E0BE48">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322E6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0E252B8E">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061085EE">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77539ECD">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57035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tcPr>
          <w:p w14:paraId="45C1535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48AA32CC">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D57D523">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7622" w:type="dxa"/>
          </w:tcPr>
          <w:p w14:paraId="6C62EDD9">
            <w:pPr>
              <w:kinsoku w:val="0"/>
              <w:autoSpaceDE w:val="0"/>
              <w:autoSpaceDN w:val="0"/>
              <w:adjustRightInd w:val="0"/>
              <w:snapToGrid w:val="0"/>
              <w:spacing w:before="140" w:line="302" w:lineRule="auto"/>
              <w:ind w:left="117" w:right="108" w:hanging="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沥青面层集料检查发现集料含泥量超标或</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0-3</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细集料</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0.075</w:t>
            </w:r>
            <w:r>
              <w:rPr>
                <w:rFonts w:ascii="宋体" w:hAnsi="宋体" w:cs="宋体"/>
                <w:snapToGrid w:val="0"/>
                <w:color w:val="000000" w:themeColor="text1"/>
                <w:kern w:val="0"/>
                <w:sz w:val="20"/>
                <w:szCs w:val="20"/>
                <w:highlight w:val="none"/>
                <w14:textFill>
                  <w14:solidFill>
                    <w14:schemeClr w14:val="tx1"/>
                  </w14:solidFill>
                </w14:textFill>
              </w:rPr>
              <w:t>mm</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通过率超标，违</w:t>
            </w:r>
            <w:r>
              <w:rPr>
                <w:rFonts w:ascii="宋体" w:hAnsi="宋体" w:cs="宋体"/>
                <w:snapToGrid w:val="0"/>
                <w:color w:val="000000" w:themeColor="text1"/>
                <w:spacing w:val="2"/>
                <w:kern w:val="0"/>
                <w:sz w:val="20"/>
                <w:szCs w:val="20"/>
                <w:highlight w:val="none"/>
                <w14:textFill>
                  <w14:solidFill>
                    <w14:schemeClr w14:val="tx1"/>
                  </w14:solidFill>
                </w14:textFill>
              </w:rPr>
              <w:t>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56062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restart"/>
            <w:tcBorders>
              <w:bottom w:val="nil"/>
            </w:tcBorders>
            <w:vAlign w:val="center"/>
          </w:tcPr>
          <w:p w14:paraId="5689D52D">
            <w:pPr>
              <w:widowControl/>
              <w:kinsoku w:val="0"/>
              <w:autoSpaceDE w:val="0"/>
              <w:autoSpaceDN w:val="0"/>
              <w:adjustRightInd w:val="0"/>
              <w:snapToGrid w:val="0"/>
              <w:ind w:firstLine="6"/>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隧道</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工程</w:t>
            </w:r>
          </w:p>
        </w:tc>
        <w:tc>
          <w:tcPr>
            <w:tcW w:w="839" w:type="dxa"/>
          </w:tcPr>
          <w:p w14:paraId="72430DFB">
            <w:pPr>
              <w:widowControl/>
              <w:kinsoku w:val="0"/>
              <w:autoSpaceDE w:val="0"/>
              <w:autoSpaceDN w:val="0"/>
              <w:adjustRightInd w:val="0"/>
              <w:snapToGrid w:val="0"/>
              <w:spacing w:line="47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9B75E5B">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0314850C">
            <w:pPr>
              <w:kinsoku w:val="0"/>
              <w:autoSpaceDE w:val="0"/>
              <w:autoSpaceDN w:val="0"/>
              <w:adjustRightInd w:val="0"/>
              <w:snapToGrid w:val="0"/>
              <w:spacing w:before="141" w:line="324" w:lineRule="auto"/>
              <w:ind w:left="113" w:right="108" w:firstLine="9"/>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隧道工程应严格控制超欠挖。超挖时必须用同等级强度的砼回填密实，不得用土石或洞渣回填；严禁欠挖，不许有超限突石，欠挖部位必须按设计轮廓线进行清</w:t>
            </w:r>
            <w:r>
              <w:rPr>
                <w:rFonts w:ascii="宋体" w:hAnsi="宋体" w:cs="宋体"/>
                <w:snapToGrid w:val="0"/>
                <w:color w:val="000000" w:themeColor="text1"/>
                <w:spacing w:val="4"/>
                <w:kern w:val="0"/>
                <w:sz w:val="20"/>
                <w:szCs w:val="20"/>
                <w:highlight w:val="none"/>
                <w14:textFill>
                  <w14:solidFill>
                    <w14:schemeClr w14:val="tx1"/>
                  </w14:solidFill>
                </w14:textFill>
              </w:rPr>
              <w:t>理，违者违约金</w:t>
            </w:r>
            <w:r>
              <w:rPr>
                <w:rFonts w:ascii="宋体" w:hAnsi="宋体" w:cs="宋体"/>
                <w:snapToGrid w:val="0"/>
                <w:color w:val="000000" w:themeColor="text1"/>
                <w:spacing w:val="-1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元/次。</w:t>
            </w:r>
          </w:p>
        </w:tc>
      </w:tr>
      <w:tr w14:paraId="62EE4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4C777D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EA0833B">
            <w:pPr>
              <w:kinsoku w:val="0"/>
              <w:autoSpaceDE w:val="0"/>
              <w:autoSpaceDN w:val="0"/>
              <w:adjustRightInd w:val="0"/>
              <w:snapToGrid w:val="0"/>
              <w:spacing w:before="22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68563026">
            <w:pPr>
              <w:kinsoku w:val="0"/>
              <w:autoSpaceDE w:val="0"/>
              <w:autoSpaceDN w:val="0"/>
              <w:adjustRightInd w:val="0"/>
              <w:snapToGrid w:val="0"/>
              <w:spacing w:before="224" w:line="227" w:lineRule="auto"/>
              <w:ind w:right="13"/>
              <w:jc w:val="righ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隧道仰拱初支施工前，应将围岩表面松散虚渣清理干净</w:t>
            </w:r>
            <w:r>
              <w:rPr>
                <w:rFonts w:ascii="宋体" w:hAnsi="宋体" w:cs="宋体"/>
                <w:snapToGrid w:val="0"/>
                <w:color w:val="000000" w:themeColor="text1"/>
                <w:spacing w:val="6"/>
                <w:kern w:val="0"/>
                <w:sz w:val="20"/>
                <w:szCs w:val="20"/>
                <w:highlight w:val="none"/>
                <w14:textFill>
                  <w14:solidFill>
                    <w14:schemeClr w14:val="tx1"/>
                  </w14:solidFill>
                </w14:textFill>
              </w:rPr>
              <w:t>，违者违约金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6217D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6" w:hRule="atLeast"/>
        </w:trPr>
        <w:tc>
          <w:tcPr>
            <w:tcW w:w="831" w:type="dxa"/>
            <w:vMerge w:val="continue"/>
            <w:tcBorders>
              <w:top w:val="nil"/>
              <w:bottom w:val="nil"/>
            </w:tcBorders>
          </w:tcPr>
          <w:p w14:paraId="66FC7B7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9514379">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A39984F">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5EE4766">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307EBDF">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9FF421A">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AA41E9">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43524377">
            <w:pPr>
              <w:kinsoku w:val="0"/>
              <w:autoSpaceDE w:val="0"/>
              <w:autoSpaceDN w:val="0"/>
              <w:adjustRightInd w:val="0"/>
              <w:snapToGrid w:val="0"/>
              <w:spacing w:before="142" w:line="225"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隧道工程出现以下情况,违约金</w:t>
            </w:r>
            <w:r>
              <w:rPr>
                <w:rFonts w:ascii="宋体" w:hAnsi="宋体" w:cs="宋体"/>
                <w:snapToGrid w:val="0"/>
                <w:color w:val="000000" w:themeColor="text1"/>
                <w:spacing w:val="-1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元/处：</w:t>
            </w:r>
          </w:p>
          <w:p w14:paraId="49326DD9">
            <w:pPr>
              <w:kinsoku w:val="0"/>
              <w:autoSpaceDE w:val="0"/>
              <w:autoSpaceDN w:val="0"/>
              <w:adjustRightInd w:val="0"/>
              <w:snapToGrid w:val="0"/>
              <w:spacing w:before="157"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（1）防水板破损穿孔、搭接漏焊、脱焊；</w:t>
            </w:r>
          </w:p>
          <w:p w14:paraId="17A33A1E">
            <w:pPr>
              <w:kinsoku w:val="0"/>
              <w:autoSpaceDE w:val="0"/>
              <w:autoSpaceDN w:val="0"/>
              <w:adjustRightInd w:val="0"/>
              <w:snapToGrid w:val="0"/>
              <w:spacing w:before="63"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（2）锚垫板未按要求施工；</w:t>
            </w:r>
          </w:p>
          <w:p w14:paraId="66EFD47E">
            <w:pPr>
              <w:kinsoku w:val="0"/>
              <w:autoSpaceDE w:val="0"/>
              <w:autoSpaceDN w:val="0"/>
              <w:adjustRightInd w:val="0"/>
              <w:snapToGrid w:val="0"/>
              <w:spacing w:before="155" w:line="226"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（3）未按批复工法要求进行光面爆破；</w:t>
            </w:r>
          </w:p>
          <w:p w14:paraId="6F13CB2F">
            <w:pPr>
              <w:kinsoku w:val="0"/>
              <w:autoSpaceDE w:val="0"/>
              <w:autoSpaceDN w:val="0"/>
              <w:adjustRightInd w:val="0"/>
              <w:snapToGrid w:val="0"/>
              <w:spacing w:before="155"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（4）洞内装修工程未达到设计要求，线形不平顺；</w:t>
            </w:r>
          </w:p>
          <w:p w14:paraId="4669F1B3">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（5）二衬施工缝接合处理不好，二衬间错台超过</w:t>
            </w:r>
            <w:r>
              <w:rPr>
                <w:rFonts w:ascii="宋体" w:hAnsi="宋体" w:cs="宋体"/>
                <w:snapToGrid w:val="0"/>
                <w:color w:val="000000" w:themeColor="text1"/>
                <w:spacing w:val="-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w:t>
            </w:r>
            <w:r>
              <w:rPr>
                <w:rFonts w:ascii="宋体" w:hAnsi="宋体" w:cs="宋体"/>
                <w:snapToGrid w:val="0"/>
                <w:color w:val="000000" w:themeColor="text1"/>
                <w:kern w:val="0"/>
                <w:sz w:val="20"/>
                <w:szCs w:val="20"/>
                <w:highlight w:val="none"/>
                <w14:textFill>
                  <w14:solidFill>
                    <w14:schemeClr w14:val="tx1"/>
                  </w14:solidFill>
                </w14:textFill>
              </w:rPr>
              <w:t>cm</w:t>
            </w:r>
            <w:r>
              <w:rPr>
                <w:rFonts w:ascii="宋体" w:hAnsi="宋体" w:cs="宋体"/>
                <w:snapToGrid w:val="0"/>
                <w:color w:val="000000" w:themeColor="text1"/>
                <w:spacing w:val="7"/>
                <w:kern w:val="0"/>
                <w:sz w:val="20"/>
                <w:szCs w:val="20"/>
                <w:highlight w:val="none"/>
                <w14:textFill>
                  <w14:solidFill>
                    <w14:schemeClr w14:val="tx1"/>
                  </w14:solidFill>
                </w14:textFill>
              </w:rPr>
              <w:t>；</w:t>
            </w:r>
          </w:p>
          <w:p w14:paraId="4F7D592A">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（6）通风管破损未处理，照明、防尘措施</w:t>
            </w:r>
            <w:r>
              <w:rPr>
                <w:rFonts w:ascii="宋体" w:hAnsi="宋体" w:cs="宋体"/>
                <w:snapToGrid w:val="0"/>
                <w:color w:val="000000" w:themeColor="text1"/>
                <w:spacing w:val="8"/>
                <w:kern w:val="0"/>
                <w:sz w:val="20"/>
                <w:szCs w:val="20"/>
                <w:highlight w:val="none"/>
                <w14:textFill>
                  <w14:solidFill>
                    <w14:schemeClr w14:val="tx1"/>
                  </w14:solidFill>
                </w14:textFill>
              </w:rPr>
              <w:t>设置不符合要求；</w:t>
            </w:r>
          </w:p>
          <w:p w14:paraId="470BEFA9">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（7）钢架、隔栅钢架间距，二衬钢筋及层间间距不满足设计及</w:t>
            </w:r>
            <w:r>
              <w:rPr>
                <w:rFonts w:ascii="宋体" w:hAnsi="宋体" w:cs="宋体"/>
                <w:snapToGrid w:val="0"/>
                <w:color w:val="000000" w:themeColor="text1"/>
                <w:spacing w:val="8"/>
                <w:kern w:val="0"/>
                <w:sz w:val="20"/>
                <w:szCs w:val="20"/>
                <w:highlight w:val="none"/>
                <w14:textFill>
                  <w14:solidFill>
                    <w14:schemeClr w14:val="tx1"/>
                  </w14:solidFill>
                </w14:textFill>
              </w:rPr>
              <w:t>规范要求。</w:t>
            </w:r>
          </w:p>
        </w:tc>
      </w:tr>
      <w:tr w14:paraId="76196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831" w:type="dxa"/>
            <w:vMerge w:val="continue"/>
            <w:tcBorders>
              <w:top w:val="nil"/>
              <w:bottom w:val="nil"/>
            </w:tcBorders>
          </w:tcPr>
          <w:p w14:paraId="40348A3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40F5627">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7DC393C">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C36E93E">
            <w:pPr>
              <w:widowControl/>
              <w:kinsoku w:val="0"/>
              <w:autoSpaceDE w:val="0"/>
              <w:autoSpaceDN w:val="0"/>
              <w:adjustRightInd w:val="0"/>
              <w:snapToGrid w:val="0"/>
              <w:spacing w:line="26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01FBE32">
            <w:pPr>
              <w:widowControl/>
              <w:kinsoku w:val="0"/>
              <w:autoSpaceDE w:val="0"/>
              <w:autoSpaceDN w:val="0"/>
              <w:adjustRightInd w:val="0"/>
              <w:snapToGrid w:val="0"/>
              <w:spacing w:line="26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5A7B070">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1309AC2A">
            <w:pPr>
              <w:kinsoku w:val="0"/>
              <w:autoSpaceDE w:val="0"/>
              <w:autoSpaceDN w:val="0"/>
              <w:adjustRightInd w:val="0"/>
              <w:snapToGrid w:val="0"/>
              <w:spacing w:before="143" w:line="369" w:lineRule="auto"/>
              <w:ind w:left="112" w:right="108" w:firstLine="1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隧道施工中承包人应加强监控量测，达到指导施工、确保安全、为确定支护参数</w:t>
            </w:r>
            <w:r>
              <w:rPr>
                <w:rFonts w:ascii="宋体" w:hAnsi="宋体" w:cs="宋体"/>
                <w:snapToGrid w:val="0"/>
                <w:color w:val="000000" w:themeColor="text1"/>
                <w:spacing w:val="3"/>
                <w:kern w:val="0"/>
                <w:sz w:val="20"/>
                <w:szCs w:val="20"/>
                <w:highlight w:val="none"/>
                <w14:textFill>
                  <w14:solidFill>
                    <w14:schemeClr w14:val="tx1"/>
                  </w14:solidFill>
                </w14:textFill>
              </w:rPr>
              <w:t>服务。</w:t>
            </w:r>
          </w:p>
          <w:p w14:paraId="734B74E3">
            <w:pPr>
              <w:kinsoku w:val="0"/>
              <w:autoSpaceDE w:val="0"/>
              <w:autoSpaceDN w:val="0"/>
              <w:adjustRightInd w:val="0"/>
              <w:snapToGrid w:val="0"/>
              <w:spacing w:before="1" w:line="298" w:lineRule="auto"/>
              <w:ind w:left="114" w:right="108"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（1）监控量测发现问题应采取紧急措施避免事态发展，若监控量测失职</w:t>
            </w:r>
            <w:r>
              <w:rPr>
                <w:rFonts w:ascii="宋体" w:hAnsi="宋体" w:cs="宋体"/>
                <w:snapToGrid w:val="0"/>
                <w:color w:val="000000" w:themeColor="text1"/>
                <w:spacing w:val="7"/>
                <w:kern w:val="0"/>
                <w:sz w:val="20"/>
                <w:szCs w:val="20"/>
                <w:highlight w:val="none"/>
                <w14:textFill>
                  <w14:solidFill>
                    <w14:schemeClr w14:val="tx1"/>
                  </w14:solidFill>
                </w14:textFill>
              </w:rPr>
              <w:t>造成不良后果由进行监控的单位自负，并处以</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元/次的违约金。</w:t>
            </w:r>
          </w:p>
          <w:p w14:paraId="23200535">
            <w:pPr>
              <w:kinsoku w:val="0"/>
              <w:autoSpaceDE w:val="0"/>
              <w:autoSpaceDN w:val="0"/>
              <w:adjustRightInd w:val="0"/>
              <w:snapToGrid w:val="0"/>
              <w:spacing w:before="151" w:line="299" w:lineRule="auto"/>
              <w:ind w:left="114" w:right="110"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（2）监控量测断面布设间距及量测布点、量测频率不满足方案或规</w:t>
            </w:r>
            <w:r>
              <w:rPr>
                <w:rFonts w:ascii="宋体" w:hAnsi="宋体" w:cs="宋体"/>
                <w:snapToGrid w:val="0"/>
                <w:color w:val="000000" w:themeColor="text1"/>
                <w:spacing w:val="7"/>
                <w:kern w:val="0"/>
                <w:sz w:val="20"/>
                <w:szCs w:val="20"/>
                <w:highlight w:val="none"/>
                <w14:textFill>
                  <w14:solidFill>
                    <w14:schemeClr w14:val="tx1"/>
                  </w14:solidFill>
                </w14:textFill>
              </w:rPr>
              <w:t>范要求，量测</w:t>
            </w:r>
            <w:r>
              <w:rPr>
                <w:rFonts w:ascii="宋体" w:hAnsi="宋体" w:cs="宋体"/>
                <w:snapToGrid w:val="0"/>
                <w:color w:val="000000" w:themeColor="text1"/>
                <w:spacing w:val="6"/>
                <w:kern w:val="0"/>
                <w:sz w:val="20"/>
                <w:szCs w:val="20"/>
                <w:highlight w:val="none"/>
                <w14:textFill>
                  <w14:solidFill>
                    <w14:schemeClr w14:val="tx1"/>
                  </w14:solidFill>
                </w14:textFill>
              </w:rPr>
              <w:t>数据处理不及时，违约金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0432D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2C32BB0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9D2A522">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14CDC1">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8407FE8">
            <w:pPr>
              <w:kinsoku w:val="0"/>
              <w:autoSpaceDE w:val="0"/>
              <w:autoSpaceDN w:val="0"/>
              <w:adjustRightInd w:val="0"/>
              <w:snapToGrid w:val="0"/>
              <w:spacing w:before="65"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57A71159">
            <w:pPr>
              <w:kinsoku w:val="0"/>
              <w:autoSpaceDE w:val="0"/>
              <w:autoSpaceDN w:val="0"/>
              <w:adjustRightInd w:val="0"/>
              <w:snapToGrid w:val="0"/>
              <w:spacing w:before="142" w:line="335" w:lineRule="auto"/>
              <w:ind w:left="114" w:right="108" w:firstLine="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隧道开挖应采用“短进尺、少扰动、早喷锚、紧封闭</w:t>
            </w:r>
            <w:r>
              <w:rPr>
                <w:rFonts w:ascii="宋体" w:hAnsi="宋体" w:cs="宋体"/>
                <w:snapToGrid w:val="0"/>
                <w:color w:val="000000" w:themeColor="text1"/>
                <w:spacing w:val="-6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”的原则，开挖及支护严格</w:t>
            </w:r>
            <w:r>
              <w:rPr>
                <w:rFonts w:ascii="宋体" w:hAnsi="宋体" w:cs="宋体"/>
                <w:snapToGrid w:val="0"/>
                <w:color w:val="000000" w:themeColor="text1"/>
                <w:spacing w:val="11"/>
                <w:kern w:val="0"/>
                <w:sz w:val="20"/>
                <w:szCs w:val="20"/>
                <w:highlight w:val="none"/>
                <w14:textFill>
                  <w14:solidFill>
                    <w14:schemeClr w14:val="tx1"/>
                  </w14:solidFill>
                </w14:textFill>
              </w:rPr>
              <w:t>按技术规范规定进行控制，避免造成坍塌。若延误支护或初期支护超过规定的距</w:t>
            </w:r>
            <w:r>
              <w:rPr>
                <w:rFonts w:ascii="宋体" w:hAnsi="宋体" w:cs="宋体"/>
                <w:snapToGrid w:val="0"/>
                <w:color w:val="000000" w:themeColor="text1"/>
                <w:spacing w:val="10"/>
                <w:kern w:val="0"/>
                <w:sz w:val="20"/>
                <w:szCs w:val="20"/>
                <w:highlight w:val="none"/>
                <w14:textFill>
                  <w14:solidFill>
                    <w14:schemeClr w14:val="tx1"/>
                  </w14:solidFill>
                </w14:textFill>
              </w:rPr>
              <w:t>离，或掌子面与二衬距离超过规范要求，</w:t>
            </w:r>
            <w:r>
              <w:rPr>
                <w:rFonts w:ascii="宋体" w:hAnsi="宋体" w:cs="宋体"/>
                <w:snapToGrid w:val="0"/>
                <w:color w:val="000000" w:themeColor="text1"/>
                <w:spacing w:val="-5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由此带来的后果由承包人自负，并</w:t>
            </w:r>
            <w:r>
              <w:rPr>
                <w:rFonts w:ascii="宋体" w:hAnsi="宋体" w:cs="宋体"/>
                <w:snapToGrid w:val="0"/>
                <w:color w:val="000000" w:themeColor="text1"/>
                <w:spacing w:val="9"/>
                <w:kern w:val="0"/>
                <w:sz w:val="20"/>
                <w:szCs w:val="20"/>
                <w:highlight w:val="none"/>
                <w14:textFill>
                  <w14:solidFill>
                    <w14:schemeClr w14:val="tx1"/>
                  </w14:solidFill>
                </w14:textFill>
              </w:rPr>
              <w:t>处以</w:t>
            </w:r>
            <w:r>
              <w:rPr>
                <w:rFonts w:ascii="宋体" w:hAnsi="宋体" w:cs="宋体"/>
                <w:snapToGrid w:val="0"/>
                <w:color w:val="000000" w:themeColor="text1"/>
                <w:spacing w:val="4"/>
                <w:kern w:val="0"/>
                <w:sz w:val="20"/>
                <w:szCs w:val="20"/>
                <w:highlight w:val="none"/>
                <w14:textFill>
                  <w14:solidFill>
                    <w14:schemeClr w14:val="tx1"/>
                  </w14:solidFill>
                </w14:textFill>
              </w:rPr>
              <w:t>10000</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元的违约金。</w:t>
            </w:r>
          </w:p>
        </w:tc>
      </w:tr>
      <w:tr w14:paraId="4BD70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909945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B1CBB2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9B4BBF4">
            <w:pPr>
              <w:kinsoku w:val="0"/>
              <w:autoSpaceDE w:val="0"/>
              <w:autoSpaceDN w:val="0"/>
              <w:adjustRightInd w:val="0"/>
              <w:snapToGrid w:val="0"/>
              <w:spacing w:before="65"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7F5F2CA7">
            <w:pPr>
              <w:kinsoku w:val="0"/>
              <w:autoSpaceDE w:val="0"/>
              <w:autoSpaceDN w:val="0"/>
              <w:adjustRightInd w:val="0"/>
              <w:snapToGrid w:val="0"/>
              <w:spacing w:before="145" w:line="300" w:lineRule="auto"/>
              <w:ind w:left="117" w:right="53" w:firstLine="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隧道衬砌厚度统计评定不合格或单点出现小于</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w:t>
            </w:r>
            <w:r>
              <w:rPr>
                <w:rFonts w:ascii="宋体" w:hAnsi="宋体" w:cs="宋体"/>
                <w:snapToGrid w:val="0"/>
                <w:color w:val="000000" w:themeColor="text1"/>
                <w:spacing w:val="2"/>
                <w:kern w:val="0"/>
                <w:sz w:val="20"/>
                <w:szCs w:val="20"/>
                <w:highlight w:val="none"/>
                <w14:textFill>
                  <w14:solidFill>
                    <w14:schemeClr w14:val="tx1"/>
                  </w14:solidFill>
                </w14:textFill>
              </w:rPr>
              <w:t>2</w:t>
            </w:r>
            <w:r>
              <w:rPr>
                <w:rFonts w:ascii="宋体" w:hAnsi="宋体" w:cs="宋体"/>
                <w:snapToGrid w:val="0"/>
                <w:color w:val="000000" w:themeColor="text1"/>
                <w:spacing w:val="-4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设计值时，违约金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10000</w:t>
            </w:r>
            <w:r>
              <w:rPr>
                <w:rFonts w:ascii="宋体" w:hAnsi="宋体" w:cs="宋体"/>
                <w:snapToGrid w:val="0"/>
                <w:color w:val="000000" w:themeColor="text1"/>
                <w:spacing w:val="-4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元/处，</w:t>
            </w:r>
            <w:r>
              <w:rPr>
                <w:rFonts w:ascii="宋体" w:hAnsi="宋体" w:cs="宋体"/>
                <w:snapToGrid w:val="0"/>
                <w:color w:val="000000" w:themeColor="text1"/>
                <w:spacing w:val="6"/>
                <w:kern w:val="0"/>
                <w:sz w:val="20"/>
                <w:szCs w:val="20"/>
                <w:highlight w:val="none"/>
                <w14:textFill>
                  <w14:solidFill>
                    <w14:schemeClr w14:val="tx1"/>
                  </w14:solidFill>
                </w14:textFill>
              </w:rPr>
              <w:t>并要求处理合格。</w:t>
            </w:r>
          </w:p>
        </w:tc>
      </w:tr>
      <w:tr w14:paraId="78AC1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218159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381DD16">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9A0923D">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53044091">
            <w:pPr>
              <w:kinsoku w:val="0"/>
              <w:autoSpaceDE w:val="0"/>
              <w:autoSpaceDN w:val="0"/>
              <w:adjustRightInd w:val="0"/>
              <w:snapToGrid w:val="0"/>
              <w:spacing w:before="145" w:line="300" w:lineRule="auto"/>
              <w:ind w:left="113" w:right="108"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衬砌混凝土强度应满足设计及《公路工程质量检验评定标准》要求，否则，除要</w:t>
            </w:r>
            <w:r>
              <w:rPr>
                <w:rFonts w:ascii="宋体" w:hAnsi="宋体" w:cs="宋体"/>
                <w:snapToGrid w:val="0"/>
                <w:color w:val="000000" w:themeColor="text1"/>
                <w:spacing w:val="7"/>
                <w:kern w:val="0"/>
                <w:sz w:val="20"/>
                <w:szCs w:val="20"/>
                <w:highlight w:val="none"/>
                <w14:textFill>
                  <w14:solidFill>
                    <w14:schemeClr w14:val="tx1"/>
                  </w14:solidFill>
                </w14:textFill>
              </w:rPr>
              <w:t>求及时采取措施处理外，并处以承包人</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元的违约金。</w:t>
            </w:r>
          </w:p>
        </w:tc>
      </w:tr>
      <w:tr w14:paraId="6A12D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831" w:type="dxa"/>
            <w:vMerge w:val="continue"/>
            <w:tcBorders>
              <w:top w:val="nil"/>
            </w:tcBorders>
          </w:tcPr>
          <w:p w14:paraId="2ECF1B3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C6F4756">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769DC59">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A021A0D">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FA2258E">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124BA84C">
            <w:pPr>
              <w:kinsoku w:val="0"/>
              <w:autoSpaceDE w:val="0"/>
              <w:autoSpaceDN w:val="0"/>
              <w:adjustRightInd w:val="0"/>
              <w:snapToGrid w:val="0"/>
              <w:spacing w:before="145" w:line="369" w:lineRule="auto"/>
              <w:ind w:left="114" w:right="159"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不按照施工技术规范、施工图纸进行施工，偷工减料、粗</w:t>
            </w:r>
            <w:r>
              <w:rPr>
                <w:rFonts w:ascii="宋体" w:hAnsi="宋体" w:cs="宋体"/>
                <w:snapToGrid w:val="0"/>
                <w:color w:val="000000" w:themeColor="text1"/>
                <w:spacing w:val="9"/>
                <w:kern w:val="0"/>
                <w:sz w:val="20"/>
                <w:szCs w:val="20"/>
                <w:highlight w:val="none"/>
                <w14:textFill>
                  <w14:solidFill>
                    <w14:schemeClr w14:val="tx1"/>
                  </w14:solidFill>
                </w14:textFill>
              </w:rPr>
              <w:t>制滥造的，一经查实，按违约处理，并需按要求处理至符合设计和规范要求为止。</w:t>
            </w:r>
          </w:p>
          <w:p w14:paraId="4D3FA99D">
            <w:pPr>
              <w:kinsoku w:val="0"/>
              <w:autoSpaceDE w:val="0"/>
              <w:autoSpaceDN w:val="0"/>
              <w:adjustRightInd w:val="0"/>
              <w:snapToGrid w:val="0"/>
              <w:spacing w:line="299" w:lineRule="auto"/>
              <w:ind w:left="114" w:right="108"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4"/>
                <w:kern w:val="0"/>
                <w:sz w:val="20"/>
                <w:szCs w:val="20"/>
                <w:highlight w:val="none"/>
                <w14:textFill>
                  <w14:solidFill>
                    <w14:schemeClr w14:val="tx1"/>
                  </w14:solidFill>
                </w14:textFill>
              </w:rPr>
              <w:t>（1）锚杆少打或锚杆长度不足或中空锚杆未按设计注浆或药卷锚</w:t>
            </w:r>
            <w:r>
              <w:rPr>
                <w:rFonts w:ascii="宋体" w:hAnsi="宋体" w:cs="宋体"/>
                <w:snapToGrid w:val="0"/>
                <w:color w:val="000000" w:themeColor="text1"/>
                <w:spacing w:val="13"/>
                <w:kern w:val="0"/>
                <w:sz w:val="20"/>
                <w:szCs w:val="20"/>
                <w:highlight w:val="none"/>
                <w14:textFill>
                  <w14:solidFill>
                    <w14:schemeClr w14:val="tx1"/>
                  </w14:solidFill>
                </w14:textFill>
              </w:rPr>
              <w:t>杆未按设计要</w:t>
            </w:r>
            <w:r>
              <w:rPr>
                <w:rFonts w:ascii="宋体" w:hAnsi="宋体" w:cs="宋体"/>
                <w:snapToGrid w:val="0"/>
                <w:color w:val="000000" w:themeColor="text1"/>
                <w:spacing w:val="5"/>
                <w:kern w:val="0"/>
                <w:sz w:val="20"/>
                <w:szCs w:val="20"/>
                <w:highlight w:val="none"/>
                <w14:textFill>
                  <w14:solidFill>
                    <w14:schemeClr w14:val="tx1"/>
                  </w14:solidFill>
                </w14:textFill>
              </w:rPr>
              <w:t>求安装，违约金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元/点；</w:t>
            </w:r>
          </w:p>
          <w:p w14:paraId="1DCAA228">
            <w:pPr>
              <w:kinsoku w:val="0"/>
              <w:autoSpaceDE w:val="0"/>
              <w:autoSpaceDN w:val="0"/>
              <w:adjustRightInd w:val="0"/>
              <w:snapToGrid w:val="0"/>
              <w:spacing w:before="150"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（2）格栅钢架或钢架每少安一榀，违约金</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元/榀；</w:t>
            </w:r>
          </w:p>
        </w:tc>
      </w:tr>
    </w:tbl>
    <w:p w14:paraId="6D434C5B">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090FC9">
      <w:pPr>
        <w:rPr>
          <w:color w:val="000000" w:themeColor="text1"/>
          <w:highlight w:val="none"/>
          <w14:textFill>
            <w14:solidFill>
              <w14:schemeClr w14:val="tx1"/>
            </w14:solidFill>
          </w14:textFill>
        </w:rPr>
        <w:sectPr>
          <w:footerReference r:id="rId77" w:type="default"/>
          <w:pgSz w:w="11906" w:h="16839"/>
          <w:pgMar w:top="1182" w:right="1304" w:bottom="1168" w:left="1304" w:header="849" w:footer="934" w:gutter="0"/>
          <w:cols w:space="720" w:num="1"/>
        </w:sectPr>
      </w:pPr>
    </w:p>
    <w:p w14:paraId="568C2ACC">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567EE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2C00D08C">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329FCB3C">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47B8032C">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4FA47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restart"/>
            <w:tcBorders>
              <w:bottom w:val="nil"/>
            </w:tcBorders>
          </w:tcPr>
          <w:p w14:paraId="42107F0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47F970E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25660E75">
            <w:pPr>
              <w:kinsoku w:val="0"/>
              <w:autoSpaceDE w:val="0"/>
              <w:autoSpaceDN w:val="0"/>
              <w:adjustRightInd w:val="0"/>
              <w:snapToGrid w:val="0"/>
              <w:spacing w:before="14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（3）小导管、钢插管、管棚每少打一根（或长度不足</w:t>
            </w:r>
            <w:r>
              <w:rPr>
                <w:rFonts w:ascii="宋体" w:hAnsi="宋体" w:cs="宋体"/>
                <w:snapToGrid w:val="0"/>
                <w:color w:val="000000" w:themeColor="text1"/>
                <w:spacing w:val="21"/>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元/根；</w:t>
            </w:r>
          </w:p>
          <w:p w14:paraId="331044B4">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（4）二衬钢架数量不足，违约金</w:t>
            </w:r>
            <w:r>
              <w:rPr>
                <w:rFonts w:ascii="宋体" w:hAnsi="宋体" w:cs="宋体"/>
                <w:snapToGrid w:val="0"/>
                <w:color w:val="000000" w:themeColor="text1"/>
                <w:spacing w:val="-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元/处；</w:t>
            </w:r>
          </w:p>
          <w:p w14:paraId="37E59194">
            <w:pPr>
              <w:kinsoku w:val="0"/>
              <w:autoSpaceDE w:val="0"/>
              <w:autoSpaceDN w:val="0"/>
              <w:adjustRightInd w:val="0"/>
              <w:snapToGrid w:val="0"/>
              <w:spacing w:before="151" w:line="228" w:lineRule="auto"/>
              <w:ind w:left="11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其他偷工减料现象可根据具体情况处以</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元违约金。</w:t>
            </w:r>
          </w:p>
        </w:tc>
      </w:tr>
      <w:tr w14:paraId="03287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87616A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92C6A37">
            <w:pPr>
              <w:kinsoku w:val="0"/>
              <w:autoSpaceDE w:val="0"/>
              <w:autoSpaceDN w:val="0"/>
              <w:adjustRightInd w:val="0"/>
              <w:snapToGrid w:val="0"/>
              <w:spacing w:before="226"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46F0F7C3">
            <w:pPr>
              <w:kinsoku w:val="0"/>
              <w:autoSpaceDE w:val="0"/>
              <w:autoSpaceDN w:val="0"/>
              <w:adjustRightInd w:val="0"/>
              <w:snapToGrid w:val="0"/>
              <w:spacing w:before="226"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格栅拱架不垂直或锁脚锚杆施工不规范，违约金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元/榀。</w:t>
            </w:r>
          </w:p>
        </w:tc>
      </w:tr>
      <w:tr w14:paraId="5FB13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F659BD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F2C5AE9">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4F02F93">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11F16AD9">
            <w:pPr>
              <w:kinsoku w:val="0"/>
              <w:autoSpaceDE w:val="0"/>
              <w:autoSpaceDN w:val="0"/>
              <w:adjustRightInd w:val="0"/>
              <w:snapToGrid w:val="0"/>
              <w:spacing w:before="140" w:line="302" w:lineRule="auto"/>
              <w:ind w:left="114" w:right="108"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隧道洞身施工完毕后，不得出现渗水、漏水现象，如出现以上问题，除要求施工</w:t>
            </w:r>
            <w:r>
              <w:rPr>
                <w:rFonts w:ascii="宋体" w:hAnsi="宋体" w:cs="宋体"/>
                <w:snapToGrid w:val="0"/>
                <w:color w:val="000000" w:themeColor="text1"/>
                <w:spacing w:val="6"/>
                <w:kern w:val="0"/>
                <w:sz w:val="20"/>
                <w:szCs w:val="20"/>
                <w:highlight w:val="none"/>
                <w14:textFill>
                  <w14:solidFill>
                    <w14:schemeClr w14:val="tx1"/>
                  </w14:solidFill>
                </w14:textFill>
              </w:rPr>
              <w:t>单位予以补救外，处以</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元/处的违约金。</w:t>
            </w:r>
          </w:p>
        </w:tc>
      </w:tr>
      <w:tr w14:paraId="42E84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1930CAD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EB9B94F">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40C24D52">
            <w:pPr>
              <w:kinsoku w:val="0"/>
              <w:autoSpaceDE w:val="0"/>
              <w:autoSpaceDN w:val="0"/>
              <w:adjustRightInd w:val="0"/>
              <w:snapToGrid w:val="0"/>
              <w:spacing w:before="226" w:line="228"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按照规范，隧道作业未开启通风设备的违约金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66C2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3" w:hRule="atLeast"/>
        </w:trPr>
        <w:tc>
          <w:tcPr>
            <w:tcW w:w="831" w:type="dxa"/>
            <w:vAlign w:val="center"/>
          </w:tcPr>
          <w:p w14:paraId="75AFA27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绿化工程</w:t>
            </w:r>
          </w:p>
        </w:tc>
        <w:tc>
          <w:tcPr>
            <w:tcW w:w="839" w:type="dxa"/>
          </w:tcPr>
          <w:p w14:paraId="7F70EB10">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6BBFC94">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43803E44">
            <w:pPr>
              <w:kinsoku w:val="0"/>
              <w:autoSpaceDE w:val="0"/>
              <w:autoSpaceDN w:val="0"/>
              <w:adjustRightInd w:val="0"/>
              <w:snapToGrid w:val="0"/>
              <w:spacing w:before="141" w:line="324" w:lineRule="auto"/>
              <w:ind w:left="112" w:right="106" w:firstLine="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如果绿化工程与设计要求不符，或质量不合格，或造成质量隐患，</w:t>
            </w:r>
            <w:r>
              <w:rPr>
                <w:rFonts w:ascii="宋体" w:hAnsi="宋体" w:cs="宋体"/>
                <w:snapToGrid w:val="0"/>
                <w:color w:val="000000" w:themeColor="text1"/>
                <w:spacing w:val="-5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以清单单</w:t>
            </w:r>
            <w:r>
              <w:rPr>
                <w:rFonts w:ascii="宋体" w:hAnsi="宋体" w:cs="宋体"/>
                <w:snapToGrid w:val="0"/>
                <w:color w:val="000000" w:themeColor="text1"/>
                <w:spacing w:val="9"/>
                <w:kern w:val="0"/>
                <w:sz w:val="20"/>
                <w:szCs w:val="20"/>
                <w:highlight w:val="none"/>
                <w14:textFill>
                  <w14:solidFill>
                    <w14:schemeClr w14:val="tx1"/>
                  </w14:solidFill>
                </w14:textFill>
              </w:rPr>
              <w:t>位为</w:t>
            </w:r>
            <w:r>
              <w:rPr>
                <w:rFonts w:ascii="宋体" w:hAnsi="宋体" w:cs="宋体"/>
                <w:snapToGrid w:val="0"/>
                <w:color w:val="000000" w:themeColor="text1"/>
                <w:spacing w:val="3"/>
                <w:kern w:val="0"/>
                <w:sz w:val="20"/>
                <w:szCs w:val="20"/>
                <w:highlight w:val="none"/>
                <w14:textFill>
                  <w14:solidFill>
                    <w14:schemeClr w14:val="tx1"/>
                  </w14:solidFill>
                </w14:textFill>
              </w:rPr>
              <w:t>违约金依据，即违约金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元/丛、1000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w:t>
            </w:r>
            <w:r>
              <w:rPr>
                <w:rFonts w:ascii="宋体" w:hAnsi="宋体" w:cs="宋体"/>
                <w:snapToGrid w:val="0"/>
                <w:color w:val="000000" w:themeColor="text1"/>
                <w:spacing w:val="2"/>
                <w:kern w:val="0"/>
                <w:sz w:val="20"/>
                <w:szCs w:val="20"/>
                <w:highlight w:val="none"/>
                <w14:textFill>
                  <w14:solidFill>
                    <w14:schemeClr w14:val="tx1"/>
                  </w14:solidFill>
                </w14:textFill>
              </w:rPr>
              <w:t>株、500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元/m</w:t>
            </w:r>
            <w:r>
              <w:rPr>
                <w:rFonts w:ascii="宋体" w:hAnsi="宋体" w:cs="宋体"/>
                <w:snapToGrid w:val="0"/>
                <w:color w:val="000000" w:themeColor="text1"/>
                <w:spacing w:val="2"/>
                <w:kern w:val="0"/>
                <w:position w:val="10"/>
                <w:sz w:val="10"/>
                <w:szCs w:val="10"/>
                <w:highlight w:val="none"/>
                <w14:textFill>
                  <w14:solidFill>
                    <w14:schemeClr w14:val="tx1"/>
                  </w14:solidFill>
                </w14:textFill>
              </w:rPr>
              <w:t>2</w:t>
            </w:r>
            <w:r>
              <w:rPr>
                <w:rFonts w:ascii="宋体" w:hAnsi="宋体" w:cs="宋体"/>
                <w:snapToGrid w:val="0"/>
                <w:color w:val="000000" w:themeColor="text1"/>
                <w:spacing w:val="-27"/>
                <w:kern w:val="0"/>
                <w:position w:val="10"/>
                <w:sz w:val="10"/>
                <w:szCs w:val="1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元/t 以及</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10000</w:t>
            </w:r>
            <w:r>
              <w:rPr>
                <w:rFonts w:ascii="宋体" w:hAnsi="宋体" w:cs="宋体"/>
                <w:snapToGrid w:val="0"/>
                <w:color w:val="000000" w:themeColor="text1"/>
                <w:spacing w:val="4"/>
                <w:kern w:val="0"/>
                <w:sz w:val="20"/>
                <w:szCs w:val="20"/>
                <w:highlight w:val="none"/>
                <w14:textFill>
                  <w14:solidFill>
                    <w14:schemeClr w14:val="tx1"/>
                  </w14:solidFill>
                </w14:textFill>
              </w:rPr>
              <w:t>元/个等。</w:t>
            </w:r>
          </w:p>
        </w:tc>
      </w:tr>
      <w:tr w14:paraId="66C19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1D8B150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sz w:val="20"/>
                <w:szCs w:val="20"/>
                <w:highlight w:val="none"/>
                <w:lang w:eastAsia="en-US"/>
                <w14:textFill>
                  <w14:solidFill>
                    <w14:schemeClr w14:val="tx1"/>
                  </w14:solidFill>
                </w14:textFill>
              </w:rPr>
              <w:t>安全</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生产</w:t>
            </w:r>
          </w:p>
        </w:tc>
        <w:tc>
          <w:tcPr>
            <w:tcW w:w="839" w:type="dxa"/>
          </w:tcPr>
          <w:p w14:paraId="3E7B2EC0">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7978EEE9">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2D2C3774">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桥梁施工现场及构件预制场、钢筋加工场、搅拌站、爬梯施工驻地须悬挂安全生</w:t>
            </w:r>
            <w:r>
              <w:rPr>
                <w:rFonts w:ascii="宋体" w:hAnsi="宋体" w:cs="宋体"/>
                <w:snapToGrid w:val="0"/>
                <w:color w:val="000000" w:themeColor="text1"/>
                <w:spacing w:val="5"/>
                <w:kern w:val="0"/>
                <w:sz w:val="20"/>
                <w:szCs w:val="20"/>
                <w:highlight w:val="none"/>
                <w14:textFill>
                  <w14:solidFill>
                    <w14:schemeClr w14:val="tx1"/>
                  </w14:solidFill>
                </w14:textFill>
              </w:rPr>
              <w:t>产标牌，违者违约金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元/处。</w:t>
            </w:r>
          </w:p>
        </w:tc>
      </w:tr>
      <w:tr w14:paraId="36B4D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45D1E0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EA47ABF">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1880A77">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051E081C">
            <w:pPr>
              <w:kinsoku w:val="0"/>
              <w:autoSpaceDE w:val="0"/>
              <w:autoSpaceDN w:val="0"/>
              <w:adjustRightInd w:val="0"/>
              <w:snapToGrid w:val="0"/>
              <w:spacing w:before="142" w:line="301" w:lineRule="auto"/>
              <w:ind w:left="127" w:right="110" w:hanging="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基坑开挖未有效围护的，桩孔施工后未加盖的，临边防护不符合要求的，违约金</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元/处。</w:t>
            </w:r>
          </w:p>
        </w:tc>
      </w:tr>
      <w:tr w14:paraId="24D1D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6A9D74B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8C89F40">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BAB76F">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7C737177">
            <w:pPr>
              <w:kinsoku w:val="0"/>
              <w:autoSpaceDE w:val="0"/>
              <w:autoSpaceDN w:val="0"/>
              <w:adjustRightInd w:val="0"/>
              <w:snapToGrid w:val="0"/>
              <w:spacing w:before="144" w:line="323" w:lineRule="auto"/>
              <w:ind w:left="113" w:right="108" w:hanging="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施工用电存在安全问题，</w:t>
            </w:r>
            <w:r>
              <w:rPr>
                <w:rFonts w:ascii="宋体" w:hAnsi="宋体" w:cs="宋体"/>
                <w:snapToGrid w:val="0"/>
                <w:color w:val="000000" w:themeColor="text1"/>
                <w:spacing w:val="-5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电力线路架设零乱不牢固；</w:t>
            </w:r>
            <w:r>
              <w:rPr>
                <w:rFonts w:ascii="宋体" w:hAnsi="宋体" w:cs="宋体"/>
                <w:snapToGrid w:val="0"/>
                <w:color w:val="000000" w:themeColor="text1"/>
                <w:spacing w:val="-5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电源线老化</w:t>
            </w:r>
            <w:r>
              <w:rPr>
                <w:rFonts w:ascii="宋体" w:hAnsi="宋体" w:cs="宋体"/>
                <w:snapToGrid w:val="0"/>
                <w:color w:val="000000" w:themeColor="text1"/>
                <w:spacing w:val="8"/>
                <w:kern w:val="0"/>
                <w:sz w:val="20"/>
                <w:szCs w:val="20"/>
                <w:highlight w:val="none"/>
                <w14:textFill>
                  <w14:solidFill>
                    <w14:schemeClr w14:val="tx1"/>
                  </w14:solidFill>
                </w14:textFill>
              </w:rPr>
              <w:t>、绝缘损坏、接</w:t>
            </w:r>
            <w:r>
              <w:rPr>
                <w:rFonts w:ascii="宋体" w:hAnsi="宋体" w:cs="宋体"/>
                <w:snapToGrid w:val="0"/>
                <w:color w:val="000000" w:themeColor="text1"/>
                <w:spacing w:val="11"/>
                <w:kern w:val="0"/>
                <w:sz w:val="20"/>
                <w:szCs w:val="20"/>
                <w:highlight w:val="none"/>
                <w14:textFill>
                  <w14:solidFill>
                    <w14:schemeClr w14:val="tx1"/>
                  </w14:solidFill>
                </w14:textFill>
              </w:rPr>
              <w:t>头处无包扎的；使用不合格电线；不设电箱、漏电开关；施工现场未设安全警示</w:t>
            </w:r>
            <w:r>
              <w:rPr>
                <w:rFonts w:ascii="宋体" w:hAnsi="宋体" w:cs="宋体"/>
                <w:snapToGrid w:val="0"/>
                <w:color w:val="000000" w:themeColor="text1"/>
                <w:spacing w:val="3"/>
                <w:kern w:val="0"/>
                <w:sz w:val="20"/>
                <w:szCs w:val="20"/>
                <w:highlight w:val="none"/>
                <w14:textFill>
                  <w14:solidFill>
                    <w14:schemeClr w14:val="tx1"/>
                  </w14:solidFill>
                </w14:textFill>
              </w:rPr>
              <w:t>牌，违约金</w:t>
            </w:r>
            <w:r>
              <w:rPr>
                <w:rFonts w:ascii="宋体" w:hAnsi="宋体" w:cs="宋体"/>
                <w:snapToGrid w:val="0"/>
                <w:color w:val="000000" w:themeColor="text1"/>
                <w:spacing w:val="-1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元/处。</w:t>
            </w:r>
          </w:p>
        </w:tc>
      </w:tr>
      <w:tr w14:paraId="652FF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04C1EE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58ED63F">
            <w:pPr>
              <w:kinsoku w:val="0"/>
              <w:autoSpaceDE w:val="0"/>
              <w:autoSpaceDN w:val="0"/>
              <w:adjustRightInd w:val="0"/>
              <w:snapToGrid w:val="0"/>
              <w:spacing w:before="226"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6F57BDB7">
            <w:pPr>
              <w:kinsoku w:val="0"/>
              <w:autoSpaceDE w:val="0"/>
              <w:autoSpaceDN w:val="0"/>
              <w:adjustRightInd w:val="0"/>
              <w:snapToGrid w:val="0"/>
              <w:spacing w:before="226" w:line="225"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高空作业未设置稳固爬梯；不设围栏、安全网，违约金</w:t>
            </w:r>
            <w:r>
              <w:rPr>
                <w:rFonts w:ascii="宋体" w:hAnsi="宋体" w:cs="宋体"/>
                <w:snapToGrid w:val="0"/>
                <w:color w:val="000000" w:themeColor="text1"/>
                <w:spacing w:val="-1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05D20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ECEB82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41B89C7">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6234942">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58A113F3">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爆破作业应按批准的爆破方案及施工安全技术规程的要求进行，并对人身、工程</w:t>
            </w:r>
            <w:r>
              <w:rPr>
                <w:rFonts w:ascii="宋体" w:hAnsi="宋体" w:cs="宋体"/>
                <w:snapToGrid w:val="0"/>
                <w:color w:val="000000" w:themeColor="text1"/>
                <w:spacing w:val="7"/>
                <w:kern w:val="0"/>
                <w:sz w:val="20"/>
                <w:szCs w:val="20"/>
                <w:highlight w:val="none"/>
                <w14:textFill>
                  <w14:solidFill>
                    <w14:schemeClr w14:val="tx1"/>
                  </w14:solidFill>
                </w14:textFill>
              </w:rPr>
              <w:t>本身及所有财产采取保护措施，违者违约金</w:t>
            </w:r>
            <w:r>
              <w:rPr>
                <w:rFonts w:ascii="宋体" w:hAnsi="宋体" w:cs="宋体"/>
                <w:snapToGrid w:val="0"/>
                <w:color w:val="000000" w:themeColor="text1"/>
                <w:spacing w:val="-2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15763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5CE5D8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373FECB">
            <w:pPr>
              <w:kinsoku w:val="0"/>
              <w:autoSpaceDE w:val="0"/>
              <w:autoSpaceDN w:val="0"/>
              <w:adjustRightInd w:val="0"/>
              <w:snapToGrid w:val="0"/>
              <w:spacing w:before="226"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7672EF4D">
            <w:pPr>
              <w:kinsoku w:val="0"/>
              <w:autoSpaceDE w:val="0"/>
              <w:autoSpaceDN w:val="0"/>
              <w:adjustRightInd w:val="0"/>
              <w:snapToGrid w:val="0"/>
              <w:spacing w:before="226"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爆破器材设专人保管，严格领用手续，违者违约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4DC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A19E43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635B4C8">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D2777DC">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337D42F7">
            <w:pPr>
              <w:kinsoku w:val="0"/>
              <w:autoSpaceDE w:val="0"/>
              <w:autoSpaceDN w:val="0"/>
              <w:adjustRightInd w:val="0"/>
              <w:snapToGrid w:val="0"/>
              <w:spacing w:before="145" w:line="300" w:lineRule="auto"/>
              <w:ind w:left="114" w:right="109"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2"/>
                <w:kern w:val="0"/>
                <w:sz w:val="20"/>
                <w:szCs w:val="20"/>
                <w:highlight w:val="none"/>
                <w14:textFill>
                  <w14:solidFill>
                    <w14:schemeClr w14:val="tx1"/>
                  </w14:solidFill>
                </w14:textFill>
              </w:rPr>
              <w:t>对于安全风险大的高空作业、梁板吊装，要求制</w:t>
            </w:r>
            <w:r>
              <w:rPr>
                <w:rFonts w:ascii="宋体" w:hAnsi="宋体" w:cs="宋体"/>
                <w:snapToGrid w:val="0"/>
                <w:color w:val="000000" w:themeColor="text1"/>
                <w:spacing w:val="11"/>
                <w:kern w:val="0"/>
                <w:sz w:val="20"/>
                <w:szCs w:val="20"/>
                <w:highlight w:val="none"/>
                <w14:textFill>
                  <w14:solidFill>
                    <w14:schemeClr w14:val="tx1"/>
                  </w14:solidFill>
                </w14:textFill>
              </w:rPr>
              <w:t>订安全预案，违者违约金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1"/>
                <w:kern w:val="0"/>
                <w:sz w:val="20"/>
                <w:szCs w:val="20"/>
                <w:highlight w:val="none"/>
                <w14:textFill>
                  <w14:solidFill>
                    <w14:schemeClr w14:val="tx1"/>
                  </w14:solidFill>
                </w14:textFill>
              </w:rPr>
              <w:t>2,000</w:t>
            </w:r>
            <w:r>
              <w:rPr>
                <w:rFonts w:ascii="宋体" w:hAnsi="宋体" w:cs="宋体"/>
                <w:snapToGrid w:val="0"/>
                <w:color w:val="000000" w:themeColor="text1"/>
                <w:spacing w:val="3"/>
                <w:kern w:val="0"/>
                <w:sz w:val="20"/>
                <w:szCs w:val="20"/>
                <w:highlight w:val="none"/>
                <w14:textFill>
                  <w14:solidFill>
                    <w14:schemeClr w14:val="tx1"/>
                  </w14:solidFill>
                </w14:textFill>
              </w:rPr>
              <w:t>元/次。</w:t>
            </w:r>
          </w:p>
        </w:tc>
      </w:tr>
      <w:tr w14:paraId="06101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5E87420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8DDF3F1">
            <w:pPr>
              <w:widowControl/>
              <w:kinsoku w:val="0"/>
              <w:autoSpaceDE w:val="0"/>
              <w:autoSpaceDN w:val="0"/>
              <w:adjustRightInd w:val="0"/>
              <w:snapToGrid w:val="0"/>
              <w:spacing w:line="4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00B0B6">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382BB473">
            <w:pPr>
              <w:kinsoku w:val="0"/>
              <w:autoSpaceDE w:val="0"/>
              <w:autoSpaceDN w:val="0"/>
              <w:adjustRightInd w:val="0"/>
              <w:snapToGrid w:val="0"/>
              <w:spacing w:before="144" w:line="323"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梁板吊运安装施工方案应经过监理人审批，</w:t>
            </w:r>
            <w:r>
              <w:rPr>
                <w:rFonts w:ascii="宋体" w:hAnsi="宋体" w:cs="宋体"/>
                <w:snapToGrid w:val="0"/>
                <w:color w:val="000000" w:themeColor="text1"/>
                <w:spacing w:val="-5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吊车、龙门架、架桥机要经过安全生</w:t>
            </w:r>
            <w:r>
              <w:rPr>
                <w:rFonts w:ascii="宋体" w:hAnsi="宋体" w:cs="宋体"/>
                <w:snapToGrid w:val="0"/>
                <w:color w:val="000000" w:themeColor="text1"/>
                <w:spacing w:val="9"/>
                <w:kern w:val="0"/>
                <w:sz w:val="20"/>
                <w:szCs w:val="20"/>
                <w:highlight w:val="none"/>
                <w14:textFill>
                  <w14:solidFill>
                    <w14:schemeClr w14:val="tx1"/>
                  </w14:solidFill>
                </w14:textFill>
              </w:rPr>
              <w:t>产检测机构检验合格，并在设备上张贴“</w:t>
            </w:r>
            <w:r>
              <w:rPr>
                <w:rFonts w:ascii="宋体" w:hAnsi="宋体" w:cs="宋体"/>
                <w:snapToGrid w:val="0"/>
                <w:color w:val="000000" w:themeColor="text1"/>
                <w:spacing w:val="-5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四证</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”公示牌才能施工作业，违者违约</w:t>
            </w:r>
            <w:r>
              <w:rPr>
                <w:rFonts w:ascii="宋体" w:hAnsi="宋体" w:cs="宋体"/>
                <w:snapToGrid w:val="0"/>
                <w:color w:val="000000" w:themeColor="text1"/>
                <w:spacing w:val="2"/>
                <w:kern w:val="0"/>
                <w:sz w:val="20"/>
                <w:szCs w:val="20"/>
                <w:highlight w:val="none"/>
                <w14:textFill>
                  <w14:solidFill>
                    <w14:schemeClr w14:val="tx1"/>
                  </w14:solidFill>
                </w14:textFill>
              </w:rPr>
              <w:t>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37F14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831" w:type="dxa"/>
            <w:vMerge w:val="continue"/>
            <w:tcBorders>
              <w:top w:val="nil"/>
            </w:tcBorders>
          </w:tcPr>
          <w:p w14:paraId="169F015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630B566">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0318BB5">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7BA3A13">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34436BF">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504C0292">
            <w:pPr>
              <w:kinsoku w:val="0"/>
              <w:autoSpaceDE w:val="0"/>
              <w:autoSpaceDN w:val="0"/>
              <w:adjustRightInd w:val="0"/>
              <w:snapToGrid w:val="0"/>
              <w:spacing w:before="145" w:line="225" w:lineRule="auto"/>
              <w:ind w:left="13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出现以下情况，违约金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p w14:paraId="4DEBDC13">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（1）施工车辆和机械设备带故障作业；</w:t>
            </w:r>
          </w:p>
          <w:p w14:paraId="4514D068">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（2）发生各种事故苗头及事故未及时整改和隐瞒不报；</w:t>
            </w:r>
          </w:p>
          <w:p w14:paraId="24AF642F">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（3）每月安全大检查，安全管理人员无故不在位；</w:t>
            </w:r>
          </w:p>
          <w:p w14:paraId="09015C1F">
            <w:pPr>
              <w:kinsoku w:val="0"/>
              <w:autoSpaceDE w:val="0"/>
              <w:autoSpaceDN w:val="0"/>
              <w:adjustRightInd w:val="0"/>
              <w:snapToGrid w:val="0"/>
              <w:spacing w:before="151"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（4）主要施工机械设备应悬挂操作规程；</w:t>
            </w:r>
          </w:p>
        </w:tc>
      </w:tr>
    </w:tbl>
    <w:p w14:paraId="5EEB4BFF">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049515">
      <w:pPr>
        <w:rPr>
          <w:color w:val="000000" w:themeColor="text1"/>
          <w:highlight w:val="none"/>
          <w14:textFill>
            <w14:solidFill>
              <w14:schemeClr w14:val="tx1"/>
            </w14:solidFill>
          </w14:textFill>
        </w:rPr>
        <w:sectPr>
          <w:footerReference r:id="rId78" w:type="default"/>
          <w:pgSz w:w="11906" w:h="16839"/>
          <w:pgMar w:top="1182" w:right="1304" w:bottom="1168" w:left="1304" w:header="849" w:footer="934" w:gutter="0"/>
          <w:cols w:space="720" w:num="1"/>
        </w:sectPr>
      </w:pPr>
    </w:p>
    <w:p w14:paraId="2BEB05AE">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16DE8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0AAEBBD9">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6AED292E">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5B590DC5">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1F8C7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4268EB4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46BE7A6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2B3CD75D">
            <w:pPr>
              <w:kinsoku w:val="0"/>
              <w:autoSpaceDE w:val="0"/>
              <w:autoSpaceDN w:val="0"/>
              <w:adjustRightInd w:val="0"/>
              <w:snapToGrid w:val="0"/>
              <w:spacing w:before="142"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（5）作业人员酒后作业、作业人员无证上岗；</w:t>
            </w:r>
          </w:p>
          <w:p w14:paraId="286ACE52">
            <w:pPr>
              <w:kinsoku w:val="0"/>
              <w:autoSpaceDE w:val="0"/>
              <w:autoSpaceDN w:val="0"/>
              <w:adjustRightInd w:val="0"/>
              <w:snapToGrid w:val="0"/>
              <w:spacing w:before="153"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（6）施工未进行安全交底，安全交底无记录的。</w:t>
            </w:r>
          </w:p>
        </w:tc>
      </w:tr>
      <w:tr w14:paraId="1A05B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831" w:type="dxa"/>
            <w:vMerge w:val="continue"/>
            <w:tcBorders>
              <w:top w:val="nil"/>
              <w:bottom w:val="nil"/>
            </w:tcBorders>
          </w:tcPr>
          <w:p w14:paraId="55868E1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0F94F0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B9CC4F">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C44EB69">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0263D5E">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C151386">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F51271E">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FD07F68">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4B81B10C">
            <w:pPr>
              <w:kinsoku w:val="0"/>
              <w:autoSpaceDE w:val="0"/>
              <w:autoSpaceDN w:val="0"/>
              <w:adjustRightInd w:val="0"/>
              <w:snapToGrid w:val="0"/>
              <w:spacing w:before="141"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施工现场人员出现以下情况，每人违约金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p w14:paraId="2B1AA84A">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5"/>
                <w:kern w:val="0"/>
                <w:sz w:val="20"/>
                <w:szCs w:val="20"/>
                <w:highlight w:val="none"/>
                <w14:textFill>
                  <w14:solidFill>
                    <w14:schemeClr w14:val="tx1"/>
                  </w14:solidFill>
                </w14:textFill>
              </w:rPr>
              <w:t>（1）不戴安全帽；</w:t>
            </w:r>
          </w:p>
          <w:p w14:paraId="290B2CE8">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（2）高空作业不系安全带；</w:t>
            </w:r>
          </w:p>
          <w:p w14:paraId="2D3B6521">
            <w:pPr>
              <w:kinsoku w:val="0"/>
              <w:autoSpaceDE w:val="0"/>
              <w:autoSpaceDN w:val="0"/>
              <w:adjustRightInd w:val="0"/>
              <w:snapToGrid w:val="0"/>
              <w:spacing w:before="151"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（3）水上作业不穿救生衣；</w:t>
            </w:r>
          </w:p>
          <w:p w14:paraId="2086CABE">
            <w:pPr>
              <w:kinsoku w:val="0"/>
              <w:autoSpaceDE w:val="0"/>
              <w:autoSpaceDN w:val="0"/>
              <w:adjustRightInd w:val="0"/>
              <w:snapToGrid w:val="0"/>
              <w:spacing w:before="154" w:line="227"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（4）赤脚或穿拖鞋；</w:t>
            </w:r>
          </w:p>
          <w:p w14:paraId="09DCB6B3">
            <w:pPr>
              <w:kinsoku w:val="0"/>
              <w:autoSpaceDE w:val="0"/>
              <w:autoSpaceDN w:val="0"/>
              <w:adjustRightInd w:val="0"/>
              <w:snapToGrid w:val="0"/>
              <w:spacing w:before="155" w:line="297" w:lineRule="auto"/>
              <w:ind w:left="113" w:right="92" w:firstLine="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（5）爆破员、安全员、电工、装载机司机、运输车司机、</w:t>
            </w:r>
            <w:r>
              <w:rPr>
                <w:rFonts w:ascii="宋体" w:hAnsi="宋体" w:cs="宋体"/>
                <w:snapToGrid w:val="0"/>
                <w:color w:val="000000" w:themeColor="text1"/>
                <w:spacing w:val="-5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电焊工、砼工、吊车、</w:t>
            </w:r>
            <w:r>
              <w:rPr>
                <w:rFonts w:ascii="宋体" w:hAnsi="宋体" w:cs="宋体"/>
                <w:snapToGrid w:val="0"/>
                <w:color w:val="000000" w:themeColor="text1"/>
                <w:spacing w:val="8"/>
                <w:kern w:val="0"/>
                <w:sz w:val="20"/>
                <w:szCs w:val="20"/>
                <w:highlight w:val="none"/>
                <w14:textFill>
                  <w14:solidFill>
                    <w14:schemeClr w14:val="tx1"/>
                  </w14:solidFill>
                </w14:textFill>
              </w:rPr>
              <w:t>架桥机等特殊工种未持证上岗的。</w:t>
            </w:r>
          </w:p>
          <w:p w14:paraId="746DD70A">
            <w:pPr>
              <w:kinsoku w:val="0"/>
              <w:autoSpaceDE w:val="0"/>
              <w:autoSpaceDN w:val="0"/>
              <w:adjustRightInd w:val="0"/>
              <w:snapToGrid w:val="0"/>
              <w:spacing w:before="154" w:line="228" w:lineRule="auto"/>
              <w:ind w:left="12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（6）其他违反劳动纪律行为。</w:t>
            </w:r>
          </w:p>
        </w:tc>
      </w:tr>
      <w:tr w14:paraId="6B326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2711767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464D742">
            <w:pPr>
              <w:kinsoku w:val="0"/>
              <w:autoSpaceDE w:val="0"/>
              <w:autoSpaceDN w:val="0"/>
              <w:adjustRightInd w:val="0"/>
              <w:snapToGrid w:val="0"/>
              <w:spacing w:before="22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5A9A52F7">
            <w:pPr>
              <w:kinsoku w:val="0"/>
              <w:autoSpaceDE w:val="0"/>
              <w:autoSpaceDN w:val="0"/>
              <w:adjustRightInd w:val="0"/>
              <w:snapToGrid w:val="0"/>
              <w:spacing w:before="225" w:line="227" w:lineRule="auto"/>
              <w:ind w:left="130"/>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出现违章指挥、违章操作的，违约金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r>
              <w:rPr>
                <w:rFonts w:ascii="宋体" w:hAnsi="宋体" w:cs="宋体"/>
                <w:snapToGrid w:val="0"/>
                <w:color w:val="000000" w:themeColor="text1"/>
                <w:spacing w:val="5"/>
                <w:kern w:val="0"/>
                <w:sz w:val="20"/>
                <w:szCs w:val="20"/>
                <w:highlight w:val="none"/>
                <w14:textFill>
                  <w14:solidFill>
                    <w14:schemeClr w14:val="tx1"/>
                  </w14:solidFill>
                </w14:textFill>
              </w:rPr>
              <w:t>/次。</w:t>
            </w:r>
          </w:p>
        </w:tc>
      </w:tr>
      <w:tr w14:paraId="00FBE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vAlign w:val="center"/>
          </w:tcPr>
          <w:p w14:paraId="0AC08BB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文明</w:t>
            </w:r>
            <w:r>
              <w:rPr>
                <w:rFonts w:ascii="宋体" w:hAnsi="宋体" w:cs="宋体"/>
                <w:snapToGrid w:val="0"/>
                <w:color w:val="000000" w:themeColor="text1"/>
                <w:spacing w:val="5"/>
                <w:kern w:val="0"/>
                <w:sz w:val="20"/>
                <w:szCs w:val="20"/>
                <w:highlight w:val="none"/>
                <w:lang w:eastAsia="en-US"/>
                <w14:textFill>
                  <w14:solidFill>
                    <w14:schemeClr w14:val="tx1"/>
                  </w14:solidFill>
                </w14:textFill>
              </w:rPr>
              <w:t>施工</w:t>
            </w:r>
          </w:p>
        </w:tc>
        <w:tc>
          <w:tcPr>
            <w:tcW w:w="839" w:type="dxa"/>
          </w:tcPr>
          <w:p w14:paraId="7C53EF2E">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A612E43">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2ADF43C0">
            <w:pPr>
              <w:kinsoku w:val="0"/>
              <w:autoSpaceDE w:val="0"/>
              <w:autoSpaceDN w:val="0"/>
              <w:adjustRightInd w:val="0"/>
              <w:snapToGrid w:val="0"/>
              <w:spacing w:before="141" w:line="301" w:lineRule="auto"/>
              <w:ind w:left="117" w:right="108" w:hanging="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承包人驻地建设应包括防护、围墙、临时便道和安全、卫生、防火设施，违者违</w:t>
            </w:r>
            <w:r>
              <w:rPr>
                <w:rFonts w:ascii="宋体" w:hAnsi="宋体" w:cs="宋体"/>
                <w:snapToGrid w:val="0"/>
                <w:color w:val="000000" w:themeColor="text1"/>
                <w:spacing w:val="2"/>
                <w:kern w:val="0"/>
                <w:sz w:val="20"/>
                <w:szCs w:val="20"/>
                <w:highlight w:val="none"/>
                <w14:textFill>
                  <w14:solidFill>
                    <w14:schemeClr w14:val="tx1"/>
                  </w14:solidFill>
                </w14:textFill>
              </w:rPr>
              <w:t>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元/项。</w:t>
            </w:r>
          </w:p>
        </w:tc>
      </w:tr>
      <w:tr w14:paraId="5C766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023DD2B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5FCF5F0">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0AA4F92">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4CAE7081">
            <w:pPr>
              <w:kinsoku w:val="0"/>
              <w:autoSpaceDE w:val="0"/>
              <w:autoSpaceDN w:val="0"/>
              <w:adjustRightInd w:val="0"/>
              <w:snapToGrid w:val="0"/>
              <w:spacing w:before="144" w:line="300" w:lineRule="auto"/>
              <w:ind w:left="111" w:right="108"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承包人项目经理部应按发包人统一要求设置组织机构、质量管理、安全生产等宣</w:t>
            </w:r>
            <w:r>
              <w:rPr>
                <w:rFonts w:ascii="宋体" w:hAnsi="宋体" w:cs="宋体"/>
                <w:snapToGrid w:val="0"/>
                <w:color w:val="000000" w:themeColor="text1"/>
                <w:spacing w:val="5"/>
                <w:kern w:val="0"/>
                <w:sz w:val="20"/>
                <w:szCs w:val="20"/>
                <w:highlight w:val="none"/>
                <w14:textFill>
                  <w14:solidFill>
                    <w14:schemeClr w14:val="tx1"/>
                  </w14:solidFill>
                </w14:textFill>
              </w:rPr>
              <w:t>传牌，违者违约金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元/项。</w:t>
            </w:r>
          </w:p>
        </w:tc>
      </w:tr>
      <w:tr w14:paraId="6BCC1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B1C8C0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B148317">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B2A9348">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28136740">
            <w:pPr>
              <w:kinsoku w:val="0"/>
              <w:autoSpaceDE w:val="0"/>
              <w:autoSpaceDN w:val="0"/>
              <w:adjustRightInd w:val="0"/>
              <w:snapToGrid w:val="0"/>
              <w:spacing w:before="145" w:line="300" w:lineRule="auto"/>
              <w:ind w:left="116" w:right="109"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单项工程的施工现场未按要求设立标示牌的，施工点无安全员</w:t>
            </w:r>
            <w:r>
              <w:rPr>
                <w:rFonts w:ascii="宋体" w:hAnsi="宋体" w:cs="宋体"/>
                <w:snapToGrid w:val="0"/>
                <w:color w:val="000000" w:themeColor="text1"/>
                <w:spacing w:val="9"/>
                <w:kern w:val="0"/>
                <w:sz w:val="20"/>
                <w:szCs w:val="20"/>
                <w:highlight w:val="none"/>
                <w14:textFill>
                  <w14:solidFill>
                    <w14:schemeClr w14:val="tx1"/>
                  </w14:solidFill>
                </w14:textFill>
              </w:rPr>
              <w:t>的,违约金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500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元/</w:t>
            </w:r>
            <w:r>
              <w:rPr>
                <w:rFonts w:ascii="宋体" w:hAnsi="宋体" w:cs="宋体"/>
                <w:snapToGrid w:val="0"/>
                <w:color w:val="000000" w:themeColor="text1"/>
                <w:spacing w:val="-2"/>
                <w:kern w:val="0"/>
                <w:sz w:val="20"/>
                <w:szCs w:val="20"/>
                <w:highlight w:val="none"/>
                <w14:textFill>
                  <w14:solidFill>
                    <w14:schemeClr w14:val="tx1"/>
                  </w14:solidFill>
                </w14:textFill>
              </w:rPr>
              <w:t>处。</w:t>
            </w:r>
          </w:p>
        </w:tc>
      </w:tr>
      <w:tr w14:paraId="36EAB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F28A3C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F55663C">
            <w:pPr>
              <w:kinsoku w:val="0"/>
              <w:autoSpaceDE w:val="0"/>
              <w:autoSpaceDN w:val="0"/>
              <w:adjustRightInd w:val="0"/>
              <w:snapToGrid w:val="0"/>
              <w:spacing w:before="227"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23D7B8E5">
            <w:pPr>
              <w:kinsoku w:val="0"/>
              <w:autoSpaceDE w:val="0"/>
              <w:autoSpaceDN w:val="0"/>
              <w:adjustRightInd w:val="0"/>
              <w:snapToGrid w:val="0"/>
              <w:spacing w:before="227"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施工现场管理人员不佩带工作证, 每人违约金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FE0C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1C0E10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168B319">
            <w:pPr>
              <w:kinsoku w:val="0"/>
              <w:autoSpaceDE w:val="0"/>
              <w:autoSpaceDN w:val="0"/>
              <w:adjustRightInd w:val="0"/>
              <w:snapToGrid w:val="0"/>
              <w:spacing w:before="228"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6F714649">
            <w:pPr>
              <w:kinsoku w:val="0"/>
              <w:autoSpaceDE w:val="0"/>
              <w:autoSpaceDN w:val="0"/>
              <w:adjustRightInd w:val="0"/>
              <w:snapToGrid w:val="0"/>
              <w:spacing w:before="228"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施工扬尘防治措施未按行业主管部门管理规定落实到位的，违约金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元/次。</w:t>
            </w:r>
          </w:p>
        </w:tc>
      </w:tr>
      <w:tr w14:paraId="7C4E5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2467EA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0FAD5FA">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1FBEADF">
            <w:pPr>
              <w:kinsoku w:val="0"/>
              <w:autoSpaceDE w:val="0"/>
              <w:autoSpaceDN w:val="0"/>
              <w:adjustRightInd w:val="0"/>
              <w:snapToGrid w:val="0"/>
              <w:spacing w:before="65"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69F1297E">
            <w:pPr>
              <w:kinsoku w:val="0"/>
              <w:autoSpaceDE w:val="0"/>
              <w:autoSpaceDN w:val="0"/>
              <w:adjustRightInd w:val="0"/>
              <w:snapToGrid w:val="0"/>
              <w:spacing w:before="147" w:line="299"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桥梁施工过程中的泥浆及废弃物等，须在该项工程完工时即时清除干净，符合固</w:t>
            </w:r>
            <w:r>
              <w:rPr>
                <w:rFonts w:ascii="宋体" w:hAnsi="宋体" w:cs="宋体"/>
                <w:snapToGrid w:val="0"/>
                <w:color w:val="000000" w:themeColor="text1"/>
                <w:spacing w:val="6"/>
                <w:kern w:val="0"/>
                <w:sz w:val="20"/>
                <w:szCs w:val="20"/>
                <w:highlight w:val="none"/>
                <w14:textFill>
                  <w14:solidFill>
                    <w14:schemeClr w14:val="tx1"/>
                  </w14:solidFill>
                </w14:textFill>
              </w:rPr>
              <w:t>废处理要求，违者违约金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p>
        </w:tc>
      </w:tr>
      <w:tr w14:paraId="54B95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AAEB51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62C4D06">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BC56FD4">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6D203734">
            <w:pPr>
              <w:kinsoku w:val="0"/>
              <w:autoSpaceDE w:val="0"/>
              <w:autoSpaceDN w:val="0"/>
              <w:adjustRightInd w:val="0"/>
              <w:snapToGrid w:val="0"/>
              <w:spacing w:before="145" w:line="300" w:lineRule="auto"/>
              <w:ind w:left="115" w:right="37" w:hanging="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施工现场未采取有效措施，造成水源污染、空气污染等不良后果，引起群众抗议、投诉或有关行政主管部门处理的，违约金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6"/>
                <w:kern w:val="0"/>
                <w:sz w:val="20"/>
                <w:szCs w:val="20"/>
                <w:highlight w:val="none"/>
                <w14:textFill>
                  <w14:solidFill>
                    <w14:schemeClr w14:val="tx1"/>
                  </w14:solidFill>
                </w14:textFill>
              </w:rPr>
              <w:t>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2973F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FC1B38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B131013">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82A3E2E">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06F5ADB3">
            <w:pPr>
              <w:kinsoku w:val="0"/>
              <w:autoSpaceDE w:val="0"/>
              <w:autoSpaceDN w:val="0"/>
              <w:adjustRightInd w:val="0"/>
              <w:snapToGrid w:val="0"/>
              <w:spacing w:before="147" w:line="299" w:lineRule="auto"/>
              <w:ind w:left="112" w:right="108" w:firstLine="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弃土、弃渣堆放于陡坡桥梁桥位上，或占农田果园、堵塞水道的，违约金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r>
              <w:rPr>
                <w:rFonts w:ascii="宋体" w:hAnsi="宋体" w:cs="宋体"/>
                <w:snapToGrid w:val="0"/>
                <w:color w:val="000000" w:themeColor="text1"/>
                <w:spacing w:val="2"/>
                <w:kern w:val="0"/>
                <w:sz w:val="20"/>
                <w:szCs w:val="20"/>
                <w:highlight w:val="none"/>
                <w14:textFill>
                  <w14:solidFill>
                    <w14:schemeClr w14:val="tx1"/>
                  </w14:solidFill>
                </w14:textFill>
              </w:rPr>
              <w:t>/次。</w:t>
            </w:r>
          </w:p>
        </w:tc>
      </w:tr>
      <w:tr w14:paraId="36FF8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tcBorders>
          </w:tcPr>
          <w:p w14:paraId="1EFEE11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D895FE3">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41315E0">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2EC86CAD">
            <w:pPr>
              <w:kinsoku w:val="0"/>
              <w:autoSpaceDE w:val="0"/>
              <w:autoSpaceDN w:val="0"/>
              <w:adjustRightInd w:val="0"/>
              <w:snapToGrid w:val="0"/>
              <w:spacing w:before="145" w:line="300" w:lineRule="auto"/>
              <w:ind w:left="117" w:right="108"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水土保持防护措施不完善，造成水土流失，污染当地农田水利或城镇农村的，违</w:t>
            </w:r>
            <w:r>
              <w:rPr>
                <w:rFonts w:ascii="宋体" w:hAnsi="宋体" w:cs="宋体"/>
                <w:snapToGrid w:val="0"/>
                <w:color w:val="000000" w:themeColor="text1"/>
                <w:spacing w:val="2"/>
                <w:kern w:val="0"/>
                <w:sz w:val="20"/>
                <w:szCs w:val="20"/>
                <w:highlight w:val="none"/>
                <w14:textFill>
                  <w14:solidFill>
                    <w14:schemeClr w14:val="tx1"/>
                  </w14:solidFill>
                </w14:textFill>
              </w:rPr>
              <w:t>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3F821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03954D2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环境保护</w:t>
            </w:r>
          </w:p>
        </w:tc>
        <w:tc>
          <w:tcPr>
            <w:tcW w:w="839" w:type="dxa"/>
          </w:tcPr>
          <w:p w14:paraId="4E9F9750">
            <w:pPr>
              <w:kinsoku w:val="0"/>
              <w:autoSpaceDE w:val="0"/>
              <w:autoSpaceDN w:val="0"/>
              <w:adjustRightInd w:val="0"/>
              <w:snapToGrid w:val="0"/>
              <w:spacing w:before="227"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7668F883">
            <w:pPr>
              <w:kinsoku w:val="0"/>
              <w:autoSpaceDE w:val="0"/>
              <w:autoSpaceDN w:val="0"/>
              <w:adjustRightInd w:val="0"/>
              <w:snapToGrid w:val="0"/>
              <w:spacing w:before="227"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未建立健全的环境保护管理机构，违约金</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4FF1A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F0C9E0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B69E64D">
            <w:pPr>
              <w:kinsoku w:val="0"/>
              <w:autoSpaceDE w:val="0"/>
              <w:autoSpaceDN w:val="0"/>
              <w:adjustRightInd w:val="0"/>
              <w:snapToGrid w:val="0"/>
              <w:spacing w:before="229"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51A879C9">
            <w:pPr>
              <w:kinsoku w:val="0"/>
              <w:autoSpaceDE w:val="0"/>
              <w:autoSpaceDN w:val="0"/>
              <w:adjustRightInd w:val="0"/>
              <w:snapToGrid w:val="0"/>
              <w:spacing w:before="228"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环境保护规章制度不齐全，违约金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29146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4D2AFBC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5588797">
            <w:pPr>
              <w:kinsoku w:val="0"/>
              <w:autoSpaceDE w:val="0"/>
              <w:autoSpaceDN w:val="0"/>
              <w:adjustRightInd w:val="0"/>
              <w:snapToGrid w:val="0"/>
              <w:spacing w:before="228"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2652607D">
            <w:pPr>
              <w:kinsoku w:val="0"/>
              <w:autoSpaceDE w:val="0"/>
              <w:autoSpaceDN w:val="0"/>
              <w:adjustRightInd w:val="0"/>
              <w:snapToGrid w:val="0"/>
              <w:spacing w:before="227"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施工方案中没有环保措施，违约金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bl>
    <w:p w14:paraId="297447C3">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17CF970">
      <w:pPr>
        <w:rPr>
          <w:color w:val="000000" w:themeColor="text1"/>
          <w:highlight w:val="none"/>
          <w14:textFill>
            <w14:solidFill>
              <w14:schemeClr w14:val="tx1"/>
            </w14:solidFill>
          </w14:textFill>
        </w:rPr>
        <w:sectPr>
          <w:footerReference r:id="rId79" w:type="default"/>
          <w:pgSz w:w="11906" w:h="16839"/>
          <w:pgMar w:top="1182" w:right="1304" w:bottom="1168" w:left="1304" w:header="849" w:footer="934" w:gutter="0"/>
          <w:cols w:space="720" w:num="1"/>
        </w:sectPr>
      </w:pPr>
    </w:p>
    <w:p w14:paraId="353D05A7">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3DD45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7AD7645C">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0425144A">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16ACD6BF">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31FBD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18C29C0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4CDFFA85">
            <w:pPr>
              <w:kinsoku w:val="0"/>
              <w:autoSpaceDE w:val="0"/>
              <w:autoSpaceDN w:val="0"/>
              <w:adjustRightInd w:val="0"/>
              <w:snapToGrid w:val="0"/>
              <w:spacing w:before="223"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13D1BBD2">
            <w:pPr>
              <w:kinsoku w:val="0"/>
              <w:autoSpaceDE w:val="0"/>
              <w:autoSpaceDN w:val="0"/>
              <w:adjustRightInd w:val="0"/>
              <w:snapToGrid w:val="0"/>
              <w:spacing w:before="222"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未对可能造成环境污染的项目进行监测，违约金</w:t>
            </w:r>
            <w:r>
              <w:rPr>
                <w:rFonts w:ascii="宋体" w:hAnsi="宋体" w:cs="宋体"/>
                <w:snapToGrid w:val="0"/>
                <w:color w:val="000000" w:themeColor="text1"/>
                <w:spacing w:val="-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4E4DE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1A296B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F4E7904">
            <w:pPr>
              <w:kinsoku w:val="0"/>
              <w:autoSpaceDE w:val="0"/>
              <w:autoSpaceDN w:val="0"/>
              <w:adjustRightInd w:val="0"/>
              <w:snapToGrid w:val="0"/>
              <w:spacing w:before="224"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1BB219B9">
            <w:pPr>
              <w:kinsoku w:val="0"/>
              <w:autoSpaceDE w:val="0"/>
              <w:autoSpaceDN w:val="0"/>
              <w:adjustRightInd w:val="0"/>
              <w:snapToGrid w:val="0"/>
              <w:spacing w:before="224"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未配备必要的环境保护监测仪器，违约金</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54195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BD7106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724D77B">
            <w:pPr>
              <w:kinsoku w:val="0"/>
              <w:autoSpaceDE w:val="0"/>
              <w:autoSpaceDN w:val="0"/>
              <w:adjustRightInd w:val="0"/>
              <w:snapToGrid w:val="0"/>
              <w:spacing w:before="223"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1FB8EC77">
            <w:pPr>
              <w:kinsoku w:val="0"/>
              <w:autoSpaceDE w:val="0"/>
              <w:autoSpaceDN w:val="0"/>
              <w:adjustRightInd w:val="0"/>
              <w:snapToGrid w:val="0"/>
              <w:spacing w:before="223"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环境保护学习、宣传、教育、培训不健全，违约金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42CA5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88C893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4538D3F">
            <w:pPr>
              <w:kinsoku w:val="0"/>
              <w:autoSpaceDE w:val="0"/>
              <w:autoSpaceDN w:val="0"/>
              <w:adjustRightInd w:val="0"/>
              <w:snapToGrid w:val="0"/>
              <w:spacing w:before="225" w:line="268"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42C07C94">
            <w:pPr>
              <w:kinsoku w:val="0"/>
              <w:autoSpaceDE w:val="0"/>
              <w:autoSpaceDN w:val="0"/>
              <w:adjustRightInd w:val="0"/>
              <w:snapToGrid w:val="0"/>
              <w:spacing w:before="224"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未建立环境保护管理台帐，报送资料不及时，违约金</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w:t>
            </w:r>
            <w:r>
              <w:rPr>
                <w:rFonts w:ascii="宋体" w:hAnsi="宋体" w:cs="宋体"/>
                <w:snapToGrid w:val="0"/>
                <w:color w:val="000000" w:themeColor="text1"/>
                <w:spacing w:val="7"/>
                <w:kern w:val="0"/>
                <w:sz w:val="20"/>
                <w:szCs w:val="20"/>
                <w:highlight w:val="none"/>
                <w14:textFill>
                  <w14:solidFill>
                    <w14:schemeClr w14:val="tx1"/>
                  </w14:solidFill>
                </w14:textFill>
              </w:rPr>
              <w:t>,000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2FC96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6B2004C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9759FA8">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FE998B4">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34CD7E79">
            <w:pPr>
              <w:kinsoku w:val="0"/>
              <w:autoSpaceDE w:val="0"/>
              <w:autoSpaceDN w:val="0"/>
              <w:adjustRightInd w:val="0"/>
              <w:snapToGrid w:val="0"/>
              <w:spacing w:before="141" w:line="301" w:lineRule="auto"/>
              <w:ind w:left="127" w:right="110" w:hanging="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9"/>
                <w:kern w:val="0"/>
                <w:sz w:val="20"/>
                <w:szCs w:val="20"/>
                <w:highlight w:val="none"/>
                <w14:textFill>
                  <w14:solidFill>
                    <w14:schemeClr w14:val="tx1"/>
                  </w14:solidFill>
                </w14:textFill>
              </w:rPr>
              <w:t>驻地环保设施不完善或设施缺乏维护而造成环境污染</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9"/>
                <w:kern w:val="0"/>
                <w:sz w:val="20"/>
                <w:szCs w:val="20"/>
                <w:highlight w:val="none"/>
                <w14:textFill>
                  <w14:solidFill>
                    <w14:schemeClr w14:val="tx1"/>
                  </w14:solidFill>
                </w14:textFill>
              </w:rPr>
              <w:t>，视严重程度违约金</w:t>
            </w:r>
            <w:r>
              <w:rPr>
                <w:rFonts w:ascii="宋体" w:hAnsi="宋体" w:cs="宋体"/>
                <w:snapToGrid w:val="0"/>
                <w:color w:val="000000" w:themeColor="text1"/>
                <w:spacing w:val="4"/>
                <w:kern w:val="0"/>
                <w:sz w:val="20"/>
                <w:szCs w:val="20"/>
                <w:highlight w:val="none"/>
                <w14:textFill>
                  <w14:solidFill>
                    <w14:schemeClr w14:val="tx1"/>
                  </w14:solidFill>
                </w14:textFill>
              </w:rPr>
              <w:t>1,000~10,000</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4"/>
                <w:kern w:val="0"/>
                <w:sz w:val="20"/>
                <w:szCs w:val="20"/>
                <w:highlight w:val="none"/>
                <w14:textFill>
                  <w14:solidFill>
                    <w14:schemeClr w14:val="tx1"/>
                  </w14:solidFill>
                </w14:textFill>
              </w:rPr>
              <w:t>元，并限期纠正。</w:t>
            </w:r>
          </w:p>
        </w:tc>
      </w:tr>
      <w:tr w14:paraId="2B155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FBD2DA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255E730">
            <w:pPr>
              <w:kinsoku w:val="0"/>
              <w:autoSpaceDE w:val="0"/>
              <w:autoSpaceDN w:val="0"/>
              <w:adjustRightInd w:val="0"/>
              <w:snapToGrid w:val="0"/>
              <w:spacing w:before="226"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7EBDA8D5">
            <w:pPr>
              <w:kinsoku w:val="0"/>
              <w:autoSpaceDE w:val="0"/>
              <w:autoSpaceDN w:val="0"/>
              <w:adjustRightInd w:val="0"/>
              <w:snapToGrid w:val="0"/>
              <w:spacing w:before="226" w:line="225" w:lineRule="auto"/>
              <w:ind w:left="12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临近居民区施工噪声超标，违约金</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元，并限期纠正。</w:t>
            </w:r>
          </w:p>
        </w:tc>
      </w:tr>
      <w:tr w14:paraId="38234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647C0E1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824BAE1">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DBA176">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6872E56F">
            <w:pPr>
              <w:kinsoku w:val="0"/>
              <w:autoSpaceDE w:val="0"/>
              <w:autoSpaceDN w:val="0"/>
              <w:adjustRightInd w:val="0"/>
              <w:snapToGrid w:val="0"/>
              <w:spacing w:before="141" w:line="301"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施工废料、废渣或弃土乱堆乱弃于施工现场而未运至弃土场，固废处理不符合行</w:t>
            </w:r>
            <w:r>
              <w:rPr>
                <w:rFonts w:ascii="宋体" w:hAnsi="宋体" w:cs="宋体"/>
                <w:snapToGrid w:val="0"/>
                <w:color w:val="000000" w:themeColor="text1"/>
                <w:spacing w:val="8"/>
                <w:kern w:val="0"/>
                <w:sz w:val="20"/>
                <w:szCs w:val="20"/>
                <w:highlight w:val="none"/>
                <w14:textFill>
                  <w14:solidFill>
                    <w14:schemeClr w14:val="tx1"/>
                  </w14:solidFill>
                </w14:textFill>
              </w:rPr>
              <w:t>业主管部门相关管理规定的，违约金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w:t>
            </w:r>
            <w:r>
              <w:rPr>
                <w:rFonts w:ascii="宋体" w:hAnsi="宋体" w:cs="宋体"/>
                <w:snapToGrid w:val="0"/>
                <w:color w:val="000000" w:themeColor="text1"/>
                <w:spacing w:val="7"/>
                <w:kern w:val="0"/>
                <w:sz w:val="20"/>
                <w:szCs w:val="20"/>
                <w:highlight w:val="none"/>
                <w14:textFill>
                  <w14:solidFill>
                    <w14:schemeClr w14:val="tx1"/>
                  </w14:solidFill>
                </w14:textFill>
              </w:rPr>
              <w:t>/次，并限期纠正。</w:t>
            </w:r>
          </w:p>
        </w:tc>
      </w:tr>
      <w:tr w14:paraId="3359D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D1DAEB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FC000F9">
            <w:pPr>
              <w:kinsoku w:val="0"/>
              <w:autoSpaceDE w:val="0"/>
              <w:autoSpaceDN w:val="0"/>
              <w:adjustRightInd w:val="0"/>
              <w:snapToGrid w:val="0"/>
              <w:spacing w:before="227"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072217C4">
            <w:pPr>
              <w:kinsoku w:val="0"/>
              <w:autoSpaceDE w:val="0"/>
              <w:autoSpaceDN w:val="0"/>
              <w:adjustRightInd w:val="0"/>
              <w:snapToGrid w:val="0"/>
              <w:spacing w:before="227"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施工废水排放未经处理而对周边造成污染，违约金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元，并限期纠正。</w:t>
            </w:r>
          </w:p>
        </w:tc>
      </w:tr>
      <w:tr w14:paraId="6868A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379D19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3D1FA2D">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tcPr>
          <w:p w14:paraId="37A119AD">
            <w:pPr>
              <w:kinsoku w:val="0"/>
              <w:autoSpaceDE w:val="0"/>
              <w:autoSpaceDN w:val="0"/>
              <w:adjustRightInd w:val="0"/>
              <w:snapToGrid w:val="0"/>
              <w:spacing w:before="226"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施工废气排放未经处理而对周边造成污染，违约金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元，并限期纠正。</w:t>
            </w:r>
          </w:p>
        </w:tc>
      </w:tr>
      <w:tr w14:paraId="45CDB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E37928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57924C0">
            <w:pPr>
              <w:kinsoku w:val="0"/>
              <w:autoSpaceDE w:val="0"/>
              <w:autoSpaceDN w:val="0"/>
              <w:adjustRightInd w:val="0"/>
              <w:snapToGrid w:val="0"/>
              <w:spacing w:before="22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08215CD6">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施工粉尘未有效控制而对周边造成污染，违约金</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元，并限期纠正。</w:t>
            </w:r>
          </w:p>
        </w:tc>
      </w:tr>
      <w:tr w14:paraId="2051D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E2002D4">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3FE5147">
            <w:pPr>
              <w:kinsoku w:val="0"/>
              <w:autoSpaceDE w:val="0"/>
              <w:autoSpaceDN w:val="0"/>
              <w:adjustRightInd w:val="0"/>
              <w:snapToGrid w:val="0"/>
              <w:spacing w:before="226"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2D87882E">
            <w:pPr>
              <w:kinsoku w:val="0"/>
              <w:autoSpaceDE w:val="0"/>
              <w:autoSpaceDN w:val="0"/>
              <w:adjustRightInd w:val="0"/>
              <w:snapToGrid w:val="0"/>
              <w:spacing w:before="226"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生活污水没有处理直接排放而造成污染，违约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59E5C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222A7A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3E19524">
            <w:pPr>
              <w:kinsoku w:val="0"/>
              <w:autoSpaceDE w:val="0"/>
              <w:autoSpaceDN w:val="0"/>
              <w:adjustRightInd w:val="0"/>
              <w:snapToGrid w:val="0"/>
              <w:spacing w:before="22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08C8C7EC">
            <w:pPr>
              <w:kinsoku w:val="0"/>
              <w:autoSpaceDE w:val="0"/>
              <w:autoSpaceDN w:val="0"/>
              <w:adjustRightInd w:val="0"/>
              <w:snapToGrid w:val="0"/>
              <w:spacing w:before="225"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生活垃圾没有集中且定期运走而造成污染，违约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元，并限期纠正。</w:t>
            </w:r>
          </w:p>
        </w:tc>
      </w:tr>
      <w:tr w14:paraId="7625B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83D2280">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160B5BE">
            <w:pPr>
              <w:kinsoku w:val="0"/>
              <w:autoSpaceDE w:val="0"/>
              <w:autoSpaceDN w:val="0"/>
              <w:adjustRightInd w:val="0"/>
              <w:snapToGrid w:val="0"/>
              <w:spacing w:before="227"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58D47BC3">
            <w:pPr>
              <w:kinsoku w:val="0"/>
              <w:autoSpaceDE w:val="0"/>
              <w:autoSpaceDN w:val="0"/>
              <w:adjustRightInd w:val="0"/>
              <w:snapToGrid w:val="0"/>
              <w:spacing w:before="226"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施工噪音超过有关的规定，违约金</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元/次，并限期纠正。</w:t>
            </w:r>
          </w:p>
        </w:tc>
      </w:tr>
      <w:tr w14:paraId="570BE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8571A3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9E23F4F">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FA85341">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4E22FFD8">
            <w:pPr>
              <w:kinsoku w:val="0"/>
              <w:autoSpaceDE w:val="0"/>
              <w:autoSpaceDN w:val="0"/>
              <w:adjustRightInd w:val="0"/>
              <w:snapToGrid w:val="0"/>
              <w:spacing w:before="142" w:line="301" w:lineRule="auto"/>
              <w:ind w:left="116" w:right="110" w:hanging="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环境敏感点未安装颗粒物在线监测设备、施工噪音在线监测设备的，每处违约金</w:t>
            </w:r>
            <w:r>
              <w:rPr>
                <w:rFonts w:ascii="宋体" w:hAnsi="宋体" w:cs="宋体"/>
                <w:snapToGrid w:val="0"/>
                <w:color w:val="000000" w:themeColor="text1"/>
                <w:spacing w:val="1"/>
                <w:kern w:val="0"/>
                <w:sz w:val="20"/>
                <w:szCs w:val="20"/>
                <w:highlight w:val="none"/>
                <w14:textFill>
                  <w14:solidFill>
                    <w14:schemeClr w14:val="tx1"/>
                  </w14:solidFill>
                </w14:textFill>
              </w:rPr>
              <w:t>5000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w:t>
            </w:r>
          </w:p>
        </w:tc>
      </w:tr>
      <w:tr w14:paraId="4E376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tcBorders>
          </w:tcPr>
          <w:p w14:paraId="4A117B5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A2DD00A">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CCC7A46">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D18F53B">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69F72EF1">
            <w:pPr>
              <w:kinsoku w:val="0"/>
              <w:autoSpaceDE w:val="0"/>
              <w:autoSpaceDN w:val="0"/>
              <w:adjustRightInd w:val="0"/>
              <w:snapToGrid w:val="0"/>
              <w:spacing w:before="142" w:line="335" w:lineRule="auto"/>
              <w:ind w:left="112" w:right="108" w:firstLine="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非道路移动机械未按规定办理编码登记、未按规定开展非道路移动机械排气烟度</w:t>
            </w:r>
            <w:r>
              <w:rPr>
                <w:rFonts w:ascii="宋体" w:hAnsi="宋体" w:cs="宋体"/>
                <w:snapToGrid w:val="0"/>
                <w:color w:val="000000" w:themeColor="text1"/>
                <w:spacing w:val="8"/>
                <w:kern w:val="0"/>
                <w:sz w:val="20"/>
                <w:szCs w:val="20"/>
                <w:highlight w:val="none"/>
                <w14:textFill>
                  <w14:solidFill>
                    <w14:schemeClr w14:val="tx1"/>
                  </w14:solidFill>
                </w14:textFill>
              </w:rPr>
              <w:t>检验、无环保信息牌，违约金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元/台；使用“</w:t>
            </w:r>
            <w:r>
              <w:rPr>
                <w:rFonts w:ascii="宋体" w:hAnsi="宋体" w:cs="宋体"/>
                <w:snapToGrid w:val="0"/>
                <w:color w:val="000000" w:themeColor="text1"/>
                <w:spacing w:val="-6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冒黑烟</w:t>
            </w:r>
            <w:r>
              <w:rPr>
                <w:rFonts w:ascii="宋体" w:hAnsi="宋体" w:cs="宋体"/>
                <w:snapToGrid w:val="0"/>
                <w:color w:val="000000" w:themeColor="text1"/>
                <w:spacing w:val="-6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”工</w:t>
            </w:r>
            <w:r>
              <w:rPr>
                <w:rFonts w:ascii="宋体" w:hAnsi="宋体" w:cs="宋体"/>
                <w:snapToGrid w:val="0"/>
                <w:color w:val="000000" w:themeColor="text1"/>
                <w:spacing w:val="7"/>
                <w:kern w:val="0"/>
                <w:sz w:val="20"/>
                <w:szCs w:val="20"/>
                <w:highlight w:val="none"/>
                <w14:textFill>
                  <w14:solidFill>
                    <w14:schemeClr w14:val="tx1"/>
                  </w14:solidFill>
                </w14:textFill>
              </w:rPr>
              <w:t>程机械的，或在政</w:t>
            </w:r>
            <w:r>
              <w:rPr>
                <w:rFonts w:ascii="宋体" w:hAnsi="宋体" w:cs="宋体"/>
                <w:snapToGrid w:val="0"/>
                <w:color w:val="000000" w:themeColor="text1"/>
                <w:spacing w:val="10"/>
                <w:kern w:val="0"/>
                <w:sz w:val="20"/>
                <w:szCs w:val="20"/>
                <w:highlight w:val="none"/>
                <w14:textFill>
                  <w14:solidFill>
                    <w14:schemeClr w14:val="tx1"/>
                  </w14:solidFill>
                </w14:textFill>
              </w:rPr>
              <w:t>府划定的禁用区内使用高排放非道路移动机械的，违约金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w:t>
            </w:r>
            <w:r>
              <w:rPr>
                <w:rFonts w:ascii="宋体" w:hAnsi="宋体" w:cs="宋体"/>
                <w:snapToGrid w:val="0"/>
                <w:color w:val="000000" w:themeColor="text1"/>
                <w:spacing w:val="9"/>
                <w:kern w:val="0"/>
                <w:sz w:val="20"/>
                <w:szCs w:val="20"/>
                <w:highlight w:val="none"/>
                <w14:textFill>
                  <w14:solidFill>
                    <w14:schemeClr w14:val="tx1"/>
                  </w14:solidFill>
                </w14:textFill>
              </w:rPr>
              <w:t>台，并立即清</w:t>
            </w:r>
            <w:r>
              <w:rPr>
                <w:rFonts w:ascii="宋体" w:hAnsi="宋体" w:cs="宋体"/>
                <w:snapToGrid w:val="0"/>
                <w:color w:val="000000" w:themeColor="text1"/>
                <w:kern w:val="0"/>
                <w:sz w:val="20"/>
                <w:szCs w:val="20"/>
                <w:highlight w:val="none"/>
                <w14:textFill>
                  <w14:solidFill>
                    <w14:schemeClr w14:val="tx1"/>
                  </w14:solidFill>
                </w14:textFill>
              </w:rPr>
              <w:t>退。</w:t>
            </w:r>
          </w:p>
        </w:tc>
      </w:tr>
      <w:tr w14:paraId="2B474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vAlign w:val="center"/>
          </w:tcPr>
          <w:p w14:paraId="57C1EF25">
            <w:pPr>
              <w:widowControl/>
              <w:kinsoku w:val="0"/>
              <w:autoSpaceDE w:val="0"/>
              <w:autoSpaceDN w:val="0"/>
              <w:adjustRightInd w:val="0"/>
              <w:snapToGrid w:val="0"/>
              <w:ind w:firstLine="17"/>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8"/>
                <w:kern w:val="0"/>
                <w:sz w:val="20"/>
                <w:szCs w:val="20"/>
                <w:highlight w:val="none"/>
                <w:lang w:eastAsia="en-US"/>
                <w14:textFill>
                  <w14:solidFill>
                    <w14:schemeClr w14:val="tx1"/>
                  </w14:solidFill>
                </w14:textFill>
              </w:rPr>
              <w:t>内业</w:t>
            </w:r>
            <w:r>
              <w:rPr>
                <w:rFonts w:ascii="宋体" w:hAnsi="宋体" w:cs="宋体"/>
                <w:snapToGrid w:val="0"/>
                <w:color w:val="000000" w:themeColor="text1"/>
                <w:kern w:val="0"/>
                <w:sz w:val="20"/>
                <w:szCs w:val="20"/>
                <w:highlight w:val="none"/>
                <w:lang w:eastAsia="en-US"/>
                <w14:textFill>
                  <w14:solidFill>
                    <w14:schemeClr w14:val="tx1"/>
                  </w14:solidFill>
                </w14:textFill>
              </w:rPr>
              <w:t>资料</w:t>
            </w:r>
          </w:p>
        </w:tc>
        <w:tc>
          <w:tcPr>
            <w:tcW w:w="839" w:type="dxa"/>
          </w:tcPr>
          <w:p w14:paraId="36AFAB8C">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075E020">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679E8454">
            <w:pPr>
              <w:kinsoku w:val="0"/>
              <w:autoSpaceDE w:val="0"/>
              <w:autoSpaceDN w:val="0"/>
              <w:adjustRightInd w:val="0"/>
              <w:snapToGrid w:val="0"/>
              <w:spacing w:before="143" w:line="300" w:lineRule="auto"/>
              <w:ind w:left="119" w:right="108" w:hanging="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开工前须结合工程特点进行分项、分部和单位工程划分，现场质量检查、质量验</w:t>
            </w:r>
            <w:r>
              <w:rPr>
                <w:rFonts w:ascii="宋体" w:hAnsi="宋体" w:cs="宋体"/>
                <w:snapToGrid w:val="0"/>
                <w:color w:val="000000" w:themeColor="text1"/>
                <w:spacing w:val="7"/>
                <w:kern w:val="0"/>
                <w:sz w:val="20"/>
                <w:szCs w:val="20"/>
                <w:highlight w:val="none"/>
                <w14:textFill>
                  <w14:solidFill>
                    <w14:schemeClr w14:val="tx1"/>
                  </w14:solidFill>
                </w14:textFill>
              </w:rPr>
              <w:t>收资料按照划分进行归纳收集，违者违约金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1CDBD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4C0BE9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3EC0F5E">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399855A">
            <w:pPr>
              <w:kinsoku w:val="0"/>
              <w:autoSpaceDE w:val="0"/>
              <w:autoSpaceDN w:val="0"/>
              <w:adjustRightInd w:val="0"/>
              <w:snapToGrid w:val="0"/>
              <w:spacing w:before="65"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0629F4E2">
            <w:pPr>
              <w:kinsoku w:val="0"/>
              <w:autoSpaceDE w:val="0"/>
              <w:autoSpaceDN w:val="0"/>
              <w:adjustRightInd w:val="0"/>
              <w:snapToGrid w:val="0"/>
              <w:spacing w:before="145" w:line="300" w:lineRule="auto"/>
              <w:ind w:left="130" w:right="108" w:firstLine="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内业原始资料弄虚作假的，违约金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元/次；不及时填写的，填写不完整规范</w:t>
            </w:r>
            <w:r>
              <w:rPr>
                <w:rFonts w:ascii="宋体" w:hAnsi="宋体" w:cs="宋体"/>
                <w:snapToGrid w:val="0"/>
                <w:color w:val="000000" w:themeColor="text1"/>
                <w:spacing w:val="2"/>
                <w:kern w:val="0"/>
                <w:sz w:val="20"/>
                <w:szCs w:val="20"/>
                <w:highlight w:val="none"/>
                <w14:textFill>
                  <w14:solidFill>
                    <w14:schemeClr w14:val="tx1"/>
                  </w14:solidFill>
                </w14:textFill>
              </w:rPr>
              <w:t>的，违约金</w:t>
            </w:r>
            <w:r>
              <w:rPr>
                <w:rFonts w:ascii="宋体" w:hAnsi="宋体" w:cs="宋体"/>
                <w:snapToGrid w:val="0"/>
                <w:color w:val="000000" w:themeColor="text1"/>
                <w:spacing w:val="-1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074AF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60D32E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2EB567F">
            <w:pPr>
              <w:kinsoku w:val="0"/>
              <w:autoSpaceDE w:val="0"/>
              <w:autoSpaceDN w:val="0"/>
              <w:adjustRightInd w:val="0"/>
              <w:snapToGrid w:val="0"/>
              <w:spacing w:before="227"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78FC7CD1">
            <w:pPr>
              <w:kinsoku w:val="0"/>
              <w:autoSpaceDE w:val="0"/>
              <w:autoSpaceDN w:val="0"/>
              <w:adjustRightInd w:val="0"/>
              <w:snapToGrid w:val="0"/>
              <w:spacing w:before="227" w:line="227" w:lineRule="auto"/>
              <w:ind w:left="13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内业原始资料和整理资料未按有关要求采用文件</w:t>
            </w:r>
            <w:r>
              <w:rPr>
                <w:rFonts w:ascii="宋体" w:hAnsi="宋体" w:cs="宋体"/>
                <w:snapToGrid w:val="0"/>
                <w:color w:val="000000" w:themeColor="text1"/>
                <w:spacing w:val="7"/>
                <w:kern w:val="0"/>
                <w:sz w:val="20"/>
                <w:szCs w:val="20"/>
                <w:highlight w:val="none"/>
                <w14:textFill>
                  <w14:solidFill>
                    <w14:schemeClr w14:val="tx1"/>
                  </w14:solidFill>
                </w14:textFill>
              </w:rPr>
              <w:t>盒及时归档，违约金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7B745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76C4532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1383AD5">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1A715B6">
            <w:pPr>
              <w:kinsoku w:val="0"/>
              <w:autoSpaceDE w:val="0"/>
              <w:autoSpaceDN w:val="0"/>
              <w:adjustRightInd w:val="0"/>
              <w:snapToGrid w:val="0"/>
              <w:spacing w:before="65"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7865B4EC">
            <w:pPr>
              <w:kinsoku w:val="0"/>
              <w:autoSpaceDE w:val="0"/>
              <w:autoSpaceDN w:val="0"/>
              <w:adjustRightInd w:val="0"/>
              <w:snapToGrid w:val="0"/>
              <w:spacing w:before="144" w:line="301" w:lineRule="auto"/>
              <w:ind w:left="112" w:right="108"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分部工程完成时，须将原始资料、施工记录、进度照片等资料整理归纳，装订成</w:t>
            </w:r>
            <w:r>
              <w:rPr>
                <w:rFonts w:ascii="宋体" w:hAnsi="宋体" w:cs="宋体"/>
                <w:snapToGrid w:val="0"/>
                <w:color w:val="000000" w:themeColor="text1"/>
                <w:spacing w:val="5"/>
                <w:kern w:val="0"/>
                <w:sz w:val="20"/>
                <w:szCs w:val="20"/>
                <w:highlight w:val="none"/>
                <w14:textFill>
                  <w14:solidFill>
                    <w14:schemeClr w14:val="tx1"/>
                  </w14:solidFill>
                </w14:textFill>
              </w:rPr>
              <w:t>册，违者违约金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tc>
      </w:tr>
      <w:tr w14:paraId="54DD5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39CC8AF5">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4FF82D19">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25CFFE96">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3DE20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346B6BE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371B6C65">
            <w:pPr>
              <w:kinsoku w:val="0"/>
              <w:autoSpaceDE w:val="0"/>
              <w:autoSpaceDN w:val="0"/>
              <w:adjustRightInd w:val="0"/>
              <w:snapToGrid w:val="0"/>
              <w:spacing w:before="223"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392B3E90">
            <w:pPr>
              <w:kinsoku w:val="0"/>
              <w:autoSpaceDE w:val="0"/>
              <w:autoSpaceDN w:val="0"/>
              <w:adjustRightInd w:val="0"/>
              <w:snapToGrid w:val="0"/>
              <w:spacing w:before="222"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试验设备不齐全，未建立试验台帐，违约金</w:t>
            </w:r>
            <w:r>
              <w:rPr>
                <w:rFonts w:ascii="宋体" w:hAnsi="宋体" w:cs="宋体"/>
                <w:snapToGrid w:val="0"/>
                <w:color w:val="000000" w:themeColor="text1"/>
                <w:spacing w:val="-2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6CFE7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1" w:type="dxa"/>
            <w:vMerge w:val="continue"/>
            <w:tcBorders>
              <w:top w:val="nil"/>
            </w:tcBorders>
          </w:tcPr>
          <w:p w14:paraId="5F260D5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A08F097">
            <w:pPr>
              <w:kinsoku w:val="0"/>
              <w:autoSpaceDE w:val="0"/>
              <w:autoSpaceDN w:val="0"/>
              <w:adjustRightInd w:val="0"/>
              <w:snapToGrid w:val="0"/>
              <w:spacing w:before="224" w:line="269"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336C00FF">
            <w:pPr>
              <w:kinsoku w:val="0"/>
              <w:autoSpaceDE w:val="0"/>
              <w:autoSpaceDN w:val="0"/>
              <w:adjustRightInd w:val="0"/>
              <w:snapToGrid w:val="0"/>
              <w:spacing w:before="224" w:line="228" w:lineRule="auto"/>
              <w:ind w:left="12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隐蔽工程的施工过程和工序验收影像资料未留存的，违约金</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5AB31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3FC58D38">
            <w:pPr>
              <w:kinsoku w:val="0"/>
              <w:autoSpaceDE w:val="0"/>
              <w:autoSpaceDN w:val="0"/>
              <w:adjustRightInd w:val="0"/>
              <w:snapToGrid w:val="0"/>
              <w:spacing w:before="65" w:line="228" w:lineRule="auto"/>
              <w:ind w:left="211"/>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其他</w:t>
            </w:r>
          </w:p>
        </w:tc>
        <w:tc>
          <w:tcPr>
            <w:tcW w:w="839" w:type="dxa"/>
          </w:tcPr>
          <w:p w14:paraId="05D28FCD">
            <w:pPr>
              <w:kinsoku w:val="0"/>
              <w:autoSpaceDE w:val="0"/>
              <w:autoSpaceDN w:val="0"/>
              <w:adjustRightInd w:val="0"/>
              <w:snapToGrid w:val="0"/>
              <w:spacing w:before="224"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790DCC01">
            <w:pPr>
              <w:kinsoku w:val="0"/>
              <w:autoSpaceDE w:val="0"/>
              <w:autoSpaceDN w:val="0"/>
              <w:adjustRightInd w:val="0"/>
              <w:snapToGrid w:val="0"/>
              <w:spacing w:before="224"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不按照有关规定进行技术交底就进行施工作业的，违约金</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3601F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3429B0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BA66965">
            <w:pPr>
              <w:kinsoku w:val="0"/>
              <w:autoSpaceDE w:val="0"/>
              <w:autoSpaceDN w:val="0"/>
              <w:adjustRightInd w:val="0"/>
              <w:snapToGrid w:val="0"/>
              <w:spacing w:before="226"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288039BD">
            <w:pPr>
              <w:kinsoku w:val="0"/>
              <w:autoSpaceDE w:val="0"/>
              <w:autoSpaceDN w:val="0"/>
              <w:adjustRightInd w:val="0"/>
              <w:snapToGrid w:val="0"/>
              <w:spacing w:before="225" w:line="225" w:lineRule="auto"/>
              <w:ind w:left="1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上一道工序未经监理人签认就进行下一道工序施工的，违约金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5,00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43A8E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44985BB">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9113B6B">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12E316A">
            <w:pPr>
              <w:kinsoku w:val="0"/>
              <w:autoSpaceDE w:val="0"/>
              <w:autoSpaceDN w:val="0"/>
              <w:adjustRightInd w:val="0"/>
              <w:snapToGrid w:val="0"/>
              <w:spacing w:before="65"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4CD7136A">
            <w:pPr>
              <w:kinsoku w:val="0"/>
              <w:autoSpaceDE w:val="0"/>
              <w:autoSpaceDN w:val="0"/>
              <w:adjustRightInd w:val="0"/>
              <w:snapToGrid w:val="0"/>
              <w:spacing w:before="144" w:line="300" w:lineRule="auto"/>
              <w:ind w:left="129" w:right="108" w:hanging="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要求返工的工程未在规定的时间内进行返工或要求清除出施工现场材料未在规定</w:t>
            </w:r>
            <w:r>
              <w:rPr>
                <w:rFonts w:ascii="宋体" w:hAnsi="宋体" w:cs="宋体"/>
                <w:snapToGrid w:val="0"/>
                <w:color w:val="000000" w:themeColor="text1"/>
                <w:spacing w:val="6"/>
                <w:kern w:val="0"/>
                <w:sz w:val="20"/>
                <w:szCs w:val="20"/>
                <w:highlight w:val="none"/>
                <w14:textFill>
                  <w14:solidFill>
                    <w14:schemeClr w14:val="tx1"/>
                  </w14:solidFill>
                </w14:textFill>
              </w:rPr>
              <w:t>的时间内清除出场的，每延误一天违约金</w:t>
            </w:r>
            <w:r>
              <w:rPr>
                <w:rFonts w:ascii="宋体" w:hAnsi="宋体" w:cs="宋体"/>
                <w:snapToGrid w:val="0"/>
                <w:color w:val="000000" w:themeColor="text1"/>
                <w:spacing w:val="-2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p>
        </w:tc>
      </w:tr>
      <w:tr w14:paraId="0808F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3FC1C45">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F475F26">
            <w:pPr>
              <w:kinsoku w:val="0"/>
              <w:autoSpaceDE w:val="0"/>
              <w:autoSpaceDN w:val="0"/>
              <w:adjustRightInd w:val="0"/>
              <w:snapToGrid w:val="0"/>
              <w:spacing w:before="227"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47CBA8A4">
            <w:pPr>
              <w:kinsoku w:val="0"/>
              <w:autoSpaceDE w:val="0"/>
              <w:autoSpaceDN w:val="0"/>
              <w:adjustRightInd w:val="0"/>
              <w:snapToGrid w:val="0"/>
              <w:spacing w:before="227" w:line="225"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水泥、钢筋、钢筋笼等存放不满足要求的，违约金</w:t>
            </w:r>
            <w:r>
              <w:rPr>
                <w:rFonts w:ascii="宋体" w:hAnsi="宋体" w:cs="宋体"/>
                <w:snapToGrid w:val="0"/>
                <w:color w:val="000000" w:themeColor="text1"/>
                <w:spacing w:val="-1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3CE1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62C623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19C9ED7">
            <w:pPr>
              <w:kinsoku w:val="0"/>
              <w:autoSpaceDE w:val="0"/>
              <w:autoSpaceDN w:val="0"/>
              <w:adjustRightInd w:val="0"/>
              <w:snapToGrid w:val="0"/>
              <w:spacing w:before="226"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41AA73BC">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所有桩标须加固保护，树立易于识别得标志，违者违约金</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2,00</w:t>
            </w:r>
            <w:r>
              <w:rPr>
                <w:rFonts w:ascii="宋体" w:hAnsi="宋体" w:cs="宋体"/>
                <w:snapToGrid w:val="0"/>
                <w:color w:val="000000" w:themeColor="text1"/>
                <w:spacing w:val="7"/>
                <w:kern w:val="0"/>
                <w:sz w:val="20"/>
                <w:szCs w:val="20"/>
                <w:highlight w:val="none"/>
                <w14:textFill>
                  <w14:solidFill>
                    <w14:schemeClr w14:val="tx1"/>
                  </w14:solidFill>
                </w14:textFill>
              </w:rPr>
              <w:t>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元/处。</w:t>
            </w:r>
          </w:p>
        </w:tc>
      </w:tr>
      <w:tr w14:paraId="5C5B7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1" w:type="dxa"/>
            <w:vMerge w:val="continue"/>
            <w:tcBorders>
              <w:top w:val="nil"/>
              <w:bottom w:val="nil"/>
            </w:tcBorders>
          </w:tcPr>
          <w:p w14:paraId="5034CFA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EDF072B">
            <w:pPr>
              <w:kinsoku w:val="0"/>
              <w:autoSpaceDE w:val="0"/>
              <w:autoSpaceDN w:val="0"/>
              <w:adjustRightInd w:val="0"/>
              <w:snapToGrid w:val="0"/>
              <w:spacing w:before="225"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5AB67DA8">
            <w:pPr>
              <w:kinsoku w:val="0"/>
              <w:autoSpaceDE w:val="0"/>
              <w:autoSpaceDN w:val="0"/>
              <w:adjustRightInd w:val="0"/>
              <w:snapToGrid w:val="0"/>
              <w:spacing w:before="225" w:line="225"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试验及检测仪器未标定或标定不合格仍使用的，违约金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2,0</w:t>
            </w:r>
            <w:r>
              <w:rPr>
                <w:rFonts w:ascii="宋体" w:hAnsi="宋体" w:cs="宋体"/>
                <w:snapToGrid w:val="0"/>
                <w:color w:val="000000" w:themeColor="text1"/>
                <w:spacing w:val="7"/>
                <w:kern w:val="0"/>
                <w:sz w:val="20"/>
                <w:szCs w:val="20"/>
                <w:highlight w:val="none"/>
                <w14:textFill>
                  <w14:solidFill>
                    <w14:schemeClr w14:val="tx1"/>
                  </w14:solidFill>
                </w14:textFill>
              </w:rPr>
              <w:t>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5AC32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264CAA5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253F019">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9AFDECD">
            <w:pPr>
              <w:kinsoku w:val="0"/>
              <w:autoSpaceDE w:val="0"/>
              <w:autoSpaceDN w:val="0"/>
              <w:adjustRightInd w:val="0"/>
              <w:snapToGrid w:val="0"/>
              <w:spacing w:before="65"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49B38E88">
            <w:pPr>
              <w:kinsoku w:val="0"/>
              <w:autoSpaceDE w:val="0"/>
              <w:autoSpaceDN w:val="0"/>
              <w:adjustRightInd w:val="0"/>
              <w:snapToGrid w:val="0"/>
              <w:spacing w:before="144" w:line="323" w:lineRule="auto"/>
              <w:ind w:left="113" w:right="108" w:hanging="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检验项目、方法、频率，没有按设计或规范要求执行；原材料送检和其他自检项目的试验（如钢筋焊接，土的重击实试验）不及时，频率未达到规定要求，违约</w:t>
            </w:r>
            <w:r>
              <w:rPr>
                <w:rFonts w:ascii="宋体" w:hAnsi="宋体" w:cs="宋体"/>
                <w:snapToGrid w:val="0"/>
                <w:color w:val="000000" w:themeColor="text1"/>
                <w:spacing w:val="2"/>
                <w:kern w:val="0"/>
                <w:sz w:val="20"/>
                <w:szCs w:val="20"/>
                <w:highlight w:val="none"/>
                <w14:textFill>
                  <w14:solidFill>
                    <w14:schemeClr w14:val="tx1"/>
                  </w14:solidFill>
                </w14:textFill>
              </w:rPr>
              <w:t>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2,000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5CF2E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39E1D93">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C771CB9">
            <w:pPr>
              <w:kinsoku w:val="0"/>
              <w:autoSpaceDE w:val="0"/>
              <w:autoSpaceDN w:val="0"/>
              <w:adjustRightInd w:val="0"/>
              <w:snapToGrid w:val="0"/>
              <w:spacing w:before="228"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2066E7B4">
            <w:pPr>
              <w:kinsoku w:val="0"/>
              <w:autoSpaceDE w:val="0"/>
              <w:autoSpaceDN w:val="0"/>
              <w:adjustRightInd w:val="0"/>
              <w:snapToGrid w:val="0"/>
              <w:spacing w:before="228" w:line="225" w:lineRule="auto"/>
              <w:ind w:left="1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未经检验合格的材料用于施工的，违约金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23000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831" w:type="dxa"/>
            <w:vMerge w:val="continue"/>
            <w:tcBorders>
              <w:top w:val="nil"/>
            </w:tcBorders>
          </w:tcPr>
          <w:p w14:paraId="1258BEA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64D89A0">
            <w:pPr>
              <w:widowControl/>
              <w:kinsoku w:val="0"/>
              <w:autoSpaceDE w:val="0"/>
              <w:autoSpaceDN w:val="0"/>
              <w:adjustRightInd w:val="0"/>
              <w:snapToGrid w:val="0"/>
              <w:spacing w:line="4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54DF90B">
            <w:pPr>
              <w:kinsoku w:val="0"/>
              <w:autoSpaceDE w:val="0"/>
              <w:autoSpaceDN w:val="0"/>
              <w:adjustRightInd w:val="0"/>
              <w:snapToGrid w:val="0"/>
              <w:spacing w:before="65" w:line="269"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3C204F9B">
            <w:pPr>
              <w:kinsoku w:val="0"/>
              <w:autoSpaceDE w:val="0"/>
              <w:autoSpaceDN w:val="0"/>
              <w:adjustRightInd w:val="0"/>
              <w:snapToGrid w:val="0"/>
              <w:spacing w:before="146" w:line="324"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其他不按照《广东省公路施工标准化指南》和《广东省高速公路工程施工组织设</w:t>
            </w:r>
            <w:r>
              <w:rPr>
                <w:rFonts w:ascii="宋体" w:hAnsi="宋体" w:cs="宋体"/>
                <w:snapToGrid w:val="0"/>
                <w:color w:val="000000" w:themeColor="text1"/>
                <w:spacing w:val="27"/>
                <w:kern w:val="0"/>
                <w:sz w:val="20"/>
                <w:szCs w:val="20"/>
                <w:highlight w:val="none"/>
                <w14:textFill>
                  <w14:solidFill>
                    <w14:schemeClr w14:val="tx1"/>
                  </w14:solidFill>
                </w14:textFill>
              </w:rPr>
              <w:t>计和施工方案标准化管理指南》</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7"/>
                <w:kern w:val="0"/>
                <w:sz w:val="20"/>
                <w:szCs w:val="20"/>
                <w:highlight w:val="none"/>
                <w14:textFill>
                  <w14:solidFill>
                    <w14:schemeClr w14:val="tx1"/>
                  </w14:solidFill>
                </w14:textFill>
              </w:rPr>
              <w:t>有关规定进行管理或施工作业的</w:t>
            </w:r>
            <w:r>
              <w:rPr>
                <w:rFonts w:ascii="宋体" w:hAnsi="宋体" w:cs="宋体"/>
                <w:snapToGrid w:val="0"/>
                <w:color w:val="000000" w:themeColor="text1"/>
                <w:spacing w:val="-5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7"/>
                <w:kern w:val="0"/>
                <w:sz w:val="20"/>
                <w:szCs w:val="20"/>
                <w:highlight w:val="none"/>
                <w14:textFill>
                  <w14:solidFill>
                    <w14:schemeClr w14:val="tx1"/>
                  </w14:solidFill>
                </w14:textFill>
              </w:rPr>
              <w:t>，违约金</w:t>
            </w:r>
            <w:r>
              <w:rPr>
                <w:rFonts w:ascii="宋体" w:hAnsi="宋体" w:cs="宋体"/>
                <w:snapToGrid w:val="0"/>
                <w:color w:val="000000" w:themeColor="text1"/>
                <w:spacing w:val="5"/>
                <w:kern w:val="0"/>
                <w:sz w:val="20"/>
                <w:szCs w:val="20"/>
                <w:highlight w:val="none"/>
                <w14:textFill>
                  <w14:solidFill>
                    <w14:schemeClr w14:val="tx1"/>
                  </w14:solidFill>
                </w14:textFill>
              </w:rPr>
              <w:t>1,000--50,000</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元/次，并限期纠正。</w:t>
            </w:r>
          </w:p>
        </w:tc>
      </w:tr>
    </w:tbl>
    <w:p w14:paraId="5BAD2F98">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C42A1EF">
      <w:pPr>
        <w:rPr>
          <w:color w:val="000000" w:themeColor="text1"/>
          <w:highlight w:val="none"/>
          <w14:textFill>
            <w14:solidFill>
              <w14:schemeClr w14:val="tx1"/>
            </w14:solidFill>
          </w14:textFill>
        </w:rPr>
        <w:sectPr>
          <w:footerReference r:id="rId80" w:type="default"/>
          <w:pgSz w:w="11906" w:h="16839"/>
          <w:pgMar w:top="1182" w:right="1304" w:bottom="1168" w:left="1304" w:header="849" w:footer="934" w:gutter="0"/>
          <w:cols w:space="720" w:num="1"/>
        </w:sectPr>
      </w:pPr>
    </w:p>
    <w:p w14:paraId="6CE89F7A">
      <w:pPr>
        <w:pStyle w:val="83"/>
        <w:rPr>
          <w:rFonts w:ascii="宋体" w:cs="宋体"/>
          <w:color w:val="000000" w:themeColor="text1"/>
          <w:sz w:val="24"/>
          <w:highlight w:val="none"/>
          <w14:textFill>
            <w14:solidFill>
              <w14:schemeClr w14:val="tx1"/>
            </w14:solidFill>
          </w14:textFill>
        </w:rPr>
      </w:pPr>
    </w:p>
    <w:p w14:paraId="573091AD">
      <w:pPr>
        <w:widowControl/>
        <w:kinsoku w:val="0"/>
        <w:autoSpaceDE w:val="0"/>
        <w:autoSpaceDN w:val="0"/>
        <w:adjustRightInd w:val="0"/>
        <w:snapToGrid w:val="0"/>
        <w:spacing w:before="94" w:line="226" w:lineRule="auto"/>
        <w:ind w:left="7" w:hanging="7"/>
        <w:jc w:val="center"/>
        <w:textAlignment w:val="baseline"/>
        <w:rPr>
          <w:rFonts w:hint="eastAsia" w:ascii="宋体" w:hAnsi="宋体" w:cs="宋体"/>
          <w:b/>
          <w:bCs/>
          <w:snapToGrid w:val="0"/>
          <w:color w:val="000000" w:themeColor="text1"/>
          <w:spacing w:val="16"/>
          <w:kern w:val="0"/>
          <w:sz w:val="28"/>
          <w:szCs w:val="28"/>
          <w:highlight w:val="none"/>
          <w14:textFill>
            <w14:solidFill>
              <w14:schemeClr w14:val="tx1"/>
            </w14:solidFill>
          </w14:textFill>
        </w:rPr>
      </w:pPr>
      <w:r>
        <w:rPr>
          <w:rFonts w:hint="eastAsia" w:ascii="宋体" w:hAnsi="宋体" w:cs="宋体"/>
          <w:b/>
          <w:bCs/>
          <w:snapToGrid w:val="0"/>
          <w:color w:val="000000" w:themeColor="text1"/>
          <w:spacing w:val="16"/>
          <w:kern w:val="0"/>
          <w:sz w:val="28"/>
          <w:szCs w:val="28"/>
          <w:highlight w:val="none"/>
          <w14:textFill>
            <w14:solidFill>
              <w14:schemeClr w14:val="tx1"/>
            </w14:solidFill>
          </w14:textFill>
        </w:rPr>
        <w:t>工程质量、安全及文明施工违约项目一览表</w:t>
      </w:r>
    </w:p>
    <w:p w14:paraId="32A418B6">
      <w:pPr>
        <w:pStyle w:val="83"/>
        <w:jc w:val="center"/>
        <w:rPr>
          <w:rFonts w:ascii="宋体" w:cs="宋体"/>
          <w:color w:val="000000" w:themeColor="text1"/>
          <w:sz w:val="24"/>
          <w:highlight w:val="none"/>
          <w14:textFill>
            <w14:solidFill>
              <w14:schemeClr w14:val="tx1"/>
            </w14:solidFill>
          </w14:textFill>
        </w:rPr>
      </w:pPr>
      <w:r>
        <w:rPr>
          <w:rFonts w:hint="eastAsia" w:ascii="宋体" w:hAnsi="宋体" w:cs="宋体"/>
          <w:b/>
          <w:bCs/>
          <w:snapToGrid w:val="0"/>
          <w:color w:val="000000" w:themeColor="text1"/>
          <w:spacing w:val="16"/>
          <w:kern w:val="0"/>
          <w:sz w:val="28"/>
          <w:szCs w:val="28"/>
          <w:highlight w:val="none"/>
          <w14:textFill>
            <w14:solidFill>
              <w14:schemeClr w14:val="tx1"/>
            </w14:solidFill>
          </w14:textFill>
        </w:rPr>
        <w:t>(仅适用于房建工程)</w:t>
      </w:r>
    </w:p>
    <w:p w14:paraId="08B7968D">
      <w:pPr>
        <w:widowControl/>
        <w:kinsoku w:val="0"/>
        <w:autoSpaceDE w:val="0"/>
        <w:autoSpaceDN w:val="0"/>
        <w:adjustRightInd w:val="0"/>
        <w:snapToGrid w:val="0"/>
        <w:spacing w:line="92" w:lineRule="exact"/>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29F0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545C317F">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3F6467BE">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12FEE223">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55AAE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750304A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钢筋</w:t>
            </w:r>
          </w:p>
          <w:p w14:paraId="6A920D5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混凝</w:t>
            </w:r>
          </w:p>
          <w:p w14:paraId="7DD17D9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土工</w:t>
            </w:r>
          </w:p>
          <w:p w14:paraId="141A5B6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程</w:t>
            </w:r>
          </w:p>
        </w:tc>
        <w:tc>
          <w:tcPr>
            <w:tcW w:w="839" w:type="dxa"/>
          </w:tcPr>
          <w:p w14:paraId="7158AE09">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DE56E57">
            <w:pPr>
              <w:kinsoku w:val="0"/>
              <w:autoSpaceDE w:val="0"/>
              <w:autoSpaceDN w:val="0"/>
              <w:adjustRightInd w:val="0"/>
              <w:snapToGrid w:val="0"/>
              <w:spacing w:before="65" w:line="270" w:lineRule="exact"/>
              <w:ind w:left="38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1</w:t>
            </w:r>
          </w:p>
        </w:tc>
        <w:tc>
          <w:tcPr>
            <w:tcW w:w="7622" w:type="dxa"/>
          </w:tcPr>
          <w:p w14:paraId="1CB1DF11">
            <w:pPr>
              <w:kinsoku w:val="0"/>
              <w:autoSpaceDE w:val="0"/>
              <w:autoSpaceDN w:val="0"/>
              <w:adjustRightInd w:val="0"/>
              <w:snapToGrid w:val="0"/>
              <w:spacing w:before="140" w:line="302" w:lineRule="auto"/>
              <w:ind w:left="128" w:right="110" w:hanging="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钢筋制安施工过程中，如出现人为烧断受力主筋，或采用热弯钢筋情况，违约金</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元/处。</w:t>
            </w:r>
          </w:p>
        </w:tc>
      </w:tr>
      <w:tr w14:paraId="577BE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vAlign w:val="center"/>
          </w:tcPr>
          <w:p w14:paraId="3268878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ECBB4D8">
            <w:pPr>
              <w:kinsoku w:val="0"/>
              <w:autoSpaceDE w:val="0"/>
              <w:autoSpaceDN w:val="0"/>
              <w:adjustRightInd w:val="0"/>
              <w:snapToGrid w:val="0"/>
              <w:spacing w:before="224" w:line="270" w:lineRule="exact"/>
              <w:ind w:left="37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2</w:t>
            </w:r>
          </w:p>
        </w:tc>
        <w:tc>
          <w:tcPr>
            <w:tcW w:w="7622" w:type="dxa"/>
          </w:tcPr>
          <w:p w14:paraId="69F6271A">
            <w:pPr>
              <w:kinsoku w:val="0"/>
              <w:autoSpaceDE w:val="0"/>
              <w:autoSpaceDN w:val="0"/>
              <w:adjustRightInd w:val="0"/>
              <w:snapToGrid w:val="0"/>
              <w:spacing w:before="224"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混凝土强度未达到</w:t>
            </w:r>
            <w:r>
              <w:rPr>
                <w:rFonts w:ascii="宋体" w:hAnsi="宋体" w:cs="宋体"/>
                <w:snapToGrid w:val="0"/>
                <w:color w:val="000000" w:themeColor="text1"/>
                <w:spacing w:val="-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1.2N/平方毫米即上人卸物，违约金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4EE38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tcBorders>
            <w:vAlign w:val="center"/>
          </w:tcPr>
          <w:p w14:paraId="6F0384D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87E26D7">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21D686B">
            <w:pPr>
              <w:kinsoku w:val="0"/>
              <w:autoSpaceDE w:val="0"/>
              <w:autoSpaceDN w:val="0"/>
              <w:adjustRightInd w:val="0"/>
              <w:snapToGrid w:val="0"/>
              <w:spacing w:before="65" w:line="268"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3</w:t>
            </w:r>
          </w:p>
        </w:tc>
        <w:tc>
          <w:tcPr>
            <w:tcW w:w="7622" w:type="dxa"/>
          </w:tcPr>
          <w:p w14:paraId="702A4834">
            <w:pPr>
              <w:kinsoku w:val="0"/>
              <w:autoSpaceDE w:val="0"/>
              <w:autoSpaceDN w:val="0"/>
              <w:adjustRightInd w:val="0"/>
              <w:snapToGrid w:val="0"/>
              <w:spacing w:before="142" w:line="301" w:lineRule="auto"/>
              <w:ind w:left="114" w:right="11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混凝土养护不善造成质量隐患，返工费用由施工单位负责外，</w:t>
            </w:r>
            <w:r>
              <w:rPr>
                <w:rFonts w:ascii="宋体" w:hAnsi="宋体" w:cs="宋体"/>
                <w:snapToGrid w:val="0"/>
                <w:color w:val="000000" w:themeColor="text1"/>
                <w:spacing w:val="8"/>
                <w:kern w:val="0"/>
                <w:sz w:val="20"/>
                <w:szCs w:val="20"/>
                <w:highlight w:val="none"/>
                <w14:textFill>
                  <w14:solidFill>
                    <w14:schemeClr w14:val="tx1"/>
                  </w14:solidFill>
                </w14:textFill>
              </w:rPr>
              <w:t>另追加违约金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3000</w:t>
            </w:r>
            <w:r>
              <w:rPr>
                <w:rFonts w:ascii="宋体" w:hAnsi="宋体" w:cs="宋体"/>
                <w:snapToGrid w:val="0"/>
                <w:color w:val="000000" w:themeColor="text1"/>
                <w:spacing w:val="3"/>
                <w:kern w:val="0"/>
                <w:sz w:val="20"/>
                <w:szCs w:val="20"/>
                <w:highlight w:val="none"/>
                <w14:textFill>
                  <w14:solidFill>
                    <w14:schemeClr w14:val="tx1"/>
                  </w14:solidFill>
                </w14:textFill>
              </w:rPr>
              <w:t>元/次。</w:t>
            </w:r>
          </w:p>
        </w:tc>
      </w:tr>
      <w:tr w14:paraId="0CD45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7F9B4929">
            <w:pPr>
              <w:widowControl/>
              <w:kinsoku w:val="0"/>
              <w:autoSpaceDE w:val="0"/>
              <w:autoSpaceDN w:val="0"/>
              <w:adjustRightInd w:val="0"/>
              <w:snapToGrid w:val="0"/>
              <w:ind w:hanging="3"/>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5"/>
                <w:kern w:val="0"/>
                <w:sz w:val="20"/>
                <w:szCs w:val="20"/>
                <w:highlight w:val="none"/>
                <w:lang w:eastAsia="en-US"/>
                <w14:textFill>
                  <w14:solidFill>
                    <w14:schemeClr w14:val="tx1"/>
                  </w14:solidFill>
                </w14:textFill>
              </w:rPr>
              <w:t>模板</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工程</w:t>
            </w:r>
          </w:p>
        </w:tc>
        <w:tc>
          <w:tcPr>
            <w:tcW w:w="839" w:type="dxa"/>
          </w:tcPr>
          <w:p w14:paraId="5A9AB546">
            <w:pPr>
              <w:kinsoku w:val="0"/>
              <w:autoSpaceDE w:val="0"/>
              <w:autoSpaceDN w:val="0"/>
              <w:adjustRightInd w:val="0"/>
              <w:snapToGrid w:val="0"/>
              <w:spacing w:before="224" w:line="270" w:lineRule="exact"/>
              <w:ind w:left="37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4</w:t>
            </w:r>
          </w:p>
        </w:tc>
        <w:tc>
          <w:tcPr>
            <w:tcW w:w="7622" w:type="dxa"/>
          </w:tcPr>
          <w:p w14:paraId="10821813">
            <w:pPr>
              <w:kinsoku w:val="0"/>
              <w:autoSpaceDE w:val="0"/>
              <w:autoSpaceDN w:val="0"/>
              <w:adjustRightInd w:val="0"/>
              <w:snapToGrid w:val="0"/>
              <w:spacing w:before="224" w:line="228" w:lineRule="auto"/>
              <w:ind w:left="11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高支模方案未经监理审批即施工，违约金</w:t>
            </w:r>
            <w:r>
              <w:rPr>
                <w:rFonts w:ascii="宋体" w:hAnsi="宋体" w:cs="宋体"/>
                <w:snapToGrid w:val="0"/>
                <w:color w:val="000000" w:themeColor="text1"/>
                <w:spacing w:val="-3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3C480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vAlign w:val="center"/>
          </w:tcPr>
          <w:p w14:paraId="7BF18E0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F8DFDBC">
            <w:pPr>
              <w:kinsoku w:val="0"/>
              <w:autoSpaceDE w:val="0"/>
              <w:autoSpaceDN w:val="0"/>
              <w:adjustRightInd w:val="0"/>
              <w:snapToGrid w:val="0"/>
              <w:spacing w:before="223" w:line="269" w:lineRule="exact"/>
              <w:ind w:left="375"/>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5</w:t>
            </w:r>
          </w:p>
        </w:tc>
        <w:tc>
          <w:tcPr>
            <w:tcW w:w="7622" w:type="dxa"/>
          </w:tcPr>
          <w:p w14:paraId="5C34DFC4">
            <w:pPr>
              <w:kinsoku w:val="0"/>
              <w:autoSpaceDE w:val="0"/>
              <w:autoSpaceDN w:val="0"/>
              <w:adjustRightInd w:val="0"/>
              <w:snapToGrid w:val="0"/>
              <w:spacing w:before="223" w:line="228" w:lineRule="auto"/>
              <w:ind w:left="11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混凝土龄期未到即拆模造成质量隐患，违约金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6DD69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9" w:hRule="atLeast"/>
        </w:trPr>
        <w:tc>
          <w:tcPr>
            <w:tcW w:w="831" w:type="dxa"/>
            <w:vMerge w:val="restart"/>
            <w:tcBorders>
              <w:bottom w:val="nil"/>
            </w:tcBorders>
            <w:vAlign w:val="center"/>
          </w:tcPr>
          <w:p w14:paraId="6ED557D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砖砌</w:t>
            </w:r>
          </w:p>
          <w:p w14:paraId="3BD27D7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体抹</w:t>
            </w:r>
          </w:p>
          <w:p w14:paraId="19B01C2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灰工</w:t>
            </w:r>
          </w:p>
          <w:p w14:paraId="72D500A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sz w:val="20"/>
                <w:szCs w:val="20"/>
                <w:highlight w:val="none"/>
                <w:lang w:eastAsia="en-US"/>
                <w14:textFill>
                  <w14:solidFill>
                    <w14:schemeClr w14:val="tx1"/>
                  </w14:solidFill>
                </w14:textFill>
              </w:rPr>
              <w:t>程</w:t>
            </w:r>
          </w:p>
        </w:tc>
        <w:tc>
          <w:tcPr>
            <w:tcW w:w="839" w:type="dxa"/>
          </w:tcPr>
          <w:p w14:paraId="2446D455">
            <w:pPr>
              <w:widowControl/>
              <w:kinsoku w:val="0"/>
              <w:autoSpaceDE w:val="0"/>
              <w:autoSpaceDN w:val="0"/>
              <w:adjustRightInd w:val="0"/>
              <w:snapToGrid w:val="0"/>
              <w:spacing w:line="39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5EFF952">
            <w:pPr>
              <w:kinsoku w:val="0"/>
              <w:autoSpaceDE w:val="0"/>
              <w:autoSpaceDN w:val="0"/>
              <w:adjustRightInd w:val="0"/>
              <w:snapToGrid w:val="0"/>
              <w:spacing w:before="65" w:line="268" w:lineRule="exact"/>
              <w:ind w:left="37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6</w:t>
            </w:r>
          </w:p>
        </w:tc>
        <w:tc>
          <w:tcPr>
            <w:tcW w:w="7622" w:type="dxa"/>
          </w:tcPr>
          <w:p w14:paraId="362CBE9A">
            <w:pPr>
              <w:kinsoku w:val="0"/>
              <w:autoSpaceDE w:val="0"/>
              <w:autoSpaceDN w:val="0"/>
              <w:adjustRightInd w:val="0"/>
              <w:snapToGrid w:val="0"/>
              <w:spacing w:before="263" w:line="358" w:lineRule="auto"/>
              <w:ind w:left="114" w:right="108"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砖砌体施工前未提前将砖充分洒水湿润，做首件施工，并经监理验收合格后再行</w:t>
            </w:r>
            <w:r>
              <w:rPr>
                <w:rFonts w:ascii="宋体" w:hAnsi="宋体" w:cs="宋体"/>
                <w:snapToGrid w:val="0"/>
                <w:color w:val="000000" w:themeColor="text1"/>
                <w:spacing w:val="5"/>
                <w:kern w:val="0"/>
                <w:sz w:val="20"/>
                <w:szCs w:val="20"/>
                <w:highlight w:val="none"/>
                <w14:textFill>
                  <w14:solidFill>
                    <w14:schemeClr w14:val="tx1"/>
                  </w14:solidFill>
                </w14:textFill>
              </w:rPr>
              <w:t>大面积施工，违约金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3000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元/次。</w:t>
            </w:r>
          </w:p>
        </w:tc>
      </w:tr>
      <w:tr w14:paraId="1D73B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vAlign w:val="center"/>
          </w:tcPr>
          <w:p w14:paraId="5C35359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567B001">
            <w:pPr>
              <w:kinsoku w:val="0"/>
              <w:autoSpaceDE w:val="0"/>
              <w:autoSpaceDN w:val="0"/>
              <w:adjustRightInd w:val="0"/>
              <w:snapToGrid w:val="0"/>
              <w:spacing w:before="224" w:line="269" w:lineRule="exact"/>
              <w:ind w:left="376"/>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7</w:t>
            </w:r>
          </w:p>
        </w:tc>
        <w:tc>
          <w:tcPr>
            <w:tcW w:w="7622" w:type="dxa"/>
          </w:tcPr>
          <w:p w14:paraId="6D5BA209">
            <w:pPr>
              <w:kinsoku w:val="0"/>
              <w:autoSpaceDE w:val="0"/>
              <w:autoSpaceDN w:val="0"/>
              <w:adjustRightInd w:val="0"/>
              <w:snapToGrid w:val="0"/>
              <w:spacing w:before="224" w:line="227"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墙面抹灰前未打点和冲筋、包护角，违约金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5200C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vAlign w:val="center"/>
          </w:tcPr>
          <w:p w14:paraId="1993244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09BA407">
            <w:pPr>
              <w:kinsoku w:val="0"/>
              <w:autoSpaceDE w:val="0"/>
              <w:autoSpaceDN w:val="0"/>
              <w:adjustRightInd w:val="0"/>
              <w:snapToGrid w:val="0"/>
              <w:spacing w:before="226"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8</w:t>
            </w:r>
          </w:p>
        </w:tc>
        <w:tc>
          <w:tcPr>
            <w:tcW w:w="7622" w:type="dxa"/>
          </w:tcPr>
          <w:p w14:paraId="54D504DF">
            <w:pPr>
              <w:kinsoku w:val="0"/>
              <w:autoSpaceDE w:val="0"/>
              <w:autoSpaceDN w:val="0"/>
              <w:adjustRightInd w:val="0"/>
              <w:snapToGrid w:val="0"/>
              <w:spacing w:before="225" w:line="228" w:lineRule="auto"/>
              <w:ind w:left="11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抹灰前未按要求挂网，违约金</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2000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元/次。</w:t>
            </w:r>
          </w:p>
        </w:tc>
      </w:tr>
      <w:tr w14:paraId="64E2C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831" w:type="dxa"/>
            <w:vMerge w:val="restart"/>
            <w:tcBorders>
              <w:bottom w:val="nil"/>
            </w:tcBorders>
            <w:vAlign w:val="center"/>
          </w:tcPr>
          <w:p w14:paraId="35C7FFB4">
            <w:pPr>
              <w:widowControl/>
              <w:kinsoku w:val="0"/>
              <w:autoSpaceDE w:val="0"/>
              <w:autoSpaceDN w:val="0"/>
              <w:adjustRightInd w:val="0"/>
              <w:snapToGrid w:val="0"/>
              <w:ind w:hanging="1"/>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其他</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分项</w:t>
            </w:r>
          </w:p>
        </w:tc>
        <w:tc>
          <w:tcPr>
            <w:tcW w:w="839" w:type="dxa"/>
          </w:tcPr>
          <w:p w14:paraId="0625A583">
            <w:pPr>
              <w:widowControl/>
              <w:kinsoku w:val="0"/>
              <w:autoSpaceDE w:val="0"/>
              <w:autoSpaceDN w:val="0"/>
              <w:adjustRightInd w:val="0"/>
              <w:snapToGrid w:val="0"/>
              <w:spacing w:line="3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1C86097">
            <w:pPr>
              <w:kinsoku w:val="0"/>
              <w:autoSpaceDE w:val="0"/>
              <w:autoSpaceDN w:val="0"/>
              <w:adjustRightInd w:val="0"/>
              <w:snapToGrid w:val="0"/>
              <w:spacing w:before="65" w:line="268" w:lineRule="exact"/>
              <w:ind w:left="37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1"/>
                <w:sz w:val="20"/>
                <w:szCs w:val="20"/>
                <w:highlight w:val="none"/>
                <w:lang w:eastAsia="en-US"/>
                <w14:textFill>
                  <w14:solidFill>
                    <w14:schemeClr w14:val="tx1"/>
                  </w14:solidFill>
                </w14:textFill>
              </w:rPr>
              <w:t>9</w:t>
            </w:r>
          </w:p>
        </w:tc>
        <w:tc>
          <w:tcPr>
            <w:tcW w:w="7622" w:type="dxa"/>
          </w:tcPr>
          <w:p w14:paraId="793029B5">
            <w:pPr>
              <w:kinsoku w:val="0"/>
              <w:autoSpaceDE w:val="0"/>
              <w:autoSpaceDN w:val="0"/>
              <w:adjustRightInd w:val="0"/>
              <w:snapToGrid w:val="0"/>
              <w:spacing w:before="212" w:line="333" w:lineRule="auto"/>
              <w:ind w:left="116" w:right="12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7"/>
                <w:kern w:val="0"/>
                <w:sz w:val="20"/>
                <w:szCs w:val="20"/>
                <w:highlight w:val="none"/>
                <w14:textFill>
                  <w14:solidFill>
                    <w14:schemeClr w14:val="tx1"/>
                  </w14:solidFill>
                </w14:textFill>
              </w:rPr>
              <w:t>未做施工样板及施工样板间且未经监理验收通过即大面积</w:t>
            </w:r>
            <w:r>
              <w:rPr>
                <w:rFonts w:ascii="宋体" w:hAnsi="宋体" w:cs="宋体"/>
                <w:snapToGrid w:val="0"/>
                <w:color w:val="000000" w:themeColor="text1"/>
                <w:spacing w:val="16"/>
                <w:kern w:val="0"/>
                <w:sz w:val="20"/>
                <w:szCs w:val="20"/>
                <w:highlight w:val="none"/>
                <w14:textFill>
                  <w14:solidFill>
                    <w14:schemeClr w14:val="tx1"/>
                  </w14:solidFill>
                </w14:textFill>
              </w:rPr>
              <w:t>施工，违约金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6"/>
                <w:kern w:val="0"/>
                <w:sz w:val="20"/>
                <w:szCs w:val="20"/>
                <w:highlight w:val="none"/>
                <w14:textFill>
                  <w14:solidFill>
                    <w14:schemeClr w14:val="tx1"/>
                  </w14:solidFill>
                </w14:textFill>
              </w:rPr>
              <w:t>2000~</w:t>
            </w:r>
            <w:r>
              <w:rPr>
                <w:rFonts w:ascii="宋体" w:hAnsi="宋体" w:cs="宋体"/>
                <w:snapToGrid w:val="0"/>
                <w:color w:val="000000" w:themeColor="text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5000</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元/次。</w:t>
            </w:r>
          </w:p>
        </w:tc>
      </w:tr>
      <w:tr w14:paraId="6A26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831" w:type="dxa"/>
            <w:vMerge w:val="continue"/>
            <w:tcBorders>
              <w:top w:val="nil"/>
              <w:bottom w:val="nil"/>
            </w:tcBorders>
            <w:vAlign w:val="center"/>
          </w:tcPr>
          <w:p w14:paraId="63CD502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D489C7F">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0CC2753">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0CF881E">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466BD30">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10</w:t>
            </w:r>
          </w:p>
        </w:tc>
        <w:tc>
          <w:tcPr>
            <w:tcW w:w="7622" w:type="dxa"/>
          </w:tcPr>
          <w:p w14:paraId="4832B2AD">
            <w:pPr>
              <w:kinsoku w:val="0"/>
              <w:autoSpaceDE w:val="0"/>
              <w:autoSpaceDN w:val="0"/>
              <w:adjustRightInd w:val="0"/>
              <w:snapToGrid w:val="0"/>
              <w:spacing w:before="65" w:line="370" w:lineRule="auto"/>
              <w:ind w:right="37"/>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专项工程（桩基础、大体积混凝土施工、铝合金、轻钢雨蓬、干挂石、玻璃幕墙、</w:t>
            </w:r>
            <w:r>
              <w:rPr>
                <w:rFonts w:ascii="宋体" w:hAnsi="宋体" w:cs="宋体"/>
                <w:snapToGrid w:val="0"/>
                <w:color w:val="000000" w:themeColor="text1"/>
                <w:spacing w:val="11"/>
                <w:kern w:val="0"/>
                <w:sz w:val="20"/>
                <w:szCs w:val="20"/>
                <w:highlight w:val="none"/>
                <w14:textFill>
                  <w14:solidFill>
                    <w14:schemeClr w14:val="tx1"/>
                  </w14:solidFill>
                </w14:textFill>
              </w:rPr>
              <w:t>深基坑支护、铝扣板、后浇带模板安装及后浇带混凝土施工、天面后浇带防水处</w:t>
            </w:r>
            <w:r>
              <w:rPr>
                <w:rFonts w:ascii="宋体" w:hAnsi="宋体" w:cs="宋体"/>
                <w:snapToGrid w:val="0"/>
                <w:color w:val="000000" w:themeColor="text1"/>
                <w:spacing w:val="7"/>
                <w:kern w:val="0"/>
                <w:sz w:val="20"/>
                <w:szCs w:val="20"/>
                <w:highlight w:val="none"/>
                <w14:textFill>
                  <w14:solidFill>
                    <w14:schemeClr w14:val="tx1"/>
                  </w14:solidFill>
                </w14:textFill>
              </w:rPr>
              <w:t>理等）方案未经监理审批即大面积施工，违约金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元/次。</w:t>
            </w:r>
          </w:p>
        </w:tc>
      </w:tr>
      <w:tr w14:paraId="66241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 w:hRule="atLeast"/>
        </w:trPr>
        <w:tc>
          <w:tcPr>
            <w:tcW w:w="831" w:type="dxa"/>
            <w:vMerge w:val="continue"/>
            <w:tcBorders>
              <w:top w:val="nil"/>
            </w:tcBorders>
            <w:vAlign w:val="center"/>
          </w:tcPr>
          <w:p w14:paraId="53FEE22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167A056">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524D966">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51DAF09">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11</w:t>
            </w:r>
          </w:p>
        </w:tc>
        <w:tc>
          <w:tcPr>
            <w:tcW w:w="7622" w:type="dxa"/>
          </w:tcPr>
          <w:p w14:paraId="60B719BD">
            <w:pPr>
              <w:kinsoku w:val="0"/>
              <w:autoSpaceDE w:val="0"/>
              <w:autoSpaceDN w:val="0"/>
              <w:adjustRightInd w:val="0"/>
              <w:snapToGrid w:val="0"/>
              <w:spacing w:before="212" w:line="345" w:lineRule="auto"/>
              <w:ind w:left="112" w:right="110" w:firstLine="2"/>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各类检查所发整改通知要求整改项目未落实且整改两次均不合格，按分项违约金</w:t>
            </w:r>
            <w:r>
              <w:rPr>
                <w:rFonts w:ascii="宋体" w:hAnsi="宋体" w:cs="宋体"/>
                <w:snapToGrid w:val="0"/>
                <w:color w:val="000000" w:themeColor="text1"/>
                <w:spacing w:val="9"/>
                <w:kern w:val="0"/>
                <w:sz w:val="20"/>
                <w:szCs w:val="20"/>
                <w:highlight w:val="none"/>
                <w14:textFill>
                  <w14:solidFill>
                    <w14:schemeClr w14:val="tx1"/>
                  </w14:solidFill>
                </w14:textFill>
              </w:rPr>
              <w:t>1000～3000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元计，对单位工程竣工</w:t>
            </w:r>
            <w:r>
              <w:rPr>
                <w:rFonts w:ascii="宋体" w:hAnsi="宋体" w:cs="宋体"/>
                <w:snapToGrid w:val="0"/>
                <w:color w:val="000000" w:themeColor="text1"/>
                <w:spacing w:val="8"/>
                <w:kern w:val="0"/>
                <w:sz w:val="20"/>
                <w:szCs w:val="20"/>
                <w:highlight w:val="none"/>
                <w14:textFill>
                  <w14:solidFill>
                    <w14:schemeClr w14:val="tx1"/>
                  </w14:solidFill>
                </w14:textFill>
              </w:rPr>
              <w:t>初验提出问题经复检未完成整改的按检查点数</w:t>
            </w:r>
            <w:r>
              <w:rPr>
                <w:rFonts w:ascii="宋体" w:hAnsi="宋体" w:cs="宋体"/>
                <w:snapToGrid w:val="0"/>
                <w:color w:val="000000" w:themeColor="text1"/>
                <w:spacing w:val="6"/>
                <w:kern w:val="0"/>
                <w:sz w:val="20"/>
                <w:szCs w:val="20"/>
                <w:highlight w:val="none"/>
                <w14:textFill>
                  <w14:solidFill>
                    <w14:schemeClr w14:val="tx1"/>
                  </w14:solidFill>
                </w14:textFill>
              </w:rPr>
              <w:t>量每处</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元计，第二次复检不合格按每处违约金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3000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元计。</w:t>
            </w:r>
          </w:p>
        </w:tc>
      </w:tr>
      <w:tr w14:paraId="23788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Align w:val="center"/>
          </w:tcPr>
          <w:p w14:paraId="7B554EF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hint="eastAsia" w:ascii="宋体" w:hAnsi="宋体" w:cs="宋体"/>
                <w:snapToGrid w:val="0"/>
                <w:color w:val="000000" w:themeColor="text1"/>
                <w:spacing w:val="2"/>
                <w:kern w:val="0"/>
                <w:sz w:val="20"/>
                <w:szCs w:val="20"/>
                <w:highlight w:val="none"/>
                <w14:textFill>
                  <w14:solidFill>
                    <w14:schemeClr w14:val="tx1"/>
                  </w14:solidFill>
                </w14:textFill>
              </w:rPr>
              <w:t>原材</w:t>
            </w:r>
            <w:r>
              <w:rPr>
                <w:rFonts w:hint="eastAsia" w:ascii="宋体" w:hAnsi="宋体" w:cs="宋体"/>
                <w:snapToGrid w:val="0"/>
                <w:color w:val="000000" w:themeColor="text1"/>
                <w:kern w:val="0"/>
                <w:sz w:val="20"/>
                <w:szCs w:val="20"/>
                <w:highlight w:val="none"/>
                <w14:textFill>
                  <w14:solidFill>
                    <w14:schemeClr w14:val="tx1"/>
                  </w14:solidFill>
                </w14:textFill>
              </w:rPr>
              <w:t>料、绿化工程、安</w:t>
            </w:r>
            <w:r>
              <w:rPr>
                <w:rFonts w:ascii="宋体" w:hAnsi="宋体" w:cs="宋体"/>
                <w:snapToGrid w:val="0"/>
                <w:color w:val="000000" w:themeColor="text1"/>
                <w:spacing w:val="4"/>
                <w:kern w:val="0"/>
                <w:sz w:val="20"/>
                <w:szCs w:val="20"/>
                <w:highlight w:val="none"/>
                <w14:textFill>
                  <w14:solidFill>
                    <w14:schemeClr w14:val="tx1"/>
                  </w14:solidFill>
                </w14:textFill>
              </w:rPr>
              <w:t>全生</w:t>
            </w:r>
            <w:r>
              <w:rPr>
                <w:rFonts w:ascii="宋体" w:hAnsi="宋体" w:cs="宋体"/>
                <w:snapToGrid w:val="0"/>
                <w:color w:val="000000" w:themeColor="text1"/>
                <w:kern w:val="0"/>
                <w:sz w:val="20"/>
                <w:szCs w:val="20"/>
                <w:highlight w:val="none"/>
                <w14:textFill>
                  <w14:solidFill>
                    <w14:schemeClr w14:val="tx1"/>
                  </w14:solidFill>
                </w14:textFill>
              </w:rPr>
              <w:t>产、文</w:t>
            </w:r>
            <w:r>
              <w:rPr>
                <w:rFonts w:ascii="宋体" w:hAnsi="宋体" w:cs="宋体"/>
                <w:snapToGrid w:val="0"/>
                <w:color w:val="000000" w:themeColor="text1"/>
                <w:spacing w:val="-5"/>
                <w:kern w:val="0"/>
                <w:sz w:val="20"/>
                <w:szCs w:val="20"/>
                <w:highlight w:val="none"/>
                <w14:textFill>
                  <w14:solidFill>
                    <w14:schemeClr w14:val="tx1"/>
                  </w14:solidFill>
                </w14:textFill>
              </w:rPr>
              <w:t>明施</w:t>
            </w:r>
          </w:p>
          <w:p w14:paraId="1528DAA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
                <w:kern w:val="0"/>
                <w:sz w:val="20"/>
                <w:szCs w:val="20"/>
                <w:highlight w:val="none"/>
                <w14:textFill>
                  <w14:solidFill>
                    <w14:schemeClr w14:val="tx1"/>
                  </w14:solidFill>
                </w14:textFill>
              </w:rPr>
              <w:t>工、环</w:t>
            </w:r>
          </w:p>
          <w:p w14:paraId="01C2516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境保</w:t>
            </w:r>
            <w:r>
              <w:rPr>
                <w:rFonts w:ascii="宋体" w:hAnsi="宋体" w:cs="宋体"/>
                <w:snapToGrid w:val="0"/>
                <w:color w:val="000000" w:themeColor="text1"/>
                <w:spacing w:val="8"/>
                <w:kern w:val="0"/>
                <w:sz w:val="20"/>
                <w:szCs w:val="20"/>
                <w:highlight w:val="none"/>
                <w14:textFill>
                  <w14:solidFill>
                    <w14:schemeClr w14:val="tx1"/>
                  </w14:solidFill>
                </w14:textFill>
              </w:rPr>
              <w:t>护、内</w:t>
            </w:r>
            <w:r>
              <w:rPr>
                <w:rFonts w:ascii="宋体" w:hAnsi="宋体" w:cs="宋体"/>
                <w:snapToGrid w:val="0"/>
                <w:color w:val="000000" w:themeColor="text1"/>
                <w:spacing w:val="5"/>
                <w:kern w:val="0"/>
                <w:sz w:val="20"/>
                <w:szCs w:val="20"/>
                <w:highlight w:val="none"/>
                <w14:textFill>
                  <w14:solidFill>
                    <w14:schemeClr w14:val="tx1"/>
                  </w14:solidFill>
                </w14:textFill>
              </w:rPr>
              <w:t>业资</w:t>
            </w:r>
          </w:p>
          <w:p w14:paraId="26393109">
            <w:pPr>
              <w:widowControl/>
              <w:kinsoku w:val="0"/>
              <w:autoSpaceDE w:val="0"/>
              <w:autoSpaceDN w:val="0"/>
              <w:adjustRightInd w:val="0"/>
              <w:snapToGrid w:val="0"/>
              <w:ind w:firstLine="10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4"/>
                <w:kern w:val="0"/>
                <w:sz w:val="20"/>
                <w:szCs w:val="20"/>
                <w:highlight w:val="none"/>
                <w14:textFill>
                  <w14:solidFill>
                    <w14:schemeClr w14:val="tx1"/>
                  </w14:solidFill>
                </w14:textFill>
              </w:rPr>
              <w:t>料及其他</w:t>
            </w:r>
          </w:p>
        </w:tc>
        <w:tc>
          <w:tcPr>
            <w:tcW w:w="839" w:type="dxa"/>
            <w:vAlign w:val="center"/>
          </w:tcPr>
          <w:p w14:paraId="4DE356DA">
            <w:pPr>
              <w:kinsoku w:val="0"/>
              <w:autoSpaceDE w:val="0"/>
              <w:autoSpaceDN w:val="0"/>
              <w:adjustRightInd w:val="0"/>
              <w:snapToGrid w:val="0"/>
              <w:spacing w:before="65" w:line="270" w:lineRule="exact"/>
              <w:ind w:left="333"/>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12</w:t>
            </w:r>
          </w:p>
        </w:tc>
        <w:tc>
          <w:tcPr>
            <w:tcW w:w="7622" w:type="dxa"/>
            <w:vAlign w:val="center"/>
          </w:tcPr>
          <w:p w14:paraId="3B5FE203">
            <w:pPr>
              <w:kinsoku w:val="0"/>
              <w:autoSpaceDE w:val="0"/>
              <w:autoSpaceDN w:val="0"/>
              <w:adjustRightInd w:val="0"/>
              <w:snapToGrid w:val="0"/>
              <w:spacing w:before="65" w:line="372" w:lineRule="auto"/>
              <w:ind w:right="110"/>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按《工程质量、安全及文明施工违约项目一览表》（附件十三）的违约金标准进</w:t>
            </w:r>
            <w:r>
              <w:rPr>
                <w:rFonts w:ascii="宋体" w:hAnsi="宋体" w:cs="宋体"/>
                <w:snapToGrid w:val="0"/>
                <w:color w:val="000000" w:themeColor="text1"/>
                <w:spacing w:val="4"/>
                <w:kern w:val="0"/>
                <w:sz w:val="20"/>
                <w:szCs w:val="20"/>
                <w:highlight w:val="none"/>
                <w14:textFill>
                  <w14:solidFill>
                    <w14:schemeClr w14:val="tx1"/>
                  </w14:solidFill>
                </w14:textFill>
              </w:rPr>
              <w:t>行处罚。</w:t>
            </w:r>
          </w:p>
        </w:tc>
      </w:tr>
    </w:tbl>
    <w:p w14:paraId="69A49159">
      <w:pPr>
        <w:kinsoku w:val="0"/>
        <w:autoSpaceDE w:val="0"/>
        <w:autoSpaceDN w:val="0"/>
        <w:adjustRightInd w:val="0"/>
        <w:snapToGrid w:val="0"/>
        <w:spacing w:line="29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9D5F6C3">
      <w:pPr>
        <w:kinsoku w:val="0"/>
        <w:autoSpaceDE w:val="0"/>
        <w:autoSpaceDN w:val="0"/>
        <w:adjustRightInd w:val="0"/>
        <w:snapToGrid w:val="0"/>
        <w:spacing w:line="29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EB3B376">
      <w:pPr>
        <w:spacing w:line="220" w:lineRule="auto"/>
        <w:rPr>
          <w:rFonts w:hint="eastAsia" w:ascii="宋体" w:hAnsi="宋体" w:cs="宋体"/>
          <w:color w:val="000000" w:themeColor="text1"/>
          <w:sz w:val="18"/>
          <w:szCs w:val="18"/>
          <w:highlight w:val="none"/>
          <w14:textFill>
            <w14:solidFill>
              <w14:schemeClr w14:val="tx1"/>
            </w14:solidFill>
          </w14:textFill>
        </w:rPr>
        <w:sectPr>
          <w:footerReference r:id="rId81" w:type="default"/>
          <w:pgSz w:w="11906" w:h="16839"/>
          <w:pgMar w:top="1182" w:right="1304" w:bottom="1168" w:left="1304" w:header="849" w:footer="934" w:gutter="0"/>
          <w:cols w:space="720" w:num="1"/>
        </w:sectPr>
      </w:pPr>
      <w:bookmarkStart w:id="391" w:name="bookmark335"/>
      <w:bookmarkEnd w:id="391"/>
    </w:p>
    <w:p w14:paraId="20DDD176">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0B058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31" w:type="dxa"/>
          </w:tcPr>
          <w:p w14:paraId="5D166121">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2ECB6A05">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50B8E1DD">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59FFA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9" w:hRule="atLeast"/>
        </w:trPr>
        <w:tc>
          <w:tcPr>
            <w:tcW w:w="831" w:type="dxa"/>
            <w:vMerge w:val="restart"/>
            <w:tcBorders>
              <w:bottom w:val="nil"/>
            </w:tcBorders>
            <w:vAlign w:val="center"/>
          </w:tcPr>
          <w:p w14:paraId="7FDF5B2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3"/>
                <w:kern w:val="0"/>
                <w:sz w:val="20"/>
                <w:szCs w:val="20"/>
                <w:highlight w:val="none"/>
                <w:lang w:eastAsia="en-US"/>
                <w14:textFill>
                  <w14:solidFill>
                    <w14:schemeClr w14:val="tx1"/>
                  </w14:solidFill>
                </w14:textFill>
              </w:rPr>
              <w:t>成品</w:t>
            </w:r>
            <w:r>
              <w:rPr>
                <w:rFonts w:ascii="宋体" w:hAnsi="宋体" w:cs="宋体"/>
                <w:snapToGrid w:val="0"/>
                <w:color w:val="000000" w:themeColor="text1"/>
                <w:spacing w:val="4"/>
                <w:kern w:val="0"/>
                <w:sz w:val="20"/>
                <w:szCs w:val="20"/>
                <w:highlight w:val="none"/>
                <w:lang w:eastAsia="en-US"/>
                <w14:textFill>
                  <w14:solidFill>
                    <w14:schemeClr w14:val="tx1"/>
                  </w14:solidFill>
                </w14:textFill>
              </w:rPr>
              <w:t>保护</w:t>
            </w:r>
          </w:p>
        </w:tc>
        <w:tc>
          <w:tcPr>
            <w:tcW w:w="839" w:type="dxa"/>
          </w:tcPr>
          <w:p w14:paraId="3B5A59F0">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0DF8E2D">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13</w:t>
            </w:r>
          </w:p>
        </w:tc>
        <w:tc>
          <w:tcPr>
            <w:tcW w:w="7622" w:type="dxa"/>
          </w:tcPr>
          <w:p w14:paraId="48ABA99C">
            <w:pPr>
              <w:kinsoku w:val="0"/>
              <w:autoSpaceDE w:val="0"/>
              <w:autoSpaceDN w:val="0"/>
              <w:adjustRightInd w:val="0"/>
              <w:snapToGrid w:val="0"/>
              <w:spacing w:before="141" w:line="324"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楼地面工程找平层施工前，施工单位应会同监理部对所有地面预埋管线进行隐蔽验收，并在完成的找平层上标注管线走向。未经验收及标注管线走向进入下道工</w:t>
            </w:r>
            <w:r>
              <w:rPr>
                <w:rFonts w:ascii="宋体" w:hAnsi="宋体" w:cs="宋体"/>
                <w:snapToGrid w:val="0"/>
                <w:color w:val="000000" w:themeColor="text1"/>
                <w:spacing w:val="7"/>
                <w:kern w:val="0"/>
                <w:sz w:val="20"/>
                <w:szCs w:val="20"/>
                <w:highlight w:val="none"/>
                <w14:textFill>
                  <w14:solidFill>
                    <w14:schemeClr w14:val="tx1"/>
                  </w14:solidFill>
                </w14:textFill>
              </w:rPr>
              <w:t>序施工的，对施工单位每户违约金</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p>
        </w:tc>
      </w:tr>
      <w:tr w14:paraId="21F91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1E9D16E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3BBC083">
            <w:pPr>
              <w:widowControl/>
              <w:kinsoku w:val="0"/>
              <w:autoSpaceDE w:val="0"/>
              <w:autoSpaceDN w:val="0"/>
              <w:adjustRightInd w:val="0"/>
              <w:snapToGrid w:val="0"/>
              <w:spacing w:line="33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B194F0">
            <w:pPr>
              <w:widowControl/>
              <w:kinsoku w:val="0"/>
              <w:autoSpaceDE w:val="0"/>
              <w:autoSpaceDN w:val="0"/>
              <w:adjustRightInd w:val="0"/>
              <w:snapToGrid w:val="0"/>
              <w:spacing w:line="33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1FCBBD">
            <w:pPr>
              <w:kinsoku w:val="0"/>
              <w:autoSpaceDE w:val="0"/>
              <w:autoSpaceDN w:val="0"/>
              <w:adjustRightInd w:val="0"/>
              <w:snapToGrid w:val="0"/>
              <w:spacing w:before="65" w:line="270"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14</w:t>
            </w:r>
          </w:p>
        </w:tc>
        <w:tc>
          <w:tcPr>
            <w:tcW w:w="7622" w:type="dxa"/>
          </w:tcPr>
          <w:p w14:paraId="21579EC5">
            <w:pPr>
              <w:kinsoku w:val="0"/>
              <w:autoSpaceDE w:val="0"/>
              <w:autoSpaceDN w:val="0"/>
              <w:adjustRightInd w:val="0"/>
              <w:snapToGrid w:val="0"/>
              <w:spacing w:before="141" w:line="37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块料地面面层施工和养护阶段</w:t>
            </w:r>
            <w:r>
              <w:rPr>
                <w:rFonts w:ascii="宋体" w:hAnsi="宋体" w:cs="宋体"/>
                <w:snapToGrid w:val="0"/>
                <w:color w:val="000000" w:themeColor="text1"/>
                <w:spacing w:val="-2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24</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小时内，应有防止施工人员在其表面上走动的措</w:t>
            </w:r>
            <w:r>
              <w:rPr>
                <w:rFonts w:ascii="宋体" w:hAnsi="宋体" w:cs="宋体"/>
                <w:snapToGrid w:val="0"/>
                <w:color w:val="000000" w:themeColor="text1"/>
                <w:spacing w:val="10"/>
                <w:kern w:val="0"/>
                <w:sz w:val="20"/>
                <w:szCs w:val="20"/>
                <w:highlight w:val="none"/>
                <w14:textFill>
                  <w14:solidFill>
                    <w14:schemeClr w14:val="tx1"/>
                  </w14:solidFill>
                </w14:textFill>
              </w:rPr>
              <w:t>施，并立牌警示，否则违约金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元。块料地面养护期后，应用胶膜保护，避免</w:t>
            </w:r>
          </w:p>
          <w:p w14:paraId="4710014F">
            <w:pPr>
              <w:kinsoku w:val="0"/>
              <w:autoSpaceDE w:val="0"/>
              <w:autoSpaceDN w:val="0"/>
              <w:adjustRightInd w:val="0"/>
              <w:snapToGrid w:val="0"/>
              <w:spacing w:line="300" w:lineRule="auto"/>
              <w:ind w:left="116" w:right="110" w:hanging="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2877820</wp:posOffset>
                      </wp:positionH>
                      <wp:positionV relativeFrom="paragraph">
                        <wp:posOffset>-75565</wp:posOffset>
                      </wp:positionV>
                      <wp:extent cx="67945" cy="120015"/>
                      <wp:effectExtent l="1270" t="635" r="0" b="3175"/>
                      <wp:wrapNone/>
                      <wp:docPr id="1285773579"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67945" cy="120015"/>
                              </a:xfrm>
                              <a:prstGeom prst="rect">
                                <a:avLst/>
                              </a:prstGeom>
                              <a:noFill/>
                              <a:ln>
                                <a:noFill/>
                              </a:ln>
                            </wps:spPr>
                            <wps:txbx>
                              <w:txbxContent>
                                <w:p w14:paraId="0C5B977B">
                                  <w:pPr>
                                    <w:kinsoku w:val="0"/>
                                    <w:autoSpaceDE w:val="0"/>
                                    <w:autoSpaceDN w:val="0"/>
                                    <w:adjustRightInd w:val="0"/>
                                    <w:snapToGrid w:val="0"/>
                                    <w:spacing w:before="20" w:line="196" w:lineRule="auto"/>
                                    <w:ind w:left="20"/>
                                    <w:jc w:val="left"/>
                                    <w:textAlignment w:val="baseline"/>
                                    <w:rPr>
                                      <w:rFonts w:hint="eastAsia" w:ascii="宋体" w:hAnsi="宋体" w:cs="宋体"/>
                                      <w:snapToGrid w:val="0"/>
                                      <w:color w:val="000000"/>
                                      <w:kern w:val="0"/>
                                      <w:sz w:val="14"/>
                                      <w:szCs w:val="14"/>
                                      <w:lang w:eastAsia="en-US"/>
                                    </w:rPr>
                                  </w:pPr>
                                  <w:r>
                                    <w:rPr>
                                      <w:rFonts w:ascii="宋体" w:hAnsi="宋体" w:cs="宋体"/>
                                      <w:snapToGrid w:val="0"/>
                                      <w:color w:val="000000"/>
                                      <w:kern w:val="0"/>
                                      <w:sz w:val="14"/>
                                      <w:szCs w:val="14"/>
                                      <w:lang w:eastAsia="en-US"/>
                                    </w:rPr>
                                    <w:t>2</w:t>
                                  </w:r>
                                </w:p>
                              </w:txbxContent>
                            </wps:txbx>
                            <wps:bodyPr rot="0" vert="horz" wrap="square" lIns="0" tIns="0" rIns="0" bIns="0" anchor="t" anchorCtr="0" upright="1">
                              <a:noAutofit/>
                            </wps:bodyPr>
                          </wps:wsp>
                        </a:graphicData>
                      </a:graphic>
                    </wp:anchor>
                  </w:drawing>
                </mc:Choice>
                <mc:Fallback>
                  <w:pict>
                    <v:shape id="文本框 24" o:spid="_x0000_s1026" o:spt="202" type="#_x0000_t202" style="position:absolute;left:0pt;margin-left:226.6pt;margin-top:-5.95pt;height:9.45pt;width:5.35pt;z-index:251660288;mso-width-relative:page;mso-height-relative:page;" filled="f" stroked="f" coordsize="21600,21600" o:gfxdata="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qxhoNkAAAAJAQAADwAA&#10;AAAAAAABACAAAAAiAAAAZHJzL2Rvd25yZXYueG1sUEsBAhQAFAAAAAgAh07iQCqOUDwVAgAADQQA&#10;AA4AAAAAAAAAAQAgAAAAKAEAAGRycy9lMm9Eb2MueG1sUEsFBgAAAAAGAAYAWQEAAK8FAAAAAA==&#10;">
                      <v:fill on="f" focussize="0,0"/>
                      <v:stroke on="f"/>
                      <v:imagedata o:title=""/>
                      <o:lock v:ext="edit" aspectratio="f"/>
                      <v:textbox inset="0mm,0mm,0mm,0mm">
                        <w:txbxContent>
                          <w:p w14:paraId="0C5B977B">
                            <w:pPr>
                              <w:kinsoku w:val="0"/>
                              <w:autoSpaceDE w:val="0"/>
                              <w:autoSpaceDN w:val="0"/>
                              <w:adjustRightInd w:val="0"/>
                              <w:snapToGrid w:val="0"/>
                              <w:spacing w:before="20" w:line="196" w:lineRule="auto"/>
                              <w:ind w:left="20"/>
                              <w:jc w:val="left"/>
                              <w:textAlignment w:val="baseline"/>
                              <w:rPr>
                                <w:rFonts w:hint="eastAsia" w:ascii="宋体" w:hAnsi="宋体" w:cs="宋体"/>
                                <w:snapToGrid w:val="0"/>
                                <w:color w:val="000000"/>
                                <w:kern w:val="0"/>
                                <w:sz w:val="14"/>
                                <w:szCs w:val="14"/>
                                <w:lang w:eastAsia="en-US"/>
                              </w:rPr>
                            </w:pPr>
                            <w:r>
                              <w:rPr>
                                <w:rFonts w:ascii="宋体" w:hAnsi="宋体" w:cs="宋体"/>
                                <w:snapToGrid w:val="0"/>
                                <w:color w:val="000000"/>
                                <w:kern w:val="0"/>
                                <w:sz w:val="14"/>
                                <w:szCs w:val="14"/>
                                <w:lang w:eastAsia="en-US"/>
                              </w:rPr>
                              <w:t>2</w:t>
                            </w:r>
                          </w:p>
                        </w:txbxContent>
                      </v:textbox>
                    </v:shape>
                  </w:pict>
                </mc:Fallback>
              </mc:AlternateContent>
            </w:r>
            <w:r>
              <w:rPr>
                <w:rFonts w:ascii="宋体" w:hAnsi="宋体" w:cs="宋体"/>
                <w:snapToGrid w:val="0"/>
                <w:color w:val="000000" w:themeColor="text1"/>
                <w:spacing w:val="8"/>
                <w:kern w:val="0"/>
                <w:sz w:val="20"/>
                <w:szCs w:val="20"/>
                <w:highlight w:val="none"/>
                <w14:textFill>
                  <w14:solidFill>
                    <w14:schemeClr w14:val="tx1"/>
                  </w14:solidFill>
                </w14:textFill>
              </w:rPr>
              <w:t>污染和重物打击。主要通道位置每漏盖一处（</w:t>
            </w:r>
            <w:r>
              <w:rPr>
                <w:rFonts w:ascii="宋体" w:hAnsi="宋体" w:cs="宋体"/>
                <w:snapToGrid w:val="0"/>
                <w:color w:val="000000" w:themeColor="text1"/>
                <w:spacing w:val="-4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1m 左右）违约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元，发现一处打击印痕，违约金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2000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元，并赔偿返工费用。</w:t>
            </w:r>
          </w:p>
        </w:tc>
      </w:tr>
      <w:tr w14:paraId="38E80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bottom w:val="nil"/>
            </w:tcBorders>
          </w:tcPr>
          <w:p w14:paraId="4F0925BA">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65104B9E">
            <w:pPr>
              <w:widowControl/>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1ADC92B">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DF9E092">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930B39">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15</w:t>
            </w:r>
          </w:p>
        </w:tc>
        <w:tc>
          <w:tcPr>
            <w:tcW w:w="7622" w:type="dxa"/>
          </w:tcPr>
          <w:p w14:paraId="7AB3973E">
            <w:pPr>
              <w:kinsoku w:val="0"/>
              <w:autoSpaceDE w:val="0"/>
              <w:autoSpaceDN w:val="0"/>
              <w:adjustRightInd w:val="0"/>
              <w:snapToGrid w:val="0"/>
              <w:spacing w:before="141" w:line="342"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楼面沉箱、露台、天面聚氨脂防水涂料完成后，应在门洞口采用竹或木作护栏，</w:t>
            </w:r>
            <w:r>
              <w:rPr>
                <w:rFonts w:ascii="宋体" w:hAnsi="宋体" w:cs="宋体"/>
                <w:snapToGrid w:val="0"/>
                <w:color w:val="000000" w:themeColor="text1"/>
                <w:spacing w:val="10"/>
                <w:kern w:val="0"/>
                <w:sz w:val="20"/>
                <w:szCs w:val="20"/>
                <w:highlight w:val="none"/>
                <w14:textFill>
                  <w14:solidFill>
                    <w14:schemeClr w14:val="tx1"/>
                  </w14:solidFill>
                </w14:textFill>
              </w:rPr>
              <w:t>未设护栏或造成涂膜层破坏的，每处违约金</w:t>
            </w:r>
            <w:r>
              <w:rPr>
                <w:rFonts w:ascii="宋体" w:hAnsi="宋体" w:cs="宋体"/>
                <w:snapToGrid w:val="0"/>
                <w:color w:val="000000" w:themeColor="text1"/>
                <w:spacing w:val="-2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元，并负责返工费用。柔性防水</w:t>
            </w:r>
            <w:r>
              <w:rPr>
                <w:rFonts w:ascii="宋体" w:hAnsi="宋体" w:cs="宋体"/>
                <w:snapToGrid w:val="0"/>
                <w:color w:val="000000" w:themeColor="text1"/>
                <w:spacing w:val="11"/>
                <w:kern w:val="0"/>
                <w:sz w:val="20"/>
                <w:szCs w:val="20"/>
                <w:highlight w:val="none"/>
                <w14:textFill>
                  <w14:solidFill>
                    <w14:schemeClr w14:val="tx1"/>
                  </w14:solidFill>
                </w14:textFill>
              </w:rPr>
              <w:t>层施工完毕后，应及时进行隐蔽验收，并按设计要求加以覆盖保护及施工，严禁</w:t>
            </w:r>
            <w:r>
              <w:rPr>
                <w:rFonts w:ascii="宋体" w:hAnsi="宋体" w:cs="宋体"/>
                <w:snapToGrid w:val="0"/>
                <w:color w:val="000000" w:themeColor="text1"/>
                <w:spacing w:val="9"/>
                <w:kern w:val="0"/>
                <w:sz w:val="20"/>
                <w:szCs w:val="20"/>
                <w:highlight w:val="none"/>
                <w14:textFill>
                  <w14:solidFill>
                    <w14:schemeClr w14:val="tx1"/>
                  </w14:solidFill>
                </w14:textFill>
              </w:rPr>
              <w:t>在防水层上直接堆放材料和设备，拌制砂浆</w:t>
            </w:r>
            <w:r>
              <w:rPr>
                <w:rFonts w:ascii="宋体" w:hAnsi="宋体" w:cs="宋体"/>
                <w:snapToGrid w:val="0"/>
                <w:color w:val="000000" w:themeColor="text1"/>
                <w:spacing w:val="8"/>
                <w:kern w:val="0"/>
                <w:sz w:val="20"/>
                <w:szCs w:val="20"/>
                <w:highlight w:val="none"/>
                <w14:textFill>
                  <w14:solidFill>
                    <w14:schemeClr w14:val="tx1"/>
                  </w14:solidFill>
                </w14:textFill>
              </w:rPr>
              <w:t>，拖运物品，每发现一次违约金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1000元，并赔偿返工费用。</w:t>
            </w:r>
          </w:p>
        </w:tc>
      </w:tr>
      <w:tr w14:paraId="56578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831" w:type="dxa"/>
            <w:vMerge w:val="continue"/>
            <w:tcBorders>
              <w:top w:val="nil"/>
              <w:bottom w:val="nil"/>
            </w:tcBorders>
          </w:tcPr>
          <w:p w14:paraId="7A3688DE">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96F0AA1">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8A67D39">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16</w:t>
            </w:r>
          </w:p>
        </w:tc>
        <w:tc>
          <w:tcPr>
            <w:tcW w:w="7622" w:type="dxa"/>
          </w:tcPr>
          <w:p w14:paraId="1147CED8">
            <w:pPr>
              <w:kinsoku w:val="0"/>
              <w:autoSpaceDE w:val="0"/>
              <w:autoSpaceDN w:val="0"/>
              <w:adjustRightInd w:val="0"/>
              <w:snapToGrid w:val="0"/>
              <w:spacing w:before="145" w:line="300" w:lineRule="auto"/>
              <w:ind w:left="112"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铝合金、塑钢门窗出厂时，应采取下横底框、中横框三层保护胶纸，其余部分二</w:t>
            </w:r>
            <w:r>
              <w:rPr>
                <w:rFonts w:ascii="宋体" w:hAnsi="宋体" w:cs="宋体"/>
                <w:snapToGrid w:val="0"/>
                <w:color w:val="000000" w:themeColor="text1"/>
                <w:spacing w:val="7"/>
                <w:kern w:val="0"/>
                <w:sz w:val="20"/>
                <w:szCs w:val="20"/>
                <w:highlight w:val="none"/>
                <w14:textFill>
                  <w14:solidFill>
                    <w14:schemeClr w14:val="tx1"/>
                  </w14:solidFill>
                </w14:textFill>
              </w:rPr>
              <w:t>层胶纸进行包扎保护，每缺少一层，违约金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p>
        </w:tc>
      </w:tr>
      <w:tr w14:paraId="14862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7182D66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6BCA30B">
            <w:pPr>
              <w:widowControl/>
              <w:kinsoku w:val="0"/>
              <w:autoSpaceDE w:val="0"/>
              <w:autoSpaceDN w:val="0"/>
              <w:adjustRightInd w:val="0"/>
              <w:snapToGrid w:val="0"/>
              <w:spacing w:line="4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65142D4">
            <w:pPr>
              <w:kinsoku w:val="0"/>
              <w:autoSpaceDE w:val="0"/>
              <w:autoSpaceDN w:val="0"/>
              <w:adjustRightInd w:val="0"/>
              <w:snapToGrid w:val="0"/>
              <w:spacing w:before="65" w:line="268"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17</w:t>
            </w:r>
          </w:p>
        </w:tc>
        <w:tc>
          <w:tcPr>
            <w:tcW w:w="7622" w:type="dxa"/>
          </w:tcPr>
          <w:p w14:paraId="0B4FE56A">
            <w:pPr>
              <w:kinsoku w:val="0"/>
              <w:autoSpaceDE w:val="0"/>
              <w:autoSpaceDN w:val="0"/>
              <w:adjustRightInd w:val="0"/>
              <w:snapToGrid w:val="0"/>
              <w:spacing w:before="144" w:line="323"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0"/>
                <w:kern w:val="0"/>
                <w:sz w:val="20"/>
                <w:szCs w:val="20"/>
                <w:highlight w:val="none"/>
                <w14:textFill>
                  <w14:solidFill>
                    <w14:schemeClr w14:val="tx1"/>
                  </w14:solidFill>
                </w14:textFill>
              </w:rPr>
              <w:t>严禁施工阶段私自撕毁保护材料，每发现一处违约金</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500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元，且必须负责保护材</w:t>
            </w:r>
            <w:r>
              <w:rPr>
                <w:rFonts w:ascii="宋体" w:hAnsi="宋体" w:cs="宋体"/>
                <w:snapToGrid w:val="0"/>
                <w:color w:val="000000" w:themeColor="text1"/>
                <w:spacing w:val="11"/>
                <w:kern w:val="0"/>
                <w:sz w:val="20"/>
                <w:szCs w:val="20"/>
                <w:highlight w:val="none"/>
                <w14:textFill>
                  <w14:solidFill>
                    <w14:schemeClr w14:val="tx1"/>
                  </w14:solidFill>
                </w14:textFill>
              </w:rPr>
              <w:t>料的补扎费用。门窗保护材料应报监理签字同意后方能进行撕除，未经同意每次</w:t>
            </w:r>
            <w:r>
              <w:rPr>
                <w:rFonts w:ascii="宋体" w:hAnsi="宋体" w:cs="宋体"/>
                <w:snapToGrid w:val="0"/>
                <w:color w:val="000000" w:themeColor="text1"/>
                <w:spacing w:val="1"/>
                <w:kern w:val="0"/>
                <w:sz w:val="20"/>
                <w:szCs w:val="20"/>
                <w:highlight w:val="none"/>
                <w14:textFill>
                  <w14:solidFill>
                    <w14:schemeClr w14:val="tx1"/>
                  </w14:solidFill>
                </w14:textFill>
              </w:rPr>
              <w:t>违约金</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1000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
                <w:kern w:val="0"/>
                <w:sz w:val="20"/>
                <w:szCs w:val="20"/>
                <w:highlight w:val="none"/>
                <w14:textFill>
                  <w14:solidFill>
                    <w14:schemeClr w14:val="tx1"/>
                  </w14:solidFill>
                </w14:textFill>
              </w:rPr>
              <w:t>元。</w:t>
            </w:r>
          </w:p>
        </w:tc>
      </w:tr>
      <w:tr w14:paraId="16F0E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104F6F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B12297B">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DC4FEFF">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18</w:t>
            </w:r>
          </w:p>
        </w:tc>
        <w:tc>
          <w:tcPr>
            <w:tcW w:w="7622" w:type="dxa"/>
          </w:tcPr>
          <w:p w14:paraId="55DC8409">
            <w:pPr>
              <w:kinsoku w:val="0"/>
              <w:autoSpaceDE w:val="0"/>
              <w:autoSpaceDN w:val="0"/>
              <w:adjustRightInd w:val="0"/>
              <w:snapToGrid w:val="0"/>
              <w:spacing w:before="145" w:line="300" w:lineRule="auto"/>
              <w:ind w:left="114" w:right="110"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严禁无保护措施电焊作业，经发现每次违约金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元，造</w:t>
            </w:r>
            <w:r>
              <w:rPr>
                <w:rFonts w:ascii="宋体" w:hAnsi="宋体" w:cs="宋体"/>
                <w:snapToGrid w:val="0"/>
                <w:color w:val="000000" w:themeColor="text1"/>
                <w:spacing w:val="6"/>
                <w:kern w:val="0"/>
                <w:sz w:val="20"/>
                <w:szCs w:val="20"/>
                <w:highlight w:val="none"/>
                <w14:textFill>
                  <w14:solidFill>
                    <w14:schemeClr w14:val="tx1"/>
                  </w14:solidFill>
                </w14:textFill>
              </w:rPr>
              <w:t>成成品损坏，则赔偿返</w:t>
            </w:r>
            <w:r>
              <w:rPr>
                <w:rFonts w:ascii="宋体" w:hAnsi="宋体" w:cs="宋体"/>
                <w:snapToGrid w:val="0"/>
                <w:color w:val="000000" w:themeColor="text1"/>
                <w:spacing w:val="4"/>
                <w:kern w:val="0"/>
                <w:sz w:val="20"/>
                <w:szCs w:val="20"/>
                <w:highlight w:val="none"/>
                <w14:textFill>
                  <w14:solidFill>
                    <w14:schemeClr w14:val="tx1"/>
                  </w14:solidFill>
                </w14:textFill>
              </w:rPr>
              <w:t>工费用。</w:t>
            </w:r>
          </w:p>
        </w:tc>
      </w:tr>
      <w:tr w14:paraId="5FD52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831" w:type="dxa"/>
            <w:vMerge w:val="continue"/>
            <w:tcBorders>
              <w:top w:val="nil"/>
              <w:bottom w:val="nil"/>
            </w:tcBorders>
          </w:tcPr>
          <w:p w14:paraId="698F2DD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DF3BAC8">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A0CAED5">
            <w:pPr>
              <w:kinsoku w:val="0"/>
              <w:autoSpaceDE w:val="0"/>
              <w:autoSpaceDN w:val="0"/>
              <w:adjustRightInd w:val="0"/>
              <w:snapToGrid w:val="0"/>
              <w:spacing w:before="65" w:line="269" w:lineRule="exact"/>
              <w:ind w:left="33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7"/>
                <w:kern w:val="0"/>
                <w:position w:val="1"/>
                <w:sz w:val="20"/>
                <w:szCs w:val="20"/>
                <w:highlight w:val="none"/>
                <w:lang w:eastAsia="en-US"/>
                <w14:textFill>
                  <w14:solidFill>
                    <w14:schemeClr w14:val="tx1"/>
                  </w14:solidFill>
                </w14:textFill>
              </w:rPr>
              <w:t>19</w:t>
            </w:r>
          </w:p>
        </w:tc>
        <w:tc>
          <w:tcPr>
            <w:tcW w:w="7622" w:type="dxa"/>
          </w:tcPr>
          <w:p w14:paraId="598E773F">
            <w:pPr>
              <w:kinsoku w:val="0"/>
              <w:autoSpaceDE w:val="0"/>
              <w:autoSpaceDN w:val="0"/>
              <w:adjustRightInd w:val="0"/>
              <w:snapToGrid w:val="0"/>
              <w:spacing w:before="145" w:line="323" w:lineRule="auto"/>
              <w:ind w:left="127" w:right="110" w:hanging="1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铝合金、塑钢门下框上严禁斗车或重物直接拖过，利用门窗洞口作运输通道的，</w:t>
            </w:r>
            <w:r>
              <w:rPr>
                <w:rFonts w:ascii="宋体" w:hAnsi="宋体" w:cs="宋体"/>
                <w:snapToGrid w:val="0"/>
                <w:color w:val="000000" w:themeColor="text1"/>
                <w:spacing w:val="17"/>
                <w:kern w:val="0"/>
                <w:sz w:val="20"/>
                <w:szCs w:val="20"/>
                <w:highlight w:val="none"/>
                <w14:textFill>
                  <w14:solidFill>
                    <w14:schemeClr w14:val="tx1"/>
                  </w14:solidFill>
                </w14:textFill>
              </w:rPr>
              <w:t>门窗底框应用木枋盖板固定牢固加以保护，造成门下框损坏变形的每处违约金</w:t>
            </w:r>
            <w:r>
              <w:rPr>
                <w:rFonts w:ascii="宋体" w:hAnsi="宋体" w:cs="宋体"/>
                <w:snapToGrid w:val="0"/>
                <w:color w:val="000000" w:themeColor="text1"/>
                <w:spacing w:val="5"/>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元并赔偿返工费用。</w:t>
            </w:r>
          </w:p>
        </w:tc>
      </w:tr>
      <w:tr w14:paraId="3C0A4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402A5AB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467E480">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6186F7C">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20</w:t>
            </w:r>
          </w:p>
        </w:tc>
        <w:tc>
          <w:tcPr>
            <w:tcW w:w="7622" w:type="dxa"/>
          </w:tcPr>
          <w:p w14:paraId="0779700B">
            <w:pPr>
              <w:kinsoku w:val="0"/>
              <w:autoSpaceDE w:val="0"/>
              <w:autoSpaceDN w:val="0"/>
              <w:adjustRightInd w:val="0"/>
              <w:snapToGrid w:val="0"/>
              <w:spacing w:before="144" w:line="301" w:lineRule="auto"/>
              <w:ind w:left="113"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木门油漆时应作好相应的保护工作，不得让油漆流到门上五金表面，掉落</w:t>
            </w:r>
            <w:r>
              <w:rPr>
                <w:rFonts w:ascii="宋体" w:hAnsi="宋体" w:cs="宋体"/>
                <w:snapToGrid w:val="0"/>
                <w:color w:val="000000" w:themeColor="text1"/>
                <w:spacing w:val="6"/>
                <w:kern w:val="0"/>
                <w:sz w:val="20"/>
                <w:szCs w:val="20"/>
                <w:highlight w:val="none"/>
                <w14:textFill>
                  <w14:solidFill>
                    <w14:schemeClr w14:val="tx1"/>
                  </w14:solidFill>
                </w14:textFill>
              </w:rPr>
              <w:t>到地面，</w:t>
            </w:r>
            <w:r>
              <w:rPr>
                <w:rFonts w:ascii="宋体" w:hAnsi="宋体" w:cs="宋体"/>
                <w:snapToGrid w:val="0"/>
                <w:color w:val="000000" w:themeColor="text1"/>
                <w:spacing w:val="11"/>
                <w:kern w:val="0"/>
                <w:sz w:val="20"/>
                <w:szCs w:val="20"/>
                <w:highlight w:val="none"/>
                <w14:textFill>
                  <w14:solidFill>
                    <w14:schemeClr w14:val="tx1"/>
                  </w14:solidFill>
                </w14:textFill>
              </w:rPr>
              <w:t>污染墙面等，五金件应用胶纸进行保护，发现此类污染问题，每次（处）违约金</w:t>
            </w:r>
          </w:p>
        </w:tc>
      </w:tr>
    </w:tbl>
    <w:p w14:paraId="0ADF6321">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5EA7296">
      <w:pPr>
        <w:rPr>
          <w:color w:val="000000" w:themeColor="text1"/>
          <w:highlight w:val="none"/>
          <w14:textFill>
            <w14:solidFill>
              <w14:schemeClr w14:val="tx1"/>
            </w14:solidFill>
          </w14:textFill>
        </w:rPr>
        <w:sectPr>
          <w:footerReference r:id="rId82" w:type="default"/>
          <w:pgSz w:w="11906" w:h="16839"/>
          <w:pgMar w:top="1182" w:right="1304" w:bottom="1168" w:left="1304" w:header="849" w:footer="934" w:gutter="0"/>
          <w:cols w:space="720" w:num="1"/>
        </w:sectPr>
      </w:pPr>
    </w:p>
    <w:p w14:paraId="42EB3DF8">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2354A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31" w:type="dxa"/>
          </w:tcPr>
          <w:p w14:paraId="70372F6A">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75A9B96E">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69C3AA4B">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02E18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68614F3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6C7EC2F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7622" w:type="dxa"/>
          </w:tcPr>
          <w:p w14:paraId="55DCD4D7">
            <w:pPr>
              <w:kinsoku w:val="0"/>
              <w:autoSpaceDE w:val="0"/>
              <w:autoSpaceDN w:val="0"/>
              <w:adjustRightInd w:val="0"/>
              <w:snapToGrid w:val="0"/>
              <w:spacing w:before="141" w:line="228" w:lineRule="auto"/>
              <w:ind w:left="11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500</w:t>
            </w:r>
            <w:r>
              <w:rPr>
                <w:rFonts w:ascii="宋体" w:hAnsi="宋体" w:cs="宋体"/>
                <w:snapToGrid w:val="0"/>
                <w:color w:val="000000" w:themeColor="text1"/>
                <w:spacing w:val="-38"/>
                <w:kern w:val="0"/>
                <w:sz w:val="20"/>
                <w:szCs w:val="20"/>
                <w:highlight w:val="none"/>
                <w:lang w:eastAsia="en-US"/>
                <w14:textFill>
                  <w14:solidFill>
                    <w14:schemeClr w14:val="tx1"/>
                  </w14:solidFill>
                </w14:textFill>
              </w:rPr>
              <w:t xml:space="preserve"> </w:t>
            </w:r>
            <w:r>
              <w:rPr>
                <w:rFonts w:ascii="宋体" w:hAnsi="宋体" w:cs="宋体"/>
                <w:snapToGrid w:val="0"/>
                <w:color w:val="000000" w:themeColor="text1"/>
                <w:kern w:val="0"/>
                <w:sz w:val="20"/>
                <w:szCs w:val="20"/>
                <w:highlight w:val="none"/>
                <w:lang w:eastAsia="en-US"/>
                <w14:textFill>
                  <w14:solidFill>
                    <w14:schemeClr w14:val="tx1"/>
                  </w14:solidFill>
                </w14:textFill>
              </w:rPr>
              <w:t>元。</w:t>
            </w:r>
          </w:p>
        </w:tc>
      </w:tr>
      <w:tr w14:paraId="22175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AB8810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839" w:type="dxa"/>
          </w:tcPr>
          <w:p w14:paraId="6426D3F4">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74BEF9D">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21</w:t>
            </w:r>
          </w:p>
        </w:tc>
        <w:tc>
          <w:tcPr>
            <w:tcW w:w="7622" w:type="dxa"/>
          </w:tcPr>
          <w:p w14:paraId="49E6BBA3">
            <w:pPr>
              <w:kinsoku w:val="0"/>
              <w:autoSpaceDE w:val="0"/>
              <w:autoSpaceDN w:val="0"/>
              <w:adjustRightInd w:val="0"/>
              <w:snapToGrid w:val="0"/>
              <w:spacing w:before="140" w:line="302" w:lineRule="auto"/>
              <w:ind w:left="112" w:right="5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严禁在木门框、扇及窗上乱写乱画乱刮，每发现一次违约金</w:t>
            </w:r>
            <w:r>
              <w:rPr>
                <w:rFonts w:ascii="宋体" w:hAnsi="宋体" w:cs="宋体"/>
                <w:snapToGrid w:val="0"/>
                <w:color w:val="000000" w:themeColor="text1"/>
                <w:spacing w:val="-2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元，</w:t>
            </w:r>
            <w:r>
              <w:rPr>
                <w:rFonts w:ascii="宋体" w:hAnsi="宋体" w:cs="宋体"/>
                <w:snapToGrid w:val="0"/>
                <w:color w:val="000000" w:themeColor="text1"/>
                <w:spacing w:val="2"/>
                <w:kern w:val="0"/>
                <w:sz w:val="20"/>
                <w:szCs w:val="20"/>
                <w:highlight w:val="none"/>
                <w14:textFill>
                  <w14:solidFill>
                    <w14:schemeClr w14:val="tx1"/>
                  </w14:solidFill>
                </w14:textFill>
              </w:rPr>
              <w:t>造成损坏的，</w:t>
            </w:r>
            <w:r>
              <w:rPr>
                <w:rFonts w:ascii="宋体" w:hAnsi="宋体" w:cs="宋体"/>
                <w:snapToGrid w:val="0"/>
                <w:color w:val="000000" w:themeColor="text1"/>
                <w:spacing w:val="7"/>
                <w:kern w:val="0"/>
                <w:sz w:val="20"/>
                <w:szCs w:val="20"/>
                <w:highlight w:val="none"/>
                <w14:textFill>
                  <w14:solidFill>
                    <w14:schemeClr w14:val="tx1"/>
                  </w14:solidFill>
                </w14:textFill>
              </w:rPr>
              <w:t>应无条件赔偿。</w:t>
            </w:r>
          </w:p>
        </w:tc>
      </w:tr>
      <w:tr w14:paraId="72CC0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B82F3C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210E1393">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C78DC63">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22</w:t>
            </w:r>
          </w:p>
        </w:tc>
        <w:tc>
          <w:tcPr>
            <w:tcW w:w="7622" w:type="dxa"/>
          </w:tcPr>
          <w:p w14:paraId="749A8550">
            <w:pPr>
              <w:kinsoku w:val="0"/>
              <w:autoSpaceDE w:val="0"/>
              <w:autoSpaceDN w:val="0"/>
              <w:adjustRightInd w:val="0"/>
              <w:snapToGrid w:val="0"/>
              <w:spacing w:before="140" w:line="302" w:lineRule="auto"/>
              <w:ind w:left="112" w:right="108" w:firstLine="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严禁通过窗口向外倾倒垃圾、污水或传递、投掷物品，否则每次违约金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w:t>
            </w:r>
            <w:r>
              <w:rPr>
                <w:rFonts w:ascii="宋体" w:hAnsi="宋体" w:cs="宋体"/>
                <w:snapToGrid w:val="0"/>
                <w:color w:val="000000" w:themeColor="text1"/>
                <w:spacing w:val="6"/>
                <w:kern w:val="0"/>
                <w:sz w:val="20"/>
                <w:szCs w:val="20"/>
                <w:highlight w:val="none"/>
                <w14:textFill>
                  <w14:solidFill>
                    <w14:schemeClr w14:val="tx1"/>
                  </w14:solidFill>
                </w14:textFill>
              </w:rPr>
              <w:t>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r>
              <w:rPr>
                <w:rFonts w:ascii="宋体" w:hAnsi="宋体" w:cs="宋体"/>
                <w:snapToGrid w:val="0"/>
                <w:color w:val="000000" w:themeColor="text1"/>
                <w:spacing w:val="9"/>
                <w:kern w:val="0"/>
                <w:sz w:val="20"/>
                <w:szCs w:val="20"/>
                <w:highlight w:val="none"/>
                <w14:textFill>
                  <w14:solidFill>
                    <w14:schemeClr w14:val="tx1"/>
                  </w14:solidFill>
                </w14:textFill>
              </w:rPr>
              <w:t>造成窗构件等损坏的，则赔偿返工费用</w:t>
            </w:r>
          </w:p>
        </w:tc>
      </w:tr>
      <w:tr w14:paraId="6E88A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55A77FC">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809E7F4">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EEB2E37">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23</w:t>
            </w:r>
          </w:p>
        </w:tc>
        <w:tc>
          <w:tcPr>
            <w:tcW w:w="7622" w:type="dxa"/>
          </w:tcPr>
          <w:p w14:paraId="642CA5EF">
            <w:pPr>
              <w:kinsoku w:val="0"/>
              <w:autoSpaceDE w:val="0"/>
              <w:autoSpaceDN w:val="0"/>
              <w:adjustRightInd w:val="0"/>
              <w:snapToGrid w:val="0"/>
              <w:spacing w:before="140" w:line="302" w:lineRule="auto"/>
              <w:ind w:left="117" w:right="108"/>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外墙面施工完毕后，不得在其上方从事有污染物的油漆、水泥浆作业，否则，每</w:t>
            </w:r>
            <w:r>
              <w:rPr>
                <w:rFonts w:ascii="宋体" w:hAnsi="宋体" w:cs="宋体"/>
                <w:snapToGrid w:val="0"/>
                <w:color w:val="000000" w:themeColor="text1"/>
                <w:spacing w:val="7"/>
                <w:kern w:val="0"/>
                <w:sz w:val="20"/>
                <w:szCs w:val="20"/>
                <w:highlight w:val="none"/>
                <w14:textFill>
                  <w14:solidFill>
                    <w14:schemeClr w14:val="tx1"/>
                  </w14:solidFill>
                </w14:textFill>
              </w:rPr>
              <w:t>处（次）违约金</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元，造成墙面污染时则赔偿返工费用。</w:t>
            </w:r>
          </w:p>
        </w:tc>
      </w:tr>
      <w:tr w14:paraId="1E1E4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386DA90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1E92024">
            <w:pPr>
              <w:widowControl/>
              <w:kinsoku w:val="0"/>
              <w:autoSpaceDE w:val="0"/>
              <w:autoSpaceDN w:val="0"/>
              <w:adjustRightInd w:val="0"/>
              <w:snapToGrid w:val="0"/>
              <w:spacing w:line="47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20136AD">
            <w:pPr>
              <w:kinsoku w:val="0"/>
              <w:autoSpaceDE w:val="0"/>
              <w:autoSpaceDN w:val="0"/>
              <w:adjustRightInd w:val="0"/>
              <w:snapToGrid w:val="0"/>
              <w:spacing w:before="65" w:line="270"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24</w:t>
            </w:r>
          </w:p>
        </w:tc>
        <w:tc>
          <w:tcPr>
            <w:tcW w:w="7622" w:type="dxa"/>
          </w:tcPr>
          <w:p w14:paraId="7E4E05BF">
            <w:pPr>
              <w:kinsoku w:val="0"/>
              <w:autoSpaceDE w:val="0"/>
              <w:autoSpaceDN w:val="0"/>
              <w:adjustRightInd w:val="0"/>
              <w:snapToGrid w:val="0"/>
              <w:spacing w:before="141" w:line="324"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排栅拆除时，应仔细清除排栅操作层的各类杂物，严禁向外抛掷排栅管及各类杂物，防止杂物自由下落撞坏外墙面及玻璃等，否则每抛掷排栅管等杂物一次违约</w:t>
            </w:r>
            <w:r>
              <w:rPr>
                <w:rFonts w:ascii="宋体" w:hAnsi="宋体" w:cs="宋体"/>
                <w:snapToGrid w:val="0"/>
                <w:color w:val="000000" w:themeColor="text1"/>
                <w:spacing w:val="7"/>
                <w:kern w:val="0"/>
                <w:sz w:val="20"/>
                <w:szCs w:val="20"/>
                <w:highlight w:val="none"/>
                <w14:textFill>
                  <w14:solidFill>
                    <w14:schemeClr w14:val="tx1"/>
                  </w14:solidFill>
                </w14:textFill>
              </w:rPr>
              <w:t>金</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元，每撞坏外墙面及玻璃等违约金</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500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元，造成损坏则赔偿返工费用。</w:t>
            </w:r>
          </w:p>
        </w:tc>
      </w:tr>
      <w:tr w14:paraId="6734B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5936B4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1045611">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F853E61">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25</w:t>
            </w:r>
          </w:p>
        </w:tc>
        <w:tc>
          <w:tcPr>
            <w:tcW w:w="7622" w:type="dxa"/>
          </w:tcPr>
          <w:p w14:paraId="7F35E016">
            <w:pPr>
              <w:kinsoku w:val="0"/>
              <w:autoSpaceDE w:val="0"/>
              <w:autoSpaceDN w:val="0"/>
              <w:adjustRightInd w:val="0"/>
              <w:snapToGrid w:val="0"/>
              <w:spacing w:before="140" w:line="302" w:lineRule="auto"/>
              <w:ind w:left="121" w:right="108" w:firstLine="1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内外墙施工完毕后，严禁在墙面上乱写乱画乱划，每发现一次违约金</w:t>
            </w:r>
            <w:r>
              <w:rPr>
                <w:rFonts w:ascii="宋体" w:hAnsi="宋体" w:cs="宋体"/>
                <w:snapToGrid w:val="0"/>
                <w:color w:val="000000" w:themeColor="text1"/>
                <w:spacing w:val="-1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元，并负责赔偿修复费用。</w:t>
            </w:r>
          </w:p>
        </w:tc>
      </w:tr>
      <w:tr w14:paraId="6B639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0D75A04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8AE09F0">
            <w:pPr>
              <w:widowControl/>
              <w:kinsoku w:val="0"/>
              <w:autoSpaceDE w:val="0"/>
              <w:autoSpaceDN w:val="0"/>
              <w:adjustRightInd w:val="0"/>
              <w:snapToGrid w:val="0"/>
              <w:spacing w:line="47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C21D0C9">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26</w:t>
            </w:r>
          </w:p>
        </w:tc>
        <w:tc>
          <w:tcPr>
            <w:tcW w:w="7622" w:type="dxa"/>
          </w:tcPr>
          <w:p w14:paraId="3DFE2EB3">
            <w:pPr>
              <w:kinsoku w:val="0"/>
              <w:autoSpaceDE w:val="0"/>
              <w:autoSpaceDN w:val="0"/>
              <w:adjustRightInd w:val="0"/>
              <w:snapToGrid w:val="0"/>
              <w:spacing w:before="141" w:line="324" w:lineRule="auto"/>
              <w:ind w:left="114" w:right="108" w:firstLine="23"/>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内外墙面装修完毕后，严禁水、</w:t>
            </w:r>
            <w:r>
              <w:rPr>
                <w:rFonts w:ascii="宋体" w:hAnsi="宋体" w:cs="宋体"/>
                <w:snapToGrid w:val="0"/>
                <w:color w:val="000000" w:themeColor="text1"/>
                <w:spacing w:val="-4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电、通讯、煤气等专业工班私自修改，确有必要</w:t>
            </w:r>
            <w:r>
              <w:rPr>
                <w:rFonts w:ascii="宋体" w:hAnsi="宋体" w:cs="宋体"/>
                <w:snapToGrid w:val="0"/>
                <w:color w:val="000000" w:themeColor="text1"/>
                <w:spacing w:val="8"/>
                <w:kern w:val="0"/>
                <w:sz w:val="20"/>
                <w:szCs w:val="20"/>
                <w:highlight w:val="none"/>
                <w14:textFill>
                  <w14:solidFill>
                    <w14:schemeClr w14:val="tx1"/>
                  </w14:solidFill>
                </w14:textFill>
              </w:rPr>
              <w:t>时，应召开协调会议，研究修改方案，确定成品保护措施，否则每次违约金</w:t>
            </w:r>
            <w:r>
              <w:rPr>
                <w:rFonts w:ascii="宋体" w:hAnsi="宋体" w:cs="宋体"/>
                <w:snapToGrid w:val="0"/>
                <w:color w:val="000000" w:themeColor="text1"/>
                <w:spacing w:val="-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1000元，造成墙面污染的，应赔偿返工费用。</w:t>
            </w:r>
          </w:p>
        </w:tc>
      </w:tr>
      <w:tr w14:paraId="3F8BE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31" w:type="dxa"/>
            <w:vMerge w:val="continue"/>
            <w:tcBorders>
              <w:top w:val="nil"/>
              <w:bottom w:val="nil"/>
            </w:tcBorders>
          </w:tcPr>
          <w:p w14:paraId="3413C588">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4ADF641B">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49005C8">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035497E">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58FC21">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27</w:t>
            </w:r>
          </w:p>
        </w:tc>
        <w:tc>
          <w:tcPr>
            <w:tcW w:w="7622" w:type="dxa"/>
          </w:tcPr>
          <w:p w14:paraId="35E0042E">
            <w:pPr>
              <w:kinsoku w:val="0"/>
              <w:autoSpaceDE w:val="0"/>
              <w:autoSpaceDN w:val="0"/>
              <w:adjustRightInd w:val="0"/>
              <w:snapToGrid w:val="0"/>
              <w:spacing w:before="242" w:line="358" w:lineRule="auto"/>
              <w:ind w:left="112" w:right="108" w:firstLine="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外墙不得随意使用稀硫酸、草酸等腐蚀性较强的清洁剂清洗，对玻璃栏杆、栏杆等要求贴保护膜，且保护膜的撕除必须经项目部同意才能进行，否则每发现有强</w:t>
            </w:r>
            <w:r>
              <w:rPr>
                <w:rFonts w:ascii="宋体" w:hAnsi="宋体" w:cs="宋体"/>
                <w:snapToGrid w:val="0"/>
                <w:color w:val="000000" w:themeColor="text1"/>
                <w:spacing w:val="10"/>
                <w:kern w:val="0"/>
                <w:sz w:val="20"/>
                <w:szCs w:val="20"/>
                <w:highlight w:val="none"/>
                <w14:textFill>
                  <w14:solidFill>
                    <w14:schemeClr w14:val="tx1"/>
                  </w14:solidFill>
                </w14:textFill>
              </w:rPr>
              <w:t>腐蚀性清洗剂造成污染或锈蚀、脱漆、铝窗件变色的每处违约金</w:t>
            </w:r>
            <w:r>
              <w:rPr>
                <w:rFonts w:ascii="宋体" w:hAnsi="宋体" w:cs="宋体"/>
                <w:snapToGrid w:val="0"/>
                <w:color w:val="000000" w:themeColor="text1"/>
                <w:spacing w:val="-2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300</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元，每少贴</w:t>
            </w:r>
            <w:r>
              <w:rPr>
                <w:rFonts w:ascii="宋体" w:hAnsi="宋体" w:cs="宋体"/>
                <w:snapToGrid w:val="0"/>
                <w:color w:val="000000" w:themeColor="text1"/>
                <w:spacing w:val="6"/>
                <w:kern w:val="0"/>
                <w:sz w:val="20"/>
                <w:szCs w:val="20"/>
                <w:highlight w:val="none"/>
                <w14:textFill>
                  <w14:solidFill>
                    <w14:schemeClr w14:val="tx1"/>
                  </w14:solidFill>
                </w14:textFill>
              </w:rPr>
              <w:t>保护膜一处违约金</w:t>
            </w:r>
            <w:r>
              <w:rPr>
                <w:rFonts w:ascii="宋体" w:hAnsi="宋体" w:cs="宋体"/>
                <w:snapToGrid w:val="0"/>
                <w:color w:val="000000" w:themeColor="text1"/>
                <w:spacing w:val="-1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100</w:t>
            </w:r>
            <w:r>
              <w:rPr>
                <w:rFonts w:ascii="宋体" w:hAnsi="宋体" w:cs="宋体"/>
                <w:snapToGrid w:val="0"/>
                <w:color w:val="000000" w:themeColor="text1"/>
                <w:spacing w:val="-3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元，未经同意撕除保护膜违约金</w:t>
            </w:r>
            <w:r>
              <w:rPr>
                <w:rFonts w:ascii="宋体" w:hAnsi="宋体" w:cs="宋体"/>
                <w:snapToGrid w:val="0"/>
                <w:color w:val="000000" w:themeColor="text1"/>
                <w:spacing w:val="-3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元。</w:t>
            </w:r>
          </w:p>
        </w:tc>
      </w:tr>
      <w:tr w14:paraId="240FA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DF62747">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74B203E">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DAB86F2">
            <w:pPr>
              <w:kinsoku w:val="0"/>
              <w:autoSpaceDE w:val="0"/>
              <w:autoSpaceDN w:val="0"/>
              <w:adjustRightInd w:val="0"/>
              <w:snapToGrid w:val="0"/>
              <w:spacing w:before="65" w:line="268"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28</w:t>
            </w:r>
          </w:p>
        </w:tc>
        <w:tc>
          <w:tcPr>
            <w:tcW w:w="7622" w:type="dxa"/>
          </w:tcPr>
          <w:p w14:paraId="6AA84DD4">
            <w:pPr>
              <w:kinsoku w:val="0"/>
              <w:autoSpaceDE w:val="0"/>
              <w:autoSpaceDN w:val="0"/>
              <w:adjustRightInd w:val="0"/>
              <w:snapToGrid w:val="0"/>
              <w:spacing w:before="142" w:line="301" w:lineRule="auto"/>
              <w:ind w:left="114" w:right="106" w:firstLine="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安装完好的洁具池盒内，严禁倾倒垃圾，浸泡什物，洗手洗物，如经发现处以</w:t>
            </w:r>
            <w:r>
              <w:rPr>
                <w:rFonts w:ascii="宋体" w:hAnsi="宋体" w:cs="宋体"/>
                <w:snapToGrid w:val="0"/>
                <w:color w:val="000000" w:themeColor="text1"/>
                <w:spacing w:val="-3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500</w:t>
            </w:r>
            <w:r>
              <w:rPr>
                <w:rFonts w:ascii="宋体" w:hAnsi="宋体" w:cs="宋体"/>
                <w:snapToGrid w:val="0"/>
                <w:color w:val="000000" w:themeColor="text1"/>
                <w:spacing w:val="9"/>
                <w:kern w:val="0"/>
                <w:sz w:val="20"/>
                <w:szCs w:val="20"/>
                <w:highlight w:val="none"/>
                <w14:textFill>
                  <w14:solidFill>
                    <w14:schemeClr w14:val="tx1"/>
                  </w14:solidFill>
                </w14:textFill>
              </w:rPr>
              <w:t>元违约金，在使用中形成器具损坏、堵塞的，照价赔偿。</w:t>
            </w:r>
          </w:p>
        </w:tc>
      </w:tr>
      <w:tr w14:paraId="5FB78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045C15F">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0FDE9927">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7088D19">
            <w:pPr>
              <w:kinsoku w:val="0"/>
              <w:autoSpaceDE w:val="0"/>
              <w:autoSpaceDN w:val="0"/>
              <w:adjustRightInd w:val="0"/>
              <w:snapToGrid w:val="0"/>
              <w:spacing w:before="65" w:line="269" w:lineRule="exact"/>
              <w:ind w:left="32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1"/>
                <w:kern w:val="0"/>
                <w:position w:val="1"/>
                <w:sz w:val="20"/>
                <w:szCs w:val="20"/>
                <w:highlight w:val="none"/>
                <w:lang w:eastAsia="en-US"/>
                <w14:textFill>
                  <w14:solidFill>
                    <w14:schemeClr w14:val="tx1"/>
                  </w14:solidFill>
                </w14:textFill>
              </w:rPr>
              <w:t>29</w:t>
            </w:r>
          </w:p>
        </w:tc>
        <w:tc>
          <w:tcPr>
            <w:tcW w:w="7622" w:type="dxa"/>
          </w:tcPr>
          <w:p w14:paraId="7199DE60">
            <w:pPr>
              <w:kinsoku w:val="0"/>
              <w:autoSpaceDE w:val="0"/>
              <w:autoSpaceDN w:val="0"/>
              <w:adjustRightInd w:val="0"/>
              <w:snapToGrid w:val="0"/>
              <w:spacing w:before="142" w:line="301" w:lineRule="auto"/>
              <w:ind w:left="113" w:right="110"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在已铺植草皮的绿地上随意践踏、倾倒污物垃圾，每次违约金</w:t>
            </w:r>
            <w:r>
              <w:rPr>
                <w:rFonts w:ascii="宋体" w:hAnsi="宋体" w:cs="宋体"/>
                <w:snapToGrid w:val="0"/>
                <w:color w:val="000000" w:themeColor="text1"/>
                <w:spacing w:val="-2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w:t>
            </w:r>
            <w:r>
              <w:rPr>
                <w:rFonts w:ascii="宋体" w:hAnsi="宋体" w:cs="宋体"/>
                <w:snapToGrid w:val="0"/>
                <w:color w:val="000000" w:themeColor="text1"/>
                <w:spacing w:val="6"/>
                <w:kern w:val="0"/>
                <w:sz w:val="20"/>
                <w:szCs w:val="20"/>
                <w:highlight w:val="none"/>
                <w14:textFill>
                  <w14:solidFill>
                    <w14:schemeClr w14:val="tx1"/>
                  </w14:solidFill>
                </w14:textFill>
              </w:rPr>
              <w:t>造成苗木</w:t>
            </w:r>
            <w:r>
              <w:rPr>
                <w:rFonts w:ascii="宋体" w:hAnsi="宋体" w:cs="宋体"/>
                <w:snapToGrid w:val="0"/>
                <w:color w:val="000000" w:themeColor="text1"/>
                <w:spacing w:val="8"/>
                <w:kern w:val="0"/>
                <w:sz w:val="20"/>
                <w:szCs w:val="20"/>
                <w:highlight w:val="none"/>
                <w14:textFill>
                  <w14:solidFill>
                    <w14:schemeClr w14:val="tx1"/>
                  </w14:solidFill>
                </w14:textFill>
              </w:rPr>
              <w:t>枯死的，必须赔偿所有费用。</w:t>
            </w:r>
          </w:p>
        </w:tc>
      </w:tr>
      <w:tr w14:paraId="20C35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0D82084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556D5E75">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74DCF62">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30</w:t>
            </w:r>
          </w:p>
        </w:tc>
        <w:tc>
          <w:tcPr>
            <w:tcW w:w="7622" w:type="dxa"/>
          </w:tcPr>
          <w:p w14:paraId="63F5572C">
            <w:pPr>
              <w:kinsoku w:val="0"/>
              <w:autoSpaceDE w:val="0"/>
              <w:autoSpaceDN w:val="0"/>
              <w:adjustRightInd w:val="0"/>
              <w:snapToGrid w:val="0"/>
              <w:spacing w:before="144" w:line="323" w:lineRule="auto"/>
              <w:ind w:left="116" w:right="108" w:hanging="4"/>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试压合格后须移交下道工序施工时应做好交接手续，加强工序交接管理，抓好水电和土建间相互交接的书面手续，同时施工员和监理人员要在事前做好交底和监</w:t>
            </w:r>
            <w:r>
              <w:rPr>
                <w:rFonts w:ascii="宋体" w:hAnsi="宋体" w:cs="宋体"/>
                <w:snapToGrid w:val="0"/>
                <w:color w:val="000000" w:themeColor="text1"/>
                <w:spacing w:val="7"/>
                <w:kern w:val="0"/>
                <w:sz w:val="20"/>
                <w:szCs w:val="20"/>
                <w:highlight w:val="none"/>
                <w14:textFill>
                  <w14:solidFill>
                    <w14:schemeClr w14:val="tx1"/>
                  </w14:solidFill>
                </w14:textFill>
              </w:rPr>
              <w:t>督检查。对未做交接验收手续的责任人每次处以</w:t>
            </w:r>
            <w:r>
              <w:rPr>
                <w:rFonts w:ascii="宋体" w:hAnsi="宋体" w:cs="宋体"/>
                <w:snapToGrid w:val="0"/>
                <w:color w:val="000000" w:themeColor="text1"/>
                <w:spacing w:val="-1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元违约金。</w:t>
            </w:r>
          </w:p>
        </w:tc>
      </w:tr>
      <w:tr w14:paraId="0338F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2911C682">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1A6BFAF">
            <w:pPr>
              <w:widowControl/>
              <w:kinsoku w:val="0"/>
              <w:autoSpaceDE w:val="0"/>
              <w:autoSpaceDN w:val="0"/>
              <w:adjustRightInd w:val="0"/>
              <w:snapToGrid w:val="0"/>
              <w:spacing w:line="33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4466CD6">
            <w:pPr>
              <w:widowControl/>
              <w:kinsoku w:val="0"/>
              <w:autoSpaceDE w:val="0"/>
              <w:autoSpaceDN w:val="0"/>
              <w:adjustRightInd w:val="0"/>
              <w:snapToGrid w:val="0"/>
              <w:spacing w:line="33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2BC1D30">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31</w:t>
            </w:r>
          </w:p>
        </w:tc>
        <w:tc>
          <w:tcPr>
            <w:tcW w:w="7622" w:type="dxa"/>
          </w:tcPr>
          <w:p w14:paraId="1D706738">
            <w:pPr>
              <w:kinsoku w:val="0"/>
              <w:autoSpaceDE w:val="0"/>
              <w:autoSpaceDN w:val="0"/>
              <w:adjustRightInd w:val="0"/>
              <w:snapToGrid w:val="0"/>
              <w:spacing w:before="142" w:line="335" w:lineRule="auto"/>
              <w:ind w:left="113"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给水管道在预埋完成后应做管道试压，给水管道应在管道定位后试压，在带常压时确认无渗漏后覆盖，在铺装木地板前应再次试压，预验前再进行系统整体试压</w:t>
            </w:r>
            <w:r>
              <w:rPr>
                <w:rFonts w:ascii="宋体" w:hAnsi="宋体" w:cs="宋体"/>
                <w:snapToGrid w:val="0"/>
                <w:color w:val="000000" w:themeColor="text1"/>
                <w:spacing w:val="3"/>
                <w:kern w:val="0"/>
                <w:sz w:val="20"/>
                <w:szCs w:val="20"/>
                <w:highlight w:val="none"/>
                <w14:textFill>
                  <w14:solidFill>
                    <w14:schemeClr w14:val="tx1"/>
                  </w14:solidFill>
                </w14:textFill>
              </w:rPr>
              <w:t>工作，每次试压都应做好试压记录。未试压就进行木地板铺装的，每处违约金</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3"/>
                <w:kern w:val="0"/>
                <w:sz w:val="20"/>
                <w:szCs w:val="20"/>
                <w:highlight w:val="none"/>
                <w14:textFill>
                  <w14:solidFill>
                    <w14:schemeClr w14:val="tx1"/>
                  </w14:solidFill>
                </w14:textFill>
              </w:rPr>
              <w:t>1000</w:t>
            </w:r>
            <w:r>
              <w:rPr>
                <w:rFonts w:ascii="宋体" w:hAnsi="宋体" w:cs="宋体"/>
                <w:snapToGrid w:val="0"/>
                <w:color w:val="000000" w:themeColor="text1"/>
                <w:spacing w:val="8"/>
                <w:kern w:val="0"/>
                <w:sz w:val="20"/>
                <w:szCs w:val="20"/>
                <w:highlight w:val="none"/>
                <w14:textFill>
                  <w14:solidFill>
                    <w14:schemeClr w14:val="tx1"/>
                  </w14:solidFill>
                </w14:textFill>
              </w:rPr>
              <w:t>元，造成木地板损坏时，要赔偿返工费用。</w:t>
            </w:r>
          </w:p>
        </w:tc>
      </w:tr>
      <w:tr w14:paraId="57702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6C8DE689">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7A8F70D6">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C237C58">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32</w:t>
            </w:r>
          </w:p>
        </w:tc>
        <w:tc>
          <w:tcPr>
            <w:tcW w:w="7622" w:type="dxa"/>
          </w:tcPr>
          <w:p w14:paraId="1C7AD359">
            <w:pPr>
              <w:kinsoku w:val="0"/>
              <w:autoSpaceDE w:val="0"/>
              <w:autoSpaceDN w:val="0"/>
              <w:adjustRightInd w:val="0"/>
              <w:snapToGrid w:val="0"/>
              <w:spacing w:before="144" w:line="301" w:lineRule="auto"/>
              <w:ind w:left="146" w:right="108" w:hanging="3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水电施工单位如未按本规定预埋并准确作出明显标志而造成结构层损坏的，责任</w:t>
            </w:r>
            <w:r>
              <w:rPr>
                <w:rFonts w:ascii="宋体" w:hAnsi="宋体" w:cs="宋体"/>
                <w:snapToGrid w:val="0"/>
                <w:color w:val="000000" w:themeColor="text1"/>
                <w:spacing w:val="5"/>
                <w:kern w:val="0"/>
                <w:sz w:val="20"/>
                <w:szCs w:val="20"/>
                <w:highlight w:val="none"/>
                <w14:textFill>
                  <w14:solidFill>
                    <w14:schemeClr w14:val="tx1"/>
                  </w14:solidFill>
                </w14:textFill>
              </w:rPr>
              <w:t>自负并赔偿土建返工的损失并处违约金</w:t>
            </w:r>
            <w:r>
              <w:rPr>
                <w:rFonts w:ascii="宋体" w:hAnsi="宋体" w:cs="宋体"/>
                <w:snapToGrid w:val="0"/>
                <w:color w:val="000000" w:themeColor="text1"/>
                <w:spacing w:val="-1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1000</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w:t>
            </w:r>
          </w:p>
        </w:tc>
      </w:tr>
      <w:tr w14:paraId="68E57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39AE7B20">
            <w:pPr>
              <w:kinsoku w:val="0"/>
              <w:autoSpaceDE w:val="0"/>
              <w:autoSpaceDN w:val="0"/>
              <w:adjustRightInd w:val="0"/>
              <w:snapToGrid w:val="0"/>
              <w:spacing w:before="227" w:line="228" w:lineRule="auto"/>
              <w:ind w:left="210"/>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3"/>
                <w:kern w:val="0"/>
                <w:sz w:val="20"/>
                <w:szCs w:val="20"/>
                <w:highlight w:val="none"/>
                <w:lang w:eastAsia="en-US"/>
                <w14:textFill>
                  <w14:solidFill>
                    <w14:schemeClr w14:val="tx1"/>
                  </w14:solidFill>
                </w14:textFill>
              </w:rPr>
              <w:t>类别</w:t>
            </w:r>
          </w:p>
        </w:tc>
        <w:tc>
          <w:tcPr>
            <w:tcW w:w="839" w:type="dxa"/>
          </w:tcPr>
          <w:p w14:paraId="5E7F0248">
            <w:pPr>
              <w:kinsoku w:val="0"/>
              <w:autoSpaceDE w:val="0"/>
              <w:autoSpaceDN w:val="0"/>
              <w:adjustRightInd w:val="0"/>
              <w:snapToGrid w:val="0"/>
              <w:spacing w:before="228" w:line="229" w:lineRule="auto"/>
              <w:ind w:left="211"/>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4"/>
                <w:kern w:val="0"/>
                <w:sz w:val="20"/>
                <w:szCs w:val="20"/>
                <w:highlight w:val="none"/>
                <w:lang w:eastAsia="en-US"/>
                <w14:textFill>
                  <w14:solidFill>
                    <w14:schemeClr w14:val="tx1"/>
                  </w14:solidFill>
                </w14:textFill>
              </w:rPr>
              <w:t>序号</w:t>
            </w:r>
          </w:p>
        </w:tc>
        <w:tc>
          <w:tcPr>
            <w:tcW w:w="7622" w:type="dxa"/>
          </w:tcPr>
          <w:p w14:paraId="3B8EBF99">
            <w:pPr>
              <w:kinsoku w:val="0"/>
              <w:autoSpaceDE w:val="0"/>
              <w:autoSpaceDN w:val="0"/>
              <w:adjustRightInd w:val="0"/>
              <w:snapToGrid w:val="0"/>
              <w:spacing w:before="228" w:line="228" w:lineRule="auto"/>
              <w:ind w:left="339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b/>
                <w:bCs/>
                <w:snapToGrid w:val="0"/>
                <w:color w:val="000000" w:themeColor="text1"/>
                <w:spacing w:val="6"/>
                <w:kern w:val="0"/>
                <w:sz w:val="20"/>
                <w:szCs w:val="20"/>
                <w:highlight w:val="none"/>
                <w:lang w:eastAsia="en-US"/>
                <w14:textFill>
                  <w14:solidFill>
                    <w14:schemeClr w14:val="tx1"/>
                  </w14:solidFill>
                </w14:textFill>
              </w:rPr>
              <w:t>违约项目</w:t>
            </w:r>
          </w:p>
        </w:tc>
      </w:tr>
      <w:tr w14:paraId="09AA7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831" w:type="dxa"/>
            <w:vMerge w:val="restart"/>
            <w:tcBorders>
              <w:bottom w:val="nil"/>
            </w:tcBorders>
            <w:vAlign w:val="center"/>
          </w:tcPr>
          <w:p w14:paraId="0AC63DFB">
            <w:pPr>
              <w:kinsoku w:val="0"/>
              <w:autoSpaceDE w:val="0"/>
              <w:autoSpaceDN w:val="0"/>
              <w:adjustRightInd w:val="0"/>
              <w:snapToGrid w:val="0"/>
              <w:jc w:val="center"/>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补充</w:t>
            </w:r>
            <w:r>
              <w:rPr>
                <w:rFonts w:ascii="宋体" w:hAnsi="宋体" w:cs="宋体"/>
                <w:snapToGrid w:val="0"/>
                <w:color w:val="000000" w:themeColor="text1"/>
                <w:spacing w:val="3"/>
                <w:kern w:val="0"/>
                <w:sz w:val="20"/>
                <w:szCs w:val="20"/>
                <w:highlight w:val="none"/>
                <w:lang w:eastAsia="en-US"/>
                <w14:textFill>
                  <w14:solidFill>
                    <w14:schemeClr w14:val="tx1"/>
                  </w14:solidFill>
                </w14:textFill>
              </w:rPr>
              <w:t>条款</w:t>
            </w:r>
          </w:p>
        </w:tc>
        <w:tc>
          <w:tcPr>
            <w:tcW w:w="839" w:type="dxa"/>
          </w:tcPr>
          <w:p w14:paraId="442E7716">
            <w:pPr>
              <w:widowControl/>
              <w:kinsoku w:val="0"/>
              <w:autoSpaceDE w:val="0"/>
              <w:autoSpaceDN w:val="0"/>
              <w:adjustRightInd w:val="0"/>
              <w:snapToGrid w:val="0"/>
              <w:spacing w:line="474"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9072B90">
            <w:pPr>
              <w:kinsoku w:val="0"/>
              <w:autoSpaceDE w:val="0"/>
              <w:autoSpaceDN w:val="0"/>
              <w:adjustRightInd w:val="0"/>
              <w:snapToGrid w:val="0"/>
              <w:spacing w:before="65" w:line="269"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33</w:t>
            </w:r>
          </w:p>
        </w:tc>
        <w:tc>
          <w:tcPr>
            <w:tcW w:w="7622" w:type="dxa"/>
          </w:tcPr>
          <w:p w14:paraId="52A5CC50">
            <w:pPr>
              <w:kinsoku w:val="0"/>
              <w:autoSpaceDE w:val="0"/>
              <w:autoSpaceDN w:val="0"/>
              <w:adjustRightInd w:val="0"/>
              <w:snapToGrid w:val="0"/>
              <w:spacing w:before="143" w:line="323" w:lineRule="auto"/>
              <w:ind w:left="112" w:right="108" w:firstLine="1"/>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其他各项工程施工过程中，违反相关规范或设计要求的，视其轻重程度，每发现</w:t>
            </w:r>
            <w:r>
              <w:rPr>
                <w:rFonts w:ascii="宋体" w:hAnsi="宋体" w:cs="宋体"/>
                <w:snapToGrid w:val="0"/>
                <w:color w:val="000000" w:themeColor="text1"/>
                <w:spacing w:val="9"/>
                <w:kern w:val="0"/>
                <w:sz w:val="20"/>
                <w:szCs w:val="20"/>
                <w:highlight w:val="none"/>
                <w14:textFill>
                  <w14:solidFill>
                    <w14:schemeClr w14:val="tx1"/>
                  </w14:solidFill>
                </w14:textFill>
              </w:rPr>
              <w:t>一处违约金</w:t>
            </w:r>
            <w:r>
              <w:rPr>
                <w:rFonts w:ascii="宋体" w:hAnsi="宋体" w:cs="宋体"/>
                <w:snapToGrid w:val="0"/>
                <w:color w:val="000000" w:themeColor="text1"/>
                <w:spacing w:val="-1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1000～5000</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元。以上内容除无条件接受违约金外,还应赔偿返工费用</w:t>
            </w:r>
            <w:r>
              <w:rPr>
                <w:rFonts w:ascii="宋体" w:hAnsi="宋体" w:cs="宋体"/>
                <w:snapToGrid w:val="0"/>
                <w:color w:val="000000" w:themeColor="text1"/>
                <w:spacing w:val="8"/>
                <w:kern w:val="0"/>
                <w:sz w:val="20"/>
                <w:szCs w:val="20"/>
                <w:highlight w:val="none"/>
                <w14:textFill>
                  <w14:solidFill>
                    <w14:schemeClr w14:val="tx1"/>
                  </w14:solidFill>
                </w14:textFill>
              </w:rPr>
              <w:t>及其所造成一切损失。</w:t>
            </w:r>
          </w:p>
        </w:tc>
      </w:tr>
      <w:tr w14:paraId="0E032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831" w:type="dxa"/>
            <w:vMerge w:val="continue"/>
            <w:tcBorders>
              <w:top w:val="nil"/>
              <w:bottom w:val="nil"/>
            </w:tcBorders>
          </w:tcPr>
          <w:p w14:paraId="10429CCD">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1B7E9FFB">
            <w:pPr>
              <w:widowControl/>
              <w:kinsoku w:val="0"/>
              <w:autoSpaceDE w:val="0"/>
              <w:autoSpaceDN w:val="0"/>
              <w:adjustRightInd w:val="0"/>
              <w:snapToGrid w:val="0"/>
              <w:spacing w:line="47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AA999AB">
            <w:pPr>
              <w:kinsoku w:val="0"/>
              <w:autoSpaceDE w:val="0"/>
              <w:autoSpaceDN w:val="0"/>
              <w:adjustRightInd w:val="0"/>
              <w:snapToGrid w:val="0"/>
              <w:spacing w:before="65" w:line="268" w:lineRule="exact"/>
              <w:ind w:left="322"/>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2"/>
                <w:kern w:val="0"/>
                <w:position w:val="1"/>
                <w:sz w:val="20"/>
                <w:szCs w:val="20"/>
                <w:highlight w:val="none"/>
                <w:lang w:eastAsia="en-US"/>
                <w14:textFill>
                  <w14:solidFill>
                    <w14:schemeClr w14:val="tx1"/>
                  </w14:solidFill>
                </w14:textFill>
              </w:rPr>
              <w:t>34</w:t>
            </w:r>
          </w:p>
        </w:tc>
        <w:tc>
          <w:tcPr>
            <w:tcW w:w="7622" w:type="dxa"/>
          </w:tcPr>
          <w:p w14:paraId="3096394B">
            <w:pPr>
              <w:kinsoku w:val="0"/>
              <w:autoSpaceDE w:val="0"/>
              <w:autoSpaceDN w:val="0"/>
              <w:adjustRightInd w:val="0"/>
              <w:snapToGrid w:val="0"/>
              <w:spacing w:before="143" w:line="323" w:lineRule="auto"/>
              <w:ind w:left="112" w:right="108"/>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11"/>
                <w:kern w:val="0"/>
                <w:sz w:val="20"/>
                <w:szCs w:val="20"/>
                <w:highlight w:val="none"/>
                <w14:textFill>
                  <w14:solidFill>
                    <w14:schemeClr w14:val="tx1"/>
                  </w14:solidFill>
                </w14:textFill>
              </w:rPr>
              <w:t>其他不按照《广东省公路施工标准化指南》和《广东省高速公路工程施工组织设</w:t>
            </w:r>
            <w:r>
              <w:rPr>
                <w:rFonts w:ascii="宋体" w:hAnsi="宋体" w:cs="宋体"/>
                <w:snapToGrid w:val="0"/>
                <w:color w:val="000000" w:themeColor="text1"/>
                <w:spacing w:val="17"/>
                <w:kern w:val="0"/>
                <w:sz w:val="20"/>
                <w:szCs w:val="20"/>
                <w:highlight w:val="none"/>
                <w14:textFill>
                  <w14:solidFill>
                    <w14:schemeClr w14:val="tx1"/>
                  </w14:solidFill>
                </w14:textFill>
              </w:rPr>
              <w:t>计和施工方案标准化管理指南》有关规定进行管理或施工作业的，每次违约金</w:t>
            </w:r>
            <w:r>
              <w:rPr>
                <w:rFonts w:ascii="宋体" w:hAnsi="宋体" w:cs="宋体"/>
                <w:snapToGrid w:val="0"/>
                <w:color w:val="000000" w:themeColor="text1"/>
                <w:spacing w:val="5"/>
                <w:kern w:val="0"/>
                <w:sz w:val="20"/>
                <w:szCs w:val="20"/>
                <w:highlight w:val="none"/>
                <w14:textFill>
                  <w14:solidFill>
                    <w14:schemeClr w14:val="tx1"/>
                  </w14:solidFill>
                </w14:textFill>
              </w:rPr>
              <w:t>1,000--50,000</w:t>
            </w:r>
            <w:r>
              <w:rPr>
                <w:rFonts w:ascii="宋体" w:hAnsi="宋体" w:cs="宋体"/>
                <w:snapToGrid w:val="0"/>
                <w:color w:val="000000" w:themeColor="text1"/>
                <w:spacing w:val="-3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14:textFill>
                  <w14:solidFill>
                    <w14:schemeClr w14:val="tx1"/>
                  </w14:solidFill>
                </w14:textFill>
              </w:rPr>
              <w:t>元，并限期纠正。</w:t>
            </w:r>
          </w:p>
        </w:tc>
      </w:tr>
      <w:tr w14:paraId="2E213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vMerge w:val="continue"/>
            <w:tcBorders>
              <w:top w:val="nil"/>
            </w:tcBorders>
          </w:tcPr>
          <w:p w14:paraId="29DAD5A1">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839" w:type="dxa"/>
          </w:tcPr>
          <w:p w14:paraId="3741B916">
            <w:pPr>
              <w:widowControl/>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c>
          <w:tcPr>
            <w:tcW w:w="7622" w:type="dxa"/>
          </w:tcPr>
          <w:p w14:paraId="1CD64089">
            <w:pPr>
              <w:widowControl/>
              <w:kinsoku w:val="0"/>
              <w:autoSpaceDE w:val="0"/>
              <w:autoSpaceDN w:val="0"/>
              <w:adjustRightInd w:val="0"/>
              <w:snapToGrid w:val="0"/>
              <w:spacing w:line="31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321B10C">
            <w:pPr>
              <w:kinsoku w:val="0"/>
              <w:autoSpaceDE w:val="0"/>
              <w:autoSpaceDN w:val="0"/>
              <w:adjustRightInd w:val="0"/>
              <w:snapToGrid w:val="0"/>
              <w:spacing w:before="65" w:line="84" w:lineRule="exact"/>
              <w:ind w:left="11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position w:val="1"/>
                <w:sz w:val="20"/>
                <w:szCs w:val="20"/>
                <w:highlight w:val="none"/>
                <w:lang w:eastAsia="en-US"/>
                <w14:textFill>
                  <w14:solidFill>
                    <w14:schemeClr w14:val="tx1"/>
                  </w14:solidFill>
                </w14:textFill>
              </w:rPr>
              <w:t>......</w:t>
            </w:r>
          </w:p>
        </w:tc>
      </w:tr>
    </w:tbl>
    <w:p w14:paraId="48C3A7F6">
      <w:pPr>
        <w:rPr>
          <w:rFonts w:ascii="宋体" w:cs="宋体"/>
          <w:color w:val="000000" w:themeColor="text1"/>
          <w:highlight w:val="none"/>
          <w14:textFill>
            <w14:solidFill>
              <w14:schemeClr w14:val="tx1"/>
            </w14:solidFill>
          </w14:textFill>
        </w:rPr>
      </w:pPr>
      <w:r>
        <w:rPr>
          <w:rFonts w:ascii="宋体" w:cs="宋体"/>
          <w:color w:val="000000" w:themeColor="text1"/>
          <w:sz w:val="24"/>
          <w:highlight w:val="none"/>
          <w14:textFill>
            <w14:solidFill>
              <w14:schemeClr w14:val="tx1"/>
            </w14:solidFill>
          </w14:textFill>
        </w:rPr>
        <w:br w:type="page"/>
      </w:r>
    </w:p>
    <w:p w14:paraId="6D659441">
      <w:pPr>
        <w:pStyle w:val="74"/>
        <w:spacing w:line="360" w:lineRule="auto"/>
        <w:rPr>
          <w:b w:val="0"/>
          <w:bCs w:val="0"/>
          <w:color w:val="000000" w:themeColor="text1"/>
          <w:sz w:val="24"/>
          <w:szCs w:val="24"/>
          <w:highlight w:val="none"/>
          <w14:textFill>
            <w14:solidFill>
              <w14:schemeClr w14:val="tx1"/>
            </w14:solidFill>
          </w14:textFill>
        </w:rPr>
      </w:pPr>
      <w:bookmarkStart w:id="392" w:name="_Toc29426"/>
      <w:bookmarkStart w:id="393" w:name="_Toc22514"/>
      <w:r>
        <w:rPr>
          <w:rFonts w:hint="eastAsia"/>
          <w:bCs w:val="0"/>
          <w:color w:val="000000" w:themeColor="text1"/>
          <w:sz w:val="24"/>
          <w:szCs w:val="24"/>
          <w:highlight w:val="none"/>
          <w14:textFill>
            <w14:solidFill>
              <w14:schemeClr w14:val="tx1"/>
            </w14:solidFill>
          </w14:textFill>
        </w:rPr>
        <w:t>附件十四</w:t>
      </w:r>
      <w:r>
        <w:rPr>
          <w:bCs w:val="0"/>
          <w:color w:val="000000" w:themeColor="text1"/>
          <w:sz w:val="24"/>
          <w:szCs w:val="24"/>
          <w:highlight w:val="none"/>
          <w14:textFill>
            <w14:solidFill>
              <w14:schemeClr w14:val="tx1"/>
            </w14:solidFill>
          </w14:textFill>
        </w:rPr>
        <w:t xml:space="preserve">  </w:t>
      </w:r>
      <w:r>
        <w:rPr>
          <w:rFonts w:hint="eastAsia"/>
          <w:bCs w:val="0"/>
          <w:color w:val="000000" w:themeColor="text1"/>
          <w:sz w:val="24"/>
          <w:szCs w:val="24"/>
          <w:highlight w:val="none"/>
          <w14:textFill>
            <w14:solidFill>
              <w14:schemeClr w14:val="tx1"/>
            </w14:solidFill>
          </w14:textFill>
        </w:rPr>
        <w:t>建设工程农民工工资支付保证书</w:t>
      </w:r>
      <w:bookmarkEnd w:id="392"/>
      <w:bookmarkEnd w:id="393"/>
    </w:p>
    <w:p w14:paraId="659E06A9">
      <w:pPr>
        <w:spacing w:line="360" w:lineRule="exact"/>
        <w:jc w:val="center"/>
        <w:rPr>
          <w:rFonts w:hint="eastAsia" w:ascii="宋体" w:hAnsi="宋体" w:cs="宋体"/>
          <w:color w:val="000000" w:themeColor="text1"/>
          <w:sz w:val="30"/>
          <w:szCs w:val="30"/>
          <w:highlight w:val="none"/>
          <w14:textFill>
            <w14:solidFill>
              <w14:schemeClr w14:val="tx1"/>
            </w14:solidFill>
          </w14:textFill>
        </w:rPr>
      </w:pPr>
    </w:p>
    <w:p w14:paraId="2A56E8AC">
      <w:pPr>
        <w:spacing w:line="360" w:lineRule="exact"/>
        <w:jc w:val="center"/>
        <w:rPr>
          <w:rFonts w:asci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建设工程农民工工资支付保证书</w:t>
      </w:r>
    </w:p>
    <w:p w14:paraId="77A7A2C5">
      <w:pPr>
        <w:spacing w:line="360" w:lineRule="exact"/>
        <w:ind w:firstLine="465"/>
        <w:rPr>
          <w:rFonts w:ascii="宋体" w:cs="宋体"/>
          <w:color w:val="000000" w:themeColor="text1"/>
          <w:sz w:val="24"/>
          <w:highlight w:val="none"/>
          <w14:textFill>
            <w14:solidFill>
              <w14:schemeClr w14:val="tx1"/>
            </w14:solidFill>
          </w14:textFill>
        </w:rPr>
      </w:pPr>
    </w:p>
    <w:p w14:paraId="4C8BA647">
      <w:pPr>
        <w:widowControl/>
        <w:kinsoku w:val="0"/>
        <w:autoSpaceDE w:val="0"/>
        <w:autoSpaceDN w:val="0"/>
        <w:adjustRightInd w:val="0"/>
        <w:snapToGrid w:val="0"/>
        <w:spacing w:before="78" w:line="220"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致：</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7444A220">
      <w:pPr>
        <w:kinsoku w:val="0"/>
        <w:autoSpaceDE w:val="0"/>
        <w:autoSpaceDN w:val="0"/>
        <w:adjustRightInd w:val="0"/>
        <w:snapToGrid w:val="0"/>
        <w:spacing w:line="25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77B06AC">
      <w:pPr>
        <w:widowControl/>
        <w:kinsoku w:val="0"/>
        <w:autoSpaceDE w:val="0"/>
        <w:autoSpaceDN w:val="0"/>
        <w:adjustRightInd w:val="0"/>
        <w:snapToGrid w:val="0"/>
        <w:spacing w:before="78" w:line="360" w:lineRule="auto"/>
        <w:ind w:left="7" w:right="80"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6"/>
          <w:kern w:val="0"/>
          <w:sz w:val="24"/>
          <w:highlight w:val="none"/>
          <w14:textFill>
            <w14:solidFill>
              <w14:schemeClr w14:val="tx1"/>
            </w14:solidFill>
          </w14:textFill>
        </w:rPr>
        <w:t>鉴于</w:t>
      </w:r>
      <w:r>
        <w:rPr>
          <w:rFonts w:ascii="宋体" w:hAnsi="宋体" w:cs="宋体"/>
          <w:snapToGrid w:val="0"/>
          <w:color w:val="000000" w:themeColor="text1"/>
          <w:spacing w:val="-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4"/>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(以下简称“承包人</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”)拟与</w:t>
      </w:r>
      <w:r>
        <w:rPr>
          <w:rFonts w:ascii="宋体" w:hAnsi="宋体" w:cs="宋体"/>
          <w:snapToGrid w:val="0"/>
          <w:color w:val="000000" w:themeColor="text1"/>
          <w:spacing w:val="-6"/>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(以下简称“发包人</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6"/>
          <w:kern w:val="0"/>
          <w:sz w:val="24"/>
          <w:highlight w:val="none"/>
          <w14:textFill>
            <w14:solidFill>
              <w14:schemeClr w14:val="tx1"/>
            </w14:solidFill>
          </w14:textFill>
        </w:rPr>
        <w:t>”)签订</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
          <w:kern w:val="0"/>
          <w:sz w:val="24"/>
          <w:highlight w:val="none"/>
          <w:u w:val="single"/>
          <w14:textFill>
            <w14:solidFill>
              <w14:schemeClr w14:val="tx1"/>
            </w14:solidFill>
          </w14:textFill>
        </w:rPr>
        <w:t>项</w:t>
      </w:r>
      <w:r>
        <w:rPr>
          <w:rFonts w:ascii="宋体" w:hAnsi="宋体" w:cs="宋体"/>
          <w:snapToGrid w:val="0"/>
          <w:color w:val="000000" w:themeColor="text1"/>
          <w:spacing w:val="2"/>
          <w:kern w:val="0"/>
          <w:sz w:val="24"/>
          <w:highlight w:val="none"/>
          <w:u w:val="single"/>
          <w14:textFill>
            <w14:solidFill>
              <w14:schemeClr w14:val="tx1"/>
            </w14:solidFill>
          </w14:textFill>
        </w:rPr>
        <w:t>目名称   （标类或标段）</w:t>
      </w:r>
      <w:r>
        <w:rPr>
          <w:rFonts w:ascii="宋体" w:hAnsi="宋体" w:cs="宋体"/>
          <w:snapToGrid w:val="0"/>
          <w:color w:val="000000" w:themeColor="text1"/>
          <w:spacing w:val="2"/>
          <w:kern w:val="0"/>
          <w:sz w:val="24"/>
          <w:highlight w:val="none"/>
          <w14:textFill>
            <w14:solidFill>
              <w14:schemeClr w14:val="tx1"/>
            </w14:solidFill>
          </w14:textFill>
        </w:rPr>
        <w:t>的施工承包合同，为规</w:t>
      </w:r>
      <w:r>
        <w:rPr>
          <w:rFonts w:ascii="宋体" w:hAnsi="宋体" w:cs="宋体"/>
          <w:snapToGrid w:val="0"/>
          <w:color w:val="000000" w:themeColor="text1"/>
          <w:spacing w:val="1"/>
          <w:kern w:val="0"/>
          <w:sz w:val="24"/>
          <w:highlight w:val="none"/>
          <w14:textFill>
            <w14:solidFill>
              <w14:schemeClr w14:val="tx1"/>
            </w14:solidFill>
          </w14:textFill>
        </w:rPr>
        <w:t>范本项目农民工工资的支付行为，预</w:t>
      </w:r>
      <w:r>
        <w:rPr>
          <w:rFonts w:ascii="宋体" w:hAnsi="宋体" w:cs="宋体"/>
          <w:snapToGrid w:val="0"/>
          <w:color w:val="000000" w:themeColor="text1"/>
          <w:spacing w:val="-2"/>
          <w:kern w:val="0"/>
          <w:sz w:val="24"/>
          <w:highlight w:val="none"/>
          <w14:textFill>
            <w14:solidFill>
              <w14:schemeClr w14:val="tx1"/>
            </w14:solidFill>
          </w14:textFill>
        </w:rPr>
        <w:t>防和解决施工承包人拖欠或克扣农民工工资问题，切实保障农民工的合法利益，维护社会稳定，根据《中华人民共和国劳动合同法》《中华人民共和国建筑法》《保障农民工工资支付条例》《广东省建设工程领域工人工资支付专用账户管理办法》《广东省建设工程领域用工实名制管理暂行办法》《广东省交通运输厅关于加强交通建设工程从业人员实名制管理和作业工人工资支付管理的通知》、广东省交通运输厅转发人力资源社会保障部等部门《工程建设领域农民工工资保证金规定》的通知等有关法律、法规，结合</w:t>
      </w:r>
      <w:r>
        <w:rPr>
          <w:rFonts w:ascii="宋体" w:hAnsi="宋体" w:cs="宋体"/>
          <w:snapToGrid w:val="0"/>
          <w:color w:val="000000" w:themeColor="text1"/>
          <w:spacing w:val="-1"/>
          <w:kern w:val="0"/>
          <w:sz w:val="24"/>
          <w:highlight w:val="none"/>
          <w14:textFill>
            <w14:solidFill>
              <w14:schemeClr w14:val="tx1"/>
            </w14:solidFill>
          </w14:textFill>
        </w:rPr>
        <w:t>本项目建设管理的具体情况，承包人在此承诺：</w:t>
      </w:r>
    </w:p>
    <w:p w14:paraId="3BF962A6">
      <w:pPr>
        <w:widowControl/>
        <w:kinsoku w:val="0"/>
        <w:autoSpaceDE w:val="0"/>
        <w:autoSpaceDN w:val="0"/>
        <w:adjustRightInd w:val="0"/>
        <w:snapToGrid w:val="0"/>
        <w:spacing w:before="5" w:line="331" w:lineRule="auto"/>
        <w:ind w:left="8" w:right="8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一、承诺严格按照国家法规和相关规定与农民工或与具备用工主体资格的组织签订劳动合同，按照当地劳动保障部门要求及时进行用工备案。严格根据劳动合同约定的农民工工资标准等内容，按照依法签订的劳动合同约定的日期按月支付工资，且不低于当地最低工资标准。若因违反上述法律、法规及相关管理办法而引发的民工工资纠纷等，</w:t>
      </w:r>
      <w:r>
        <w:rPr>
          <w:rFonts w:ascii="宋体" w:hAnsi="宋体" w:cs="宋体"/>
          <w:snapToGrid w:val="0"/>
          <w:color w:val="000000" w:themeColor="text1"/>
          <w:spacing w:val="-1"/>
          <w:kern w:val="0"/>
          <w:sz w:val="24"/>
          <w:highlight w:val="none"/>
          <w14:textFill>
            <w14:solidFill>
              <w14:schemeClr w14:val="tx1"/>
            </w14:solidFill>
          </w14:textFill>
        </w:rPr>
        <w:t>承包人承担所有的民事及刑事法律责任。</w:t>
      </w:r>
    </w:p>
    <w:p w14:paraId="35149FF3">
      <w:pPr>
        <w:widowControl/>
        <w:kinsoku w:val="0"/>
        <w:autoSpaceDE w:val="0"/>
        <w:autoSpaceDN w:val="0"/>
        <w:adjustRightInd w:val="0"/>
        <w:snapToGrid w:val="0"/>
        <w:spacing w:before="182" w:line="290" w:lineRule="auto"/>
        <w:ind w:left="14" w:right="72"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二、决不违反有关规定，将工程转包、分包给不具备用工主体资格的组织或个人，</w:t>
      </w:r>
      <w:r>
        <w:rPr>
          <w:rFonts w:ascii="宋体" w:hAnsi="宋体" w:cs="宋体"/>
          <w:snapToGrid w:val="0"/>
          <w:color w:val="000000" w:themeColor="text1"/>
          <w:spacing w:val="-1"/>
          <w:kern w:val="0"/>
          <w:sz w:val="24"/>
          <w:highlight w:val="none"/>
          <w14:textFill>
            <w14:solidFill>
              <w14:schemeClr w14:val="tx1"/>
            </w14:solidFill>
          </w14:textFill>
        </w:rPr>
        <w:t>并独自承担因违反上述规定而引发的民工工资</w:t>
      </w:r>
      <w:r>
        <w:rPr>
          <w:rFonts w:ascii="宋体" w:hAnsi="宋体" w:cs="宋体"/>
          <w:snapToGrid w:val="0"/>
          <w:color w:val="000000" w:themeColor="text1"/>
          <w:spacing w:val="-2"/>
          <w:kern w:val="0"/>
          <w:sz w:val="24"/>
          <w:highlight w:val="none"/>
          <w14:textFill>
            <w14:solidFill>
              <w14:schemeClr w14:val="tx1"/>
            </w14:solidFill>
          </w14:textFill>
        </w:rPr>
        <w:t>纠纷等所有民事及刑事的法律连带责任。</w:t>
      </w:r>
    </w:p>
    <w:p w14:paraId="25B0C9F9">
      <w:pPr>
        <w:widowControl/>
        <w:kinsoku w:val="0"/>
        <w:autoSpaceDE w:val="0"/>
        <w:autoSpaceDN w:val="0"/>
        <w:adjustRightInd w:val="0"/>
        <w:snapToGrid w:val="0"/>
        <w:spacing w:before="182" w:line="325" w:lineRule="auto"/>
        <w:ind w:left="7" w:right="80"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三、承诺开展劳动法、建筑法等普法学习教育活动，建立健全承包人农民工用工制度，制定农民工劳动保护措施，实施劳动工资支付监控机制，建立劳动用工的举报投诉制度，设立专门的举报投诉电话，受理相关单位和个人的举报及投诉，监督并认真查处</w:t>
      </w:r>
      <w:r>
        <w:rPr>
          <w:rFonts w:ascii="宋体" w:hAnsi="宋体" w:cs="宋体"/>
          <w:snapToGrid w:val="0"/>
          <w:color w:val="000000" w:themeColor="text1"/>
          <w:spacing w:val="-1"/>
          <w:kern w:val="0"/>
          <w:sz w:val="24"/>
          <w:highlight w:val="none"/>
          <w14:textFill>
            <w14:solidFill>
              <w14:schemeClr w14:val="tx1"/>
            </w14:solidFill>
          </w14:textFill>
        </w:rPr>
        <w:t>合同范围内的侵害农民工按劳取酬合法权益的行为。</w:t>
      </w:r>
    </w:p>
    <w:p w14:paraId="07C6FC16">
      <w:pPr>
        <w:widowControl/>
        <w:kinsoku w:val="0"/>
        <w:autoSpaceDE w:val="0"/>
        <w:autoSpaceDN w:val="0"/>
        <w:adjustRightInd w:val="0"/>
        <w:snapToGrid w:val="0"/>
        <w:spacing w:before="183" w:line="290" w:lineRule="auto"/>
        <w:ind w:left="7" w:right="80" w:firstLine="50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四、承诺在工地现场宣传栏中公布发包人关于农民工工资管理</w:t>
      </w:r>
      <w:r>
        <w:rPr>
          <w:rFonts w:ascii="宋体" w:hAnsi="宋体" w:cs="宋体"/>
          <w:snapToGrid w:val="0"/>
          <w:color w:val="000000" w:themeColor="text1"/>
          <w:spacing w:val="-3"/>
          <w:kern w:val="0"/>
          <w:sz w:val="24"/>
          <w:highlight w:val="none"/>
          <w14:textFill>
            <w14:solidFill>
              <w14:schemeClr w14:val="tx1"/>
            </w14:solidFill>
          </w14:textFill>
        </w:rPr>
        <w:t>的有关法律法规、制</w:t>
      </w:r>
      <w:r>
        <w:rPr>
          <w:rFonts w:ascii="宋体" w:hAnsi="宋体" w:cs="宋体"/>
          <w:snapToGrid w:val="0"/>
          <w:color w:val="000000" w:themeColor="text1"/>
          <w:spacing w:val="-1"/>
          <w:kern w:val="0"/>
          <w:sz w:val="24"/>
          <w:highlight w:val="none"/>
          <w14:textFill>
            <w14:solidFill>
              <w14:schemeClr w14:val="tx1"/>
            </w14:solidFill>
          </w14:textFill>
        </w:rPr>
        <w:t>度，公开发包人的投诉电话。</w:t>
      </w:r>
    </w:p>
    <w:p w14:paraId="4F3B0E10">
      <w:pPr>
        <w:widowControl/>
        <w:kinsoku w:val="0"/>
        <w:autoSpaceDE w:val="0"/>
        <w:autoSpaceDN w:val="0"/>
        <w:adjustRightInd w:val="0"/>
        <w:snapToGrid w:val="0"/>
        <w:spacing w:before="182" w:line="313" w:lineRule="auto"/>
        <w:ind w:left="13" w:firstLine="47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6"/>
          <w:kern w:val="0"/>
          <w:sz w:val="24"/>
          <w:highlight w:val="none"/>
          <w14:textFill>
            <w14:solidFill>
              <w14:schemeClr w14:val="tx1"/>
            </w14:solidFill>
          </w14:textFill>
        </w:rPr>
        <w:t>五、承诺在本项目工程开工前承包人制定内部工资支付办法，并抄报监理、发包人，</w:t>
      </w:r>
      <w:r>
        <w:rPr>
          <w:rFonts w:ascii="宋体" w:hAnsi="宋体" w:cs="宋体"/>
          <w:snapToGrid w:val="0"/>
          <w:color w:val="000000" w:themeColor="text1"/>
          <w:spacing w:val="-2"/>
          <w:kern w:val="0"/>
          <w:sz w:val="24"/>
          <w:highlight w:val="none"/>
          <w14:textFill>
            <w14:solidFill>
              <w14:schemeClr w14:val="tx1"/>
            </w14:solidFill>
          </w14:textFill>
        </w:rPr>
        <w:t>同时告知全体农民工。内部工资支付办法包括以下内容：支付项目、支付标准、支付方</w:t>
      </w:r>
      <w:r>
        <w:rPr>
          <w:rFonts w:ascii="宋体" w:hAnsi="宋体" w:cs="宋体"/>
          <w:snapToGrid w:val="0"/>
          <w:color w:val="000000" w:themeColor="text1"/>
          <w:spacing w:val="-6"/>
          <w:kern w:val="0"/>
          <w:sz w:val="24"/>
          <w:highlight w:val="none"/>
          <w14:textFill>
            <w14:solidFill>
              <w14:schemeClr w14:val="tx1"/>
            </w14:solidFill>
          </w14:textFill>
        </w:rPr>
        <w:t>式、支付周期和日期、加班工资计算基数、特殊情况下的工资支付以及其他工资支付等。</w:t>
      </w:r>
    </w:p>
    <w:p w14:paraId="60F34842">
      <w:pPr>
        <w:spacing w:line="313" w:lineRule="auto"/>
        <w:rPr>
          <w:rFonts w:hint="eastAsia" w:ascii="宋体" w:hAnsi="宋体" w:cs="宋体"/>
          <w:color w:val="000000" w:themeColor="text1"/>
          <w:sz w:val="24"/>
          <w:highlight w:val="none"/>
          <w14:textFill>
            <w14:solidFill>
              <w14:schemeClr w14:val="tx1"/>
            </w14:solidFill>
          </w14:textFill>
        </w:rPr>
        <w:sectPr>
          <w:headerReference r:id="rId83" w:type="default"/>
          <w:footerReference r:id="rId84" w:type="default"/>
          <w:pgSz w:w="11906" w:h="16839"/>
          <w:pgMar w:top="1182" w:right="1337" w:bottom="1168" w:left="1417" w:header="849" w:footer="934" w:gutter="0"/>
          <w:cols w:space="720" w:num="1"/>
        </w:sectPr>
      </w:pPr>
    </w:p>
    <w:p w14:paraId="2BF5F0E6">
      <w:pPr>
        <w:kinsoku w:val="0"/>
        <w:autoSpaceDE w:val="0"/>
        <w:autoSpaceDN w:val="0"/>
        <w:adjustRightInd w:val="0"/>
        <w:snapToGrid w:val="0"/>
        <w:spacing w:line="27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133018">
      <w:pPr>
        <w:widowControl/>
        <w:kinsoku w:val="0"/>
        <w:autoSpaceDE w:val="0"/>
        <w:autoSpaceDN w:val="0"/>
        <w:adjustRightInd w:val="0"/>
        <w:snapToGrid w:val="0"/>
        <w:spacing w:before="78" w:line="360" w:lineRule="auto"/>
        <w:ind w:left="9" w:right="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支付程序也将明文规定，且严格按章办事。工资支付管理接受监理、发包人及上级主管单位的监督和检查。</w:t>
      </w:r>
    </w:p>
    <w:p w14:paraId="52B51BEB">
      <w:pPr>
        <w:widowControl/>
        <w:kinsoku w:val="0"/>
        <w:autoSpaceDE w:val="0"/>
        <w:autoSpaceDN w:val="0"/>
        <w:adjustRightInd w:val="0"/>
        <w:snapToGrid w:val="0"/>
        <w:spacing w:before="1" w:line="289" w:lineRule="auto"/>
        <w:ind w:left="14" w:right="80" w:firstLine="47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六、承诺指定专人负责对农民工工资进行发放，实行专户管理，以银行转账方式按</w:t>
      </w:r>
      <w:r>
        <w:rPr>
          <w:rFonts w:ascii="宋体" w:hAnsi="宋体" w:cs="宋体"/>
          <w:snapToGrid w:val="0"/>
          <w:color w:val="000000" w:themeColor="text1"/>
          <w:spacing w:val="-1"/>
          <w:kern w:val="0"/>
          <w:sz w:val="24"/>
          <w:highlight w:val="none"/>
          <w14:textFill>
            <w14:solidFill>
              <w14:schemeClr w14:val="tx1"/>
            </w14:solidFill>
          </w14:textFill>
        </w:rPr>
        <w:t>月直接支付工资（原则上是当月支付，最多不超过拖欠两个月）。</w:t>
      </w:r>
    </w:p>
    <w:p w14:paraId="29E76956">
      <w:pPr>
        <w:widowControl/>
        <w:kinsoku w:val="0"/>
        <w:autoSpaceDE w:val="0"/>
        <w:autoSpaceDN w:val="0"/>
        <w:adjustRightInd w:val="0"/>
        <w:snapToGrid w:val="0"/>
        <w:spacing w:before="181" w:line="325" w:lineRule="auto"/>
        <w:ind w:left="7"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七、在合同工程范围内，一旦承包人发现任何下属单位、分包单位、施工班组等在劳动用工与工资结算支付活动中存在有违反法律法规规定的行为，承包人将以最快的速</w:t>
      </w:r>
      <w:r>
        <w:rPr>
          <w:rFonts w:ascii="宋体" w:hAnsi="宋体" w:cs="宋体"/>
          <w:snapToGrid w:val="0"/>
          <w:color w:val="000000" w:themeColor="text1"/>
          <w:spacing w:val="-6"/>
          <w:kern w:val="0"/>
          <w:sz w:val="24"/>
          <w:highlight w:val="none"/>
          <w14:textFill>
            <w14:solidFill>
              <w14:schemeClr w14:val="tx1"/>
            </w14:solidFill>
          </w14:textFill>
        </w:rPr>
        <w:t>度、采取最得力的措施就地予以纠正，同时将有关问题抄报监理人及发包人，在监理人、</w:t>
      </w:r>
      <w:r>
        <w:rPr>
          <w:rFonts w:ascii="宋体" w:hAnsi="宋体" w:cs="宋体"/>
          <w:snapToGrid w:val="0"/>
          <w:color w:val="000000" w:themeColor="text1"/>
          <w:spacing w:val="-1"/>
          <w:kern w:val="0"/>
          <w:sz w:val="24"/>
          <w:highlight w:val="none"/>
          <w14:textFill>
            <w14:solidFill>
              <w14:schemeClr w14:val="tx1"/>
            </w14:solidFill>
          </w14:textFill>
        </w:rPr>
        <w:t>发包人或劳动监察部门有要求或规定时，将处理结果上报备案。</w:t>
      </w:r>
    </w:p>
    <w:p w14:paraId="53CA0ABC">
      <w:pPr>
        <w:widowControl/>
        <w:kinsoku w:val="0"/>
        <w:autoSpaceDE w:val="0"/>
        <w:autoSpaceDN w:val="0"/>
        <w:adjustRightInd w:val="0"/>
        <w:snapToGrid w:val="0"/>
        <w:spacing w:before="179" w:line="337" w:lineRule="auto"/>
        <w:ind w:left="7" w:right="80" w:firstLine="48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八、承诺自工程取得施工许可证（开工报告批复）之日起</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20</w:t>
      </w:r>
      <w:r>
        <w:rPr>
          <w:rFonts w:ascii="宋体" w:hAnsi="宋体" w:cs="宋体"/>
          <w:snapToGrid w:val="0"/>
          <w:color w:val="000000" w:themeColor="text1"/>
          <w:spacing w:val="-4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个工作日</w:t>
      </w:r>
      <w:r>
        <w:rPr>
          <w:rFonts w:ascii="宋体" w:hAnsi="宋体" w:cs="宋体"/>
          <w:snapToGrid w:val="0"/>
          <w:color w:val="000000" w:themeColor="text1"/>
          <w:kern w:val="0"/>
          <w:sz w:val="24"/>
          <w:highlight w:val="none"/>
          <w14:textFill>
            <w14:solidFill>
              <w14:schemeClr w14:val="tx1"/>
            </w14:solidFill>
          </w14:textFill>
        </w:rPr>
        <w:t>内（依法不</w:t>
      </w:r>
      <w:r>
        <w:rPr>
          <w:rFonts w:ascii="宋体" w:hAnsi="宋体" w:cs="宋体"/>
          <w:snapToGrid w:val="0"/>
          <w:color w:val="000000" w:themeColor="text1"/>
          <w:spacing w:val="-1"/>
          <w:kern w:val="0"/>
          <w:sz w:val="24"/>
          <w:highlight w:val="none"/>
          <w14:textFill>
            <w14:solidFill>
              <w14:schemeClr w14:val="tx1"/>
            </w14:solidFill>
          </w14:textFill>
        </w:rPr>
        <w:t>需要办理施工许可证或批准开工报告的工程自签订施工合同之日起</w:t>
      </w:r>
      <w:r>
        <w:rPr>
          <w:rFonts w:ascii="宋体" w:hAnsi="宋体" w:cs="宋体"/>
          <w:snapToGrid w:val="0"/>
          <w:color w:val="000000" w:themeColor="text1"/>
          <w:spacing w:val="-41"/>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20</w:t>
      </w:r>
      <w:r>
        <w:rPr>
          <w:rFonts w:ascii="宋体" w:hAnsi="宋体" w:cs="宋体"/>
          <w:snapToGrid w:val="0"/>
          <w:color w:val="000000" w:themeColor="text1"/>
          <w:spacing w:val="-51"/>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个工作日之内)在工程所在地的银行存储工资保证金或申请开立银行保函，</w:t>
      </w:r>
      <w:r>
        <w:rPr>
          <w:rFonts w:ascii="宋体" w:hAnsi="宋体" w:cs="宋体"/>
          <w:b/>
          <w:bCs/>
          <w:snapToGrid w:val="0"/>
          <w:color w:val="000000" w:themeColor="text1"/>
          <w:spacing w:val="-1"/>
          <w:kern w:val="0"/>
          <w:sz w:val="24"/>
          <w:highlight w:val="none"/>
          <w:u w:val="single"/>
          <w14:textFill>
            <w14:solidFill>
              <w14:schemeClr w14:val="tx1"/>
            </w14:solidFill>
          </w14:textFill>
        </w:rPr>
        <w:t>金额为</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b/>
          <w:bCs/>
          <w:snapToGrid w:val="0"/>
          <w:color w:val="000000" w:themeColor="text1"/>
          <w:spacing w:val="-1"/>
          <w:kern w:val="0"/>
          <w:sz w:val="24"/>
          <w:highlight w:val="none"/>
          <w:u w:val="single"/>
          <w14:textFill>
            <w14:solidFill>
              <w14:schemeClr w14:val="tx1"/>
            </w14:solidFill>
          </w14:textFill>
        </w:rPr>
        <w:t>元人民币</w:t>
      </w:r>
      <w:r>
        <w:rPr>
          <w:rFonts w:ascii="宋体" w:hAnsi="宋体" w:cs="宋体"/>
          <w:snapToGrid w:val="0"/>
          <w:color w:val="000000" w:themeColor="text1"/>
          <w:spacing w:val="-28"/>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用于支付拖欠的农民工工资，如工资保障金不足，发包人有权利在应支付给承包人的工程款或是履约保证金中划扣支付。该保障金余额发包人将于本项目施工完毕，并交工验收合格后退还。</w:t>
      </w:r>
    </w:p>
    <w:p w14:paraId="082E4EE8">
      <w:pPr>
        <w:widowControl/>
        <w:kinsoku w:val="0"/>
        <w:autoSpaceDE w:val="0"/>
        <w:autoSpaceDN w:val="0"/>
        <w:adjustRightInd w:val="0"/>
        <w:snapToGrid w:val="0"/>
        <w:spacing w:before="180" w:line="337" w:lineRule="auto"/>
        <w:ind w:left="10" w:right="8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九、承诺建立农民工工资支付台帐，如实记录支付时间、支付对象、支付数额等工资支付情况，并于每月申请支付计量款时将上期工资表及工资支付台帐上报监理和发包人。若承包人拖欠民工工资两个月以上且一直未得到解决的，发包人有权利不给予承包人当月计量的工程款，直至拖欠的民工工资得到支付，或者发包人有权利直接从承包人</w:t>
      </w:r>
      <w:r>
        <w:rPr>
          <w:rFonts w:ascii="宋体" w:hAnsi="宋体" w:cs="宋体"/>
          <w:snapToGrid w:val="0"/>
          <w:color w:val="000000" w:themeColor="text1"/>
          <w:spacing w:val="5"/>
          <w:kern w:val="0"/>
          <w:sz w:val="24"/>
          <w:highlight w:val="none"/>
          <w14:textFill>
            <w14:solidFill>
              <w14:schemeClr w14:val="tx1"/>
            </w14:solidFill>
          </w14:textFill>
        </w:rPr>
        <w:t>按规定缴纳的工资保障金或应支付给承包人的工程款或是履约保证金中</w:t>
      </w:r>
      <w:r>
        <w:rPr>
          <w:rFonts w:ascii="宋体" w:hAnsi="宋体" w:cs="宋体"/>
          <w:snapToGrid w:val="0"/>
          <w:color w:val="000000" w:themeColor="text1"/>
          <w:spacing w:val="4"/>
          <w:kern w:val="0"/>
          <w:sz w:val="24"/>
          <w:highlight w:val="none"/>
          <w14:textFill>
            <w14:solidFill>
              <w14:schemeClr w14:val="tx1"/>
            </w14:solidFill>
          </w14:textFill>
        </w:rPr>
        <w:t>直接扣除相应</w:t>
      </w:r>
      <w:r>
        <w:rPr>
          <w:rFonts w:ascii="宋体" w:hAnsi="宋体" w:cs="宋体"/>
          <w:snapToGrid w:val="0"/>
          <w:color w:val="000000" w:themeColor="text1"/>
          <w:spacing w:val="-1"/>
          <w:kern w:val="0"/>
          <w:sz w:val="24"/>
          <w:highlight w:val="none"/>
          <w14:textFill>
            <w14:solidFill>
              <w14:schemeClr w14:val="tx1"/>
            </w14:solidFill>
          </w14:textFill>
        </w:rPr>
        <w:t>费用后向民工进行支付，承包人均无异议。</w:t>
      </w:r>
    </w:p>
    <w:p w14:paraId="2BB6F68B">
      <w:pPr>
        <w:widowControl/>
        <w:kinsoku w:val="0"/>
        <w:autoSpaceDE w:val="0"/>
        <w:autoSpaceDN w:val="0"/>
        <w:adjustRightInd w:val="0"/>
        <w:snapToGrid w:val="0"/>
        <w:spacing w:before="183" w:line="220"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十、在合同工程实施过程中如有发生</w:t>
      </w:r>
    </w:p>
    <w:p w14:paraId="10B37BC7">
      <w:pPr>
        <w:widowControl/>
        <w:kinsoku w:val="0"/>
        <w:autoSpaceDE w:val="0"/>
        <w:autoSpaceDN w:val="0"/>
        <w:adjustRightInd w:val="0"/>
        <w:snapToGrid w:val="0"/>
        <w:spacing w:before="182"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(1)不按规定签订劳动合同或签订劳动合同不规范情况；或</w:t>
      </w:r>
    </w:p>
    <w:p w14:paraId="2571276B">
      <w:pPr>
        <w:widowControl/>
        <w:kinsoku w:val="0"/>
        <w:autoSpaceDE w:val="0"/>
        <w:autoSpaceDN w:val="0"/>
        <w:adjustRightInd w:val="0"/>
        <w:snapToGrid w:val="0"/>
        <w:spacing w:before="183"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(2)拖欠农民工工资、侵害农民工合法权益、农民工劳动安全保护欠缺的</w:t>
      </w:r>
      <w:r>
        <w:rPr>
          <w:rFonts w:ascii="宋体" w:hAnsi="宋体" w:cs="宋体"/>
          <w:snapToGrid w:val="0"/>
          <w:color w:val="000000" w:themeColor="text1"/>
          <w:spacing w:val="-2"/>
          <w:kern w:val="0"/>
          <w:sz w:val="24"/>
          <w:highlight w:val="none"/>
          <w14:textFill>
            <w14:solidFill>
              <w14:schemeClr w14:val="tx1"/>
            </w14:solidFill>
          </w14:textFill>
        </w:rPr>
        <w:t>情况；或</w:t>
      </w:r>
    </w:p>
    <w:p w14:paraId="69ECFCF3">
      <w:pPr>
        <w:widowControl/>
        <w:kinsoku w:val="0"/>
        <w:autoSpaceDE w:val="0"/>
        <w:autoSpaceDN w:val="0"/>
        <w:adjustRightInd w:val="0"/>
        <w:snapToGrid w:val="0"/>
        <w:spacing w:before="184" w:line="219" w:lineRule="auto"/>
        <w:ind w:left="53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(3)因欠薪导致的闹事、打斗、死伤、上访事件，</w:t>
      </w:r>
    </w:p>
    <w:p w14:paraId="503EC9B4">
      <w:pPr>
        <w:widowControl/>
        <w:kinsoku w:val="0"/>
        <w:autoSpaceDE w:val="0"/>
        <w:autoSpaceDN w:val="0"/>
        <w:adjustRightInd w:val="0"/>
        <w:snapToGrid w:val="0"/>
        <w:spacing w:before="183" w:line="361" w:lineRule="auto"/>
        <w:ind w:left="10" w:right="77" w:firstLine="478"/>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承包人愿接受监理人和/或发包人按合同或下发的管理办法规</w:t>
      </w:r>
      <w:r>
        <w:rPr>
          <w:rFonts w:ascii="宋体" w:hAnsi="宋体" w:cs="宋体"/>
          <w:snapToGrid w:val="0"/>
          <w:color w:val="000000" w:themeColor="text1"/>
          <w:spacing w:val="1"/>
          <w:kern w:val="0"/>
          <w:sz w:val="24"/>
          <w:highlight w:val="none"/>
          <w14:textFill>
            <w14:solidFill>
              <w14:schemeClr w14:val="tx1"/>
            </w14:solidFill>
          </w14:textFill>
        </w:rPr>
        <w:t>定的违约金。如果发</w:t>
      </w:r>
      <w:r>
        <w:rPr>
          <w:rFonts w:ascii="宋体" w:hAnsi="宋体" w:cs="宋体"/>
          <w:snapToGrid w:val="0"/>
          <w:color w:val="000000" w:themeColor="text1"/>
          <w:spacing w:val="-2"/>
          <w:kern w:val="0"/>
          <w:sz w:val="24"/>
          <w:highlight w:val="none"/>
          <w14:textFill>
            <w14:solidFill>
              <w14:schemeClr w14:val="tx1"/>
            </w14:solidFill>
          </w14:textFill>
        </w:rPr>
        <w:t>生上述情况是因为我方违法分包、转包或出让资质、挂靠投标造成的，承包人对发包人或发包人的上级主管部门、政府机构提出的取消中标资格、终止合同、行政处罚等违约</w:t>
      </w:r>
      <w:bookmarkStart w:id="394" w:name="bookmark336"/>
      <w:bookmarkEnd w:id="394"/>
      <w:r>
        <w:rPr>
          <w:rFonts w:ascii="宋体" w:hAnsi="宋体" w:cs="宋体"/>
          <w:snapToGrid w:val="0"/>
          <w:color w:val="000000" w:themeColor="text1"/>
          <w:spacing w:val="-1"/>
          <w:kern w:val="0"/>
          <w:sz w:val="24"/>
          <w:highlight w:val="none"/>
          <w14:textFill>
            <w14:solidFill>
              <w14:schemeClr w14:val="tx1"/>
            </w14:solidFill>
          </w14:textFill>
        </w:rPr>
        <w:t>金表示理解并无条件接受。</w:t>
      </w:r>
    </w:p>
    <w:p w14:paraId="5B658C7E">
      <w:pPr>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31587B1">
      <w:pPr>
        <w:kinsoku w:val="0"/>
        <w:autoSpaceDE w:val="0"/>
        <w:autoSpaceDN w:val="0"/>
        <w:adjustRightInd w:val="0"/>
        <w:snapToGrid w:val="0"/>
        <w:spacing w:line="27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A9DA422">
      <w:pPr>
        <w:widowControl/>
        <w:kinsoku w:val="0"/>
        <w:autoSpaceDE w:val="0"/>
        <w:autoSpaceDN w:val="0"/>
        <w:adjustRightInd w:val="0"/>
        <w:snapToGrid w:val="0"/>
        <w:spacing w:before="78" w:line="361" w:lineRule="auto"/>
        <w:ind w:left="8"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bookmarkStart w:id="395" w:name="bookmark337"/>
      <w:bookmarkEnd w:id="395"/>
      <w:r>
        <w:rPr>
          <w:rFonts w:ascii="宋体" w:hAnsi="宋体" w:cs="宋体"/>
          <w:snapToGrid w:val="0"/>
          <w:color w:val="000000" w:themeColor="text1"/>
          <w:spacing w:val="-2"/>
          <w:kern w:val="0"/>
          <w:sz w:val="24"/>
          <w:highlight w:val="none"/>
          <w14:textFill>
            <w14:solidFill>
              <w14:schemeClr w14:val="tx1"/>
            </w14:solidFill>
          </w14:textFill>
        </w:rPr>
        <w:t>十一、本保证书作为本项目施工承包合同的有效组成部分，纳入合同一并签署，在承包人法定代表人或委托代理人签署并加盖公章后生效，并保证在施工承包合同有效期内一直保持有效。</w:t>
      </w:r>
    </w:p>
    <w:p w14:paraId="6155B73B">
      <w:pPr>
        <w:kinsoku w:val="0"/>
        <w:autoSpaceDE w:val="0"/>
        <w:autoSpaceDN w:val="0"/>
        <w:adjustRightInd w:val="0"/>
        <w:snapToGrid w:val="0"/>
        <w:spacing w:line="38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D8B4A44">
      <w:pPr>
        <w:widowControl/>
        <w:kinsoku w:val="0"/>
        <w:autoSpaceDE w:val="0"/>
        <w:autoSpaceDN w:val="0"/>
        <w:adjustRightInd w:val="0"/>
        <w:snapToGrid w:val="0"/>
        <w:spacing w:before="78" w:line="219" w:lineRule="auto"/>
        <w:ind w:left="312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承 包</w:t>
      </w:r>
      <w:r>
        <w:rPr>
          <w:rFonts w:ascii="宋体" w:hAnsi="宋体" w:cs="宋体"/>
          <w:snapToGrid w:val="0"/>
          <w:color w:val="000000" w:themeColor="text1"/>
          <w:spacing w:val="11"/>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人（盖章</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02749457">
      <w:pPr>
        <w:widowControl/>
        <w:tabs>
          <w:tab w:val="left" w:pos="6597"/>
        </w:tabs>
        <w:kinsoku w:val="0"/>
        <w:autoSpaceDE w:val="0"/>
        <w:autoSpaceDN w:val="0"/>
        <w:adjustRightInd w:val="0"/>
        <w:snapToGrid w:val="0"/>
        <w:spacing w:before="184" w:line="362" w:lineRule="auto"/>
        <w:ind w:left="5998" w:right="553" w:hanging="286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法定代表人或其委托代理人</w:t>
      </w:r>
      <w:r>
        <w:rPr>
          <w:rFonts w:ascii="宋体" w:hAnsi="宋体" w:cs="宋体"/>
          <w:snapToGrid w:val="0"/>
          <w:color w:val="000000" w:themeColor="text1"/>
          <w:spacing w:val="-14"/>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签字</w:t>
      </w:r>
      <w:r>
        <w:rPr>
          <w:rFonts w:hint="eastAsia" w:ascii="宋体" w:hAnsi="宋体" w:cs="宋体"/>
          <w:snapToGrid w:val="0"/>
          <w:color w:val="000000" w:themeColor="text1"/>
          <w:spacing w:val="1"/>
          <w:kern w:val="0"/>
          <w:sz w:val="24"/>
          <w:highlight w:val="none"/>
          <w14:textFill>
            <w14:solidFill>
              <w14:schemeClr w14:val="tx1"/>
            </w14:solidFill>
          </w14:textFill>
        </w:rPr>
        <w:t>或盖章</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kern w:val="0"/>
          <w:sz w:val="24"/>
          <w:highlight w:val="none"/>
          <w:u w:val="single"/>
          <w14:textFill>
            <w14:solidFill>
              <w14:schemeClr w14:val="tx1"/>
            </w14:solidFill>
          </w14:textFill>
        </w:rPr>
        <w:tab/>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26"/>
          <w:kern w:val="0"/>
          <w:sz w:val="24"/>
          <w:highlight w:val="none"/>
          <w14:textFill>
            <w14:solidFill>
              <w14:schemeClr w14:val="tx1"/>
            </w14:solidFill>
          </w14:textFill>
        </w:rPr>
        <w:t>年</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26"/>
          <w:kern w:val="0"/>
          <w:sz w:val="24"/>
          <w:highlight w:val="none"/>
          <w14:textFill>
            <w14:solidFill>
              <w14:schemeClr w14:val="tx1"/>
            </w14:solidFill>
          </w14:textFill>
        </w:rPr>
        <w:t>月</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70"/>
          <w:kern w:val="0"/>
          <w:sz w:val="24"/>
          <w:highlight w:val="none"/>
          <w14:textFill>
            <w14:solidFill>
              <w14:schemeClr w14:val="tx1"/>
            </w14:solidFill>
          </w14:textFill>
        </w:rPr>
        <w:t xml:space="preserve"> </w:t>
      </w:r>
      <w:r>
        <w:rPr>
          <w:rFonts w:ascii="宋体" w:hAnsi="宋体" w:cs="宋体"/>
          <w:snapToGrid w:val="0"/>
          <w:color w:val="000000" w:themeColor="text1"/>
          <w:spacing w:val="-26"/>
          <w:kern w:val="0"/>
          <w:sz w:val="24"/>
          <w:highlight w:val="none"/>
          <w14:textFill>
            <w14:solidFill>
              <w14:schemeClr w14:val="tx1"/>
            </w14:solidFill>
          </w14:textFill>
        </w:rPr>
        <w:t>日</w:t>
      </w:r>
    </w:p>
    <w:p w14:paraId="3C8EEEF0">
      <w:pPr>
        <w:spacing w:line="362" w:lineRule="auto"/>
        <w:rPr>
          <w:rFonts w:hint="eastAsia" w:ascii="宋体" w:hAnsi="宋体" w:cs="宋体"/>
          <w:color w:val="000000" w:themeColor="text1"/>
          <w:sz w:val="24"/>
          <w:highlight w:val="none"/>
          <w14:textFill>
            <w14:solidFill>
              <w14:schemeClr w14:val="tx1"/>
            </w14:solidFill>
          </w14:textFill>
        </w:rPr>
        <w:sectPr>
          <w:headerReference r:id="rId85" w:type="default"/>
          <w:footerReference r:id="rId86" w:type="default"/>
          <w:pgSz w:w="11906" w:h="16839"/>
          <w:pgMar w:top="1182" w:right="1416" w:bottom="1168" w:left="1417" w:header="849" w:footer="934" w:gutter="0"/>
          <w:cols w:space="720" w:num="1"/>
        </w:sectPr>
      </w:pPr>
    </w:p>
    <w:p w14:paraId="4CF5BEAF">
      <w:pPr>
        <w:pStyle w:val="74"/>
        <w:spacing w:line="360" w:lineRule="auto"/>
        <w:rPr>
          <w:b w:val="0"/>
          <w:bCs w:val="0"/>
          <w:color w:val="000000" w:themeColor="text1"/>
          <w:sz w:val="24"/>
          <w:szCs w:val="24"/>
          <w:highlight w:val="none"/>
          <w14:textFill>
            <w14:solidFill>
              <w14:schemeClr w14:val="tx1"/>
            </w14:solidFill>
          </w14:textFill>
        </w:rPr>
      </w:pPr>
      <w:bookmarkStart w:id="396" w:name="_Toc19523"/>
      <w:bookmarkStart w:id="397" w:name="_Toc29037"/>
      <w:r>
        <w:rPr>
          <w:rFonts w:hint="eastAsia"/>
          <w:bCs w:val="0"/>
          <w:color w:val="000000" w:themeColor="text1"/>
          <w:sz w:val="24"/>
          <w:szCs w:val="24"/>
          <w:highlight w:val="none"/>
          <w14:textFill>
            <w14:solidFill>
              <w14:schemeClr w14:val="tx1"/>
            </w14:solidFill>
          </w14:textFill>
        </w:rPr>
        <w:t>附件十五</w:t>
      </w:r>
      <w:r>
        <w:rPr>
          <w:bCs w:val="0"/>
          <w:color w:val="000000" w:themeColor="text1"/>
          <w:sz w:val="24"/>
          <w:szCs w:val="24"/>
          <w:highlight w:val="none"/>
          <w14:textFill>
            <w14:solidFill>
              <w14:schemeClr w14:val="tx1"/>
            </w14:solidFill>
          </w14:textFill>
        </w:rPr>
        <w:t xml:space="preserve">  </w:t>
      </w:r>
      <w:r>
        <w:rPr>
          <w:rFonts w:hint="eastAsia"/>
          <w:bCs w:val="0"/>
          <w:color w:val="000000" w:themeColor="text1"/>
          <w:sz w:val="24"/>
          <w:szCs w:val="24"/>
          <w:highlight w:val="none"/>
          <w14:textFill>
            <w14:solidFill>
              <w14:schemeClr w14:val="tx1"/>
            </w14:solidFill>
          </w14:textFill>
        </w:rPr>
        <w:t>房屋建筑工程质量保修书</w:t>
      </w:r>
      <w:bookmarkEnd w:id="396"/>
      <w:bookmarkEnd w:id="397"/>
    </w:p>
    <w:p w14:paraId="66045001">
      <w:pPr>
        <w:rPr>
          <w:color w:val="000000" w:themeColor="text1"/>
          <w:highlight w:val="none"/>
          <w14:textFill>
            <w14:solidFill>
              <w14:schemeClr w14:val="tx1"/>
            </w14:solidFill>
          </w14:textFill>
        </w:rPr>
      </w:pPr>
      <w:bookmarkStart w:id="398" w:name="_Toc28756"/>
      <w:bookmarkStart w:id="399" w:name="_Toc43476021"/>
    </w:p>
    <w:p w14:paraId="2A1D0EC2">
      <w:pPr>
        <w:jc w:val="center"/>
        <w:rPr>
          <w:b/>
          <w:bCs/>
          <w:color w:val="000000" w:themeColor="text1"/>
          <w:sz w:val="28"/>
          <w:szCs w:val="36"/>
          <w:highlight w:val="none"/>
          <w14:textFill>
            <w14:solidFill>
              <w14:schemeClr w14:val="tx1"/>
            </w14:solidFill>
          </w14:textFill>
        </w:rPr>
      </w:pPr>
      <w:r>
        <w:rPr>
          <w:rFonts w:hint="eastAsia"/>
          <w:b/>
          <w:bCs/>
          <w:color w:val="000000" w:themeColor="text1"/>
          <w:sz w:val="28"/>
          <w:szCs w:val="36"/>
          <w:highlight w:val="none"/>
          <w14:textFill>
            <w14:solidFill>
              <w14:schemeClr w14:val="tx1"/>
            </w14:solidFill>
          </w14:textFill>
        </w:rPr>
        <w:t>房屋建筑工程质量保修书</w:t>
      </w:r>
      <w:bookmarkEnd w:id="398"/>
      <w:bookmarkEnd w:id="399"/>
    </w:p>
    <w:p w14:paraId="086304A7">
      <w:pPr>
        <w:pStyle w:val="101"/>
        <w:spacing w:line="440" w:lineRule="exact"/>
        <w:jc w:val="center"/>
        <w:rPr>
          <w:rFonts w:hint="eastAsia" w:ascii="宋体" w:hAnsi="宋体" w:cs="宋体"/>
          <w:b/>
          <w:color w:val="000000" w:themeColor="text1"/>
          <w:kern w:val="44"/>
          <w:sz w:val="28"/>
          <w:szCs w:val="28"/>
          <w:highlight w:val="none"/>
          <w14:textFill>
            <w14:solidFill>
              <w14:schemeClr w14:val="tx1"/>
            </w14:solidFill>
          </w14:textFill>
        </w:rPr>
      </w:pPr>
      <w:r>
        <w:rPr>
          <w:rFonts w:hint="eastAsia" w:ascii="宋体" w:hAnsi="宋体" w:cs="宋体"/>
          <w:b/>
          <w:color w:val="000000" w:themeColor="text1"/>
          <w:kern w:val="44"/>
          <w:sz w:val="28"/>
          <w:szCs w:val="28"/>
          <w:highlight w:val="none"/>
          <w14:textFill>
            <w14:solidFill>
              <w14:schemeClr w14:val="tx1"/>
            </w14:solidFill>
          </w14:textFill>
        </w:rPr>
        <w:t>（仅适用于附属区房建工程）</w:t>
      </w:r>
    </w:p>
    <w:p w14:paraId="02C2BE1C">
      <w:pPr>
        <w:spacing w:line="440" w:lineRule="exact"/>
        <w:ind w:firstLine="500" w:firstLineChars="200"/>
        <w:rPr>
          <w:rFonts w:hint="eastAsia" w:ascii="宋体" w:hAnsi="宋体" w:cs="宋体"/>
          <w:color w:val="000000" w:themeColor="text1"/>
          <w:spacing w:val="10"/>
          <w:sz w:val="23"/>
          <w:szCs w:val="23"/>
          <w:highlight w:val="none"/>
          <w14:textFill>
            <w14:solidFill>
              <w14:schemeClr w14:val="tx1"/>
            </w14:solidFill>
          </w14:textFill>
        </w:rPr>
      </w:pPr>
    </w:p>
    <w:p w14:paraId="3533D36F">
      <w:pPr>
        <w:spacing w:before="78" w:line="213" w:lineRule="auto"/>
        <w:ind w:left="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发包人（全称）：_____________</w:t>
      </w:r>
      <w:r>
        <w:rPr>
          <w:rFonts w:ascii="宋体" w:hAnsi="宋体" w:cs="宋体"/>
          <w:color w:val="000000" w:themeColor="text1"/>
          <w:spacing w:val="-1"/>
          <w:sz w:val="24"/>
          <w:highlight w:val="none"/>
          <w14:textFill>
            <w14:solidFill>
              <w14:schemeClr w14:val="tx1"/>
            </w14:solidFill>
          </w14:textFill>
        </w:rPr>
        <w:t>_______________</w:t>
      </w:r>
    </w:p>
    <w:p w14:paraId="6514307E">
      <w:pPr>
        <w:spacing w:before="191" w:line="213" w:lineRule="auto"/>
        <w:ind w:left="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承包人（全称）：_________________</w:t>
      </w:r>
      <w:r>
        <w:rPr>
          <w:rFonts w:ascii="宋体" w:hAnsi="宋体" w:cs="宋体"/>
          <w:color w:val="000000" w:themeColor="text1"/>
          <w:spacing w:val="-1"/>
          <w:sz w:val="24"/>
          <w:highlight w:val="none"/>
          <w14:textFill>
            <w14:solidFill>
              <w14:schemeClr w14:val="tx1"/>
            </w14:solidFill>
          </w14:textFill>
        </w:rPr>
        <w:t>___________</w:t>
      </w:r>
    </w:p>
    <w:p w14:paraId="621FC553">
      <w:pPr>
        <w:spacing w:before="191" w:line="360" w:lineRule="auto"/>
        <w:ind w:left="9"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发包人、承包人根据《中华人民共和国建筑法》《建设工程质量管理条例》和《房</w:t>
      </w:r>
      <w:r>
        <w:rPr>
          <w:rFonts w:ascii="宋体" w:hAnsi="宋体" w:cs="宋体"/>
          <w:color w:val="000000" w:themeColor="text1"/>
          <w:spacing w:val="1"/>
          <w:sz w:val="24"/>
          <w:highlight w:val="none"/>
          <w14:textFill>
            <w14:solidFill>
              <w14:schemeClr w14:val="tx1"/>
            </w14:solidFill>
          </w14:textFill>
        </w:rPr>
        <w:t>屋建筑工程质量保修办法》，经协商一致，对_______________（工程全称）签定工程</w:t>
      </w:r>
      <w:r>
        <w:rPr>
          <w:rFonts w:ascii="宋体" w:hAnsi="宋体" w:cs="宋体"/>
          <w:color w:val="000000" w:themeColor="text1"/>
          <w:spacing w:val="-2"/>
          <w:sz w:val="24"/>
          <w:highlight w:val="none"/>
          <w14:textFill>
            <w14:solidFill>
              <w14:schemeClr w14:val="tx1"/>
            </w14:solidFill>
          </w14:textFill>
        </w:rPr>
        <w:t>质量保修书。</w:t>
      </w:r>
    </w:p>
    <w:p w14:paraId="09328815">
      <w:pPr>
        <w:spacing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第一条  工程质量保修范围和内容</w:t>
      </w:r>
    </w:p>
    <w:p w14:paraId="1657C3B2">
      <w:pPr>
        <w:spacing w:before="183" w:line="360" w:lineRule="auto"/>
        <w:ind w:left="9" w:right="1" w:firstLine="47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承包人在质量保修期内，按照有关法律、法规、规章的管理规定和双方约定，承担本工程质量保修责任。</w:t>
      </w:r>
    </w:p>
    <w:p w14:paraId="3C282C25">
      <w:pPr>
        <w:spacing w:before="1" w:line="361" w:lineRule="auto"/>
        <w:ind w:left="8"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w:t>
      </w:r>
      <w:r>
        <w:rPr>
          <w:rFonts w:ascii="宋体" w:hAnsi="宋体" w:cs="宋体"/>
          <w:color w:val="000000" w:themeColor="text1"/>
          <w:sz w:val="24"/>
          <w:highlight w:val="none"/>
          <w14:textFill>
            <w14:solidFill>
              <w14:schemeClr w14:val="tx1"/>
            </w14:solidFill>
          </w14:textFill>
        </w:rPr>
        <w:t>装修工程，以及双方约定的其他项目。具体保修</w:t>
      </w:r>
      <w:r>
        <w:rPr>
          <w:rFonts w:ascii="宋体" w:hAnsi="宋体" w:cs="宋体"/>
          <w:color w:val="000000" w:themeColor="text1"/>
          <w:spacing w:val="-1"/>
          <w:sz w:val="24"/>
          <w:highlight w:val="none"/>
          <w14:textFill>
            <w14:solidFill>
              <w14:schemeClr w14:val="tx1"/>
            </w14:solidFill>
          </w14:textFill>
        </w:rPr>
        <w:t>的内容，双方约定如下：</w:t>
      </w:r>
    </w:p>
    <w:p w14:paraId="16959122">
      <w:pPr>
        <w:spacing w:before="150" w:line="121" w:lineRule="exact"/>
        <w:ind w:left="478"/>
        <w:rPr>
          <w:rFonts w:hint="eastAsia" w:ascii="宋体" w:hAnsi="宋体" w:cs="宋体"/>
          <w:color w:val="000000" w:themeColor="text1"/>
          <w:sz w:val="8"/>
          <w:szCs w:val="8"/>
          <w:highlight w:val="none"/>
          <w14:textFill>
            <w14:solidFill>
              <w14:schemeClr w14:val="tx1"/>
            </w14:solidFill>
          </w14:textFill>
        </w:rPr>
      </w:pPr>
      <w:r>
        <w:rPr>
          <w:rFonts w:ascii="宋体" w:hAnsi="宋体" w:cs="宋体"/>
          <w:color w:val="000000" w:themeColor="text1"/>
          <w:spacing w:val="1"/>
          <w:position w:val="4"/>
          <w:sz w:val="24"/>
          <w:highlight w:val="none"/>
          <w14:textFill>
            <w14:solidFill>
              <w14:schemeClr w14:val="tx1"/>
            </w14:solidFill>
          </w14:textFill>
        </w:rPr>
        <w:t>____________________________________________</w:t>
      </w:r>
      <w:r>
        <w:rPr>
          <w:rFonts w:ascii="宋体" w:hAnsi="宋体" w:cs="宋体"/>
          <w:color w:val="000000" w:themeColor="text1"/>
          <w:position w:val="4"/>
          <w:sz w:val="24"/>
          <w:highlight w:val="none"/>
          <w14:textFill>
            <w14:solidFill>
              <w14:schemeClr w14:val="tx1"/>
            </w14:solidFill>
          </w14:textFill>
        </w:rPr>
        <w:t>______________________</w:t>
      </w:r>
      <w:r>
        <w:rPr>
          <w:rFonts w:ascii="宋体" w:hAnsi="宋体" w:cs="宋体"/>
          <w:color w:val="000000" w:themeColor="text1"/>
          <w:position w:val="4"/>
          <w:sz w:val="8"/>
          <w:szCs w:val="8"/>
          <w:highlight w:val="none"/>
          <w14:textFill>
            <w14:solidFill>
              <w14:schemeClr w14:val="tx1"/>
            </w14:solidFill>
          </w14:textFill>
        </w:rPr>
        <w:t>。</w:t>
      </w:r>
    </w:p>
    <w:p w14:paraId="21C97697">
      <w:pPr>
        <w:spacing w:before="192"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第二条  质量保修期</w:t>
      </w:r>
    </w:p>
    <w:p w14:paraId="7B8856B7">
      <w:pPr>
        <w:spacing w:before="183" w:line="219" w:lineRule="auto"/>
        <w:jc w:val="right"/>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双方根据《建设工程质量管理条例》及有关规定，约定本工程的质量保修期如下：</w:t>
      </w:r>
    </w:p>
    <w:p w14:paraId="6D0FC1BB">
      <w:pPr>
        <w:spacing w:before="184" w:line="219" w:lineRule="auto"/>
        <w:ind w:left="56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⒈ 地基基础工程和主体结构工程为设计文件规定的该工程合理使用年限；</w:t>
      </w:r>
    </w:p>
    <w:p w14:paraId="3FA7BBE5">
      <w:pPr>
        <w:spacing w:before="183" w:line="219" w:lineRule="auto"/>
        <w:ind w:left="55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⒉ 屋面防水工程、有防水要求的卫生间、房间和</w:t>
      </w:r>
      <w:r>
        <w:rPr>
          <w:rFonts w:ascii="宋体" w:hAnsi="宋体" w:cs="宋体"/>
          <w:color w:val="000000" w:themeColor="text1"/>
          <w:spacing w:val="-3"/>
          <w:sz w:val="24"/>
          <w:highlight w:val="none"/>
          <w14:textFill>
            <w14:solidFill>
              <w14:schemeClr w14:val="tx1"/>
            </w14:solidFill>
          </w14:textFill>
        </w:rPr>
        <w:t>外墙面的防渗漏为</w:t>
      </w:r>
      <w:r>
        <w:rPr>
          <w:rFonts w:ascii="宋体" w:hAnsi="宋体" w:cs="宋体"/>
          <w:color w:val="000000" w:themeColor="text1"/>
          <w:spacing w:val="-3"/>
          <w:sz w:val="24"/>
          <w:highlight w:val="none"/>
          <w:u w:val="single"/>
          <w14:textFill>
            <w14:solidFill>
              <w14:schemeClr w14:val="tx1"/>
            </w14:solidFill>
          </w14:textFill>
        </w:rPr>
        <w:t xml:space="preserve">  5  </w:t>
      </w:r>
      <w:r>
        <w:rPr>
          <w:rFonts w:ascii="宋体" w:hAnsi="宋体" w:cs="宋体"/>
          <w:color w:val="000000" w:themeColor="text1"/>
          <w:spacing w:val="-10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年；</w:t>
      </w:r>
    </w:p>
    <w:p w14:paraId="07B0BE2C">
      <w:pPr>
        <w:spacing w:before="184" w:line="219" w:lineRule="auto"/>
        <w:ind w:left="55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1"/>
          <w:sz w:val="24"/>
          <w:highlight w:val="none"/>
          <w14:textFill>
            <w14:solidFill>
              <w14:schemeClr w14:val="tx1"/>
            </w14:solidFill>
          </w14:textFill>
        </w:rPr>
        <w:t>⒊ 装修工程为</w:t>
      </w:r>
      <w:r>
        <w:rPr>
          <w:rFonts w:ascii="宋体" w:hAnsi="宋体" w:cs="宋体"/>
          <w:color w:val="000000" w:themeColor="text1"/>
          <w:spacing w:val="9"/>
          <w:sz w:val="24"/>
          <w:highlight w:val="none"/>
          <w:u w:val="single"/>
          <w14:textFill>
            <w14:solidFill>
              <w14:schemeClr w14:val="tx1"/>
            </w14:solidFill>
          </w14:textFill>
        </w:rPr>
        <w:t xml:space="preserve">  </w:t>
      </w:r>
      <w:r>
        <w:rPr>
          <w:rFonts w:ascii="宋体" w:hAnsi="宋体" w:cs="宋体"/>
          <w:color w:val="000000" w:themeColor="text1"/>
          <w:spacing w:val="-11"/>
          <w:sz w:val="24"/>
          <w:highlight w:val="none"/>
          <w:u w:val="single"/>
          <w14:textFill>
            <w14:solidFill>
              <w14:schemeClr w14:val="tx1"/>
            </w14:solidFill>
          </w14:textFill>
        </w:rPr>
        <w:t>2</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108"/>
          <w:sz w:val="24"/>
          <w:highlight w:val="none"/>
          <w14:textFill>
            <w14:solidFill>
              <w14:schemeClr w14:val="tx1"/>
            </w14:solidFill>
          </w14:textFill>
        </w:rPr>
        <w:t xml:space="preserve"> </w:t>
      </w:r>
      <w:r>
        <w:rPr>
          <w:rFonts w:ascii="宋体" w:hAnsi="宋体" w:cs="宋体"/>
          <w:color w:val="000000" w:themeColor="text1"/>
          <w:spacing w:val="-11"/>
          <w:sz w:val="24"/>
          <w:highlight w:val="none"/>
          <w14:textFill>
            <w14:solidFill>
              <w14:schemeClr w14:val="tx1"/>
            </w14:solidFill>
          </w14:textFill>
        </w:rPr>
        <w:t>年；</w:t>
      </w:r>
    </w:p>
    <w:p w14:paraId="1B5B447A">
      <w:pPr>
        <w:spacing w:before="183" w:line="219" w:lineRule="auto"/>
        <w:ind w:left="5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⒋</w:t>
      </w:r>
      <w:r>
        <w:rPr>
          <w:rFonts w:ascii="宋体" w:hAnsi="宋体" w:cs="宋体"/>
          <w:color w:val="000000" w:themeColor="text1"/>
          <w:spacing w:val="49"/>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电气管线、给排水管道、设备安装工程为</w:t>
      </w:r>
      <w:r>
        <w:rPr>
          <w:rFonts w:ascii="宋体" w:hAnsi="宋体" w:cs="宋体"/>
          <w:color w:val="000000" w:themeColor="text1"/>
          <w:spacing w:val="-5"/>
          <w:sz w:val="24"/>
          <w:highlight w:val="none"/>
          <w:u w:val="single"/>
          <w14:textFill>
            <w14:solidFill>
              <w14:schemeClr w14:val="tx1"/>
            </w14:solidFill>
          </w14:textFill>
        </w:rPr>
        <w:t xml:space="preserve">  2  </w:t>
      </w:r>
      <w:r>
        <w:rPr>
          <w:rFonts w:ascii="宋体" w:hAnsi="宋体" w:cs="宋体"/>
          <w:color w:val="000000" w:themeColor="text1"/>
          <w:spacing w:val="-11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年；</w:t>
      </w:r>
    </w:p>
    <w:p w14:paraId="34E0ECB2">
      <w:pPr>
        <w:spacing w:before="182" w:line="219" w:lineRule="auto"/>
        <w:ind w:left="55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⒌ 供热与供冷系统为</w:t>
      </w:r>
      <w:r>
        <w:rPr>
          <w:rFonts w:ascii="宋体" w:hAnsi="宋体" w:cs="宋体"/>
          <w:color w:val="000000" w:themeColor="text1"/>
          <w:spacing w:val="-4"/>
          <w:sz w:val="24"/>
          <w:highlight w:val="none"/>
          <w:u w:val="single"/>
          <w14:textFill>
            <w14:solidFill>
              <w14:schemeClr w14:val="tx1"/>
            </w14:solidFill>
          </w14:textFill>
        </w:rPr>
        <w:t xml:space="preserve">  2  </w:t>
      </w:r>
      <w:r>
        <w:rPr>
          <w:rFonts w:ascii="宋体" w:hAnsi="宋体" w:cs="宋体"/>
          <w:color w:val="000000" w:themeColor="text1"/>
          <w:spacing w:val="-10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个采暖期、供冷期；</w:t>
      </w:r>
    </w:p>
    <w:p w14:paraId="13FD4021">
      <w:pPr>
        <w:spacing w:before="185" w:line="219" w:lineRule="auto"/>
        <w:ind w:left="55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⒍ 住宅小区内的给排水设施、道路、电力等配套工程为</w:t>
      </w:r>
      <w:r>
        <w:rPr>
          <w:rFonts w:ascii="宋体" w:hAnsi="宋体" w:cs="宋体"/>
          <w:color w:val="000000" w:themeColor="text1"/>
          <w:spacing w:val="-3"/>
          <w:sz w:val="24"/>
          <w:highlight w:val="none"/>
          <w:u w:val="single"/>
          <w14:textFill>
            <w14:solidFill>
              <w14:schemeClr w14:val="tx1"/>
            </w14:solidFill>
          </w14:textFill>
        </w:rPr>
        <w:t xml:space="preserve">  2  </w:t>
      </w:r>
      <w:r>
        <w:rPr>
          <w:rFonts w:ascii="宋体" w:hAnsi="宋体" w:cs="宋体"/>
          <w:color w:val="000000" w:themeColor="text1"/>
          <w:spacing w:val="-10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年；</w:t>
      </w:r>
    </w:p>
    <w:p w14:paraId="79C508C7">
      <w:pPr>
        <w:spacing w:before="183" w:line="219" w:lineRule="auto"/>
        <w:ind w:left="55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⒎ 其他项目保修期限约定如下：</w:t>
      </w:r>
    </w:p>
    <w:p w14:paraId="052BD013">
      <w:pPr>
        <w:pStyle w:val="3"/>
        <w:spacing w:line="258" w:lineRule="auto"/>
        <w:rPr>
          <w:color w:val="000000" w:themeColor="text1"/>
          <w:highlight w:val="none"/>
          <w14:textFill>
            <w14:solidFill>
              <w14:schemeClr w14:val="tx1"/>
            </w14:solidFill>
          </w14:textFill>
        </w:rPr>
      </w:pPr>
    </w:p>
    <w:p w14:paraId="7D27A4FB">
      <w:pPr>
        <w:spacing w:before="78" w:line="121" w:lineRule="exact"/>
        <w:ind w:left="478"/>
        <w:rPr>
          <w:rFonts w:hint="eastAsia" w:ascii="宋体" w:hAnsi="宋体" w:cs="宋体"/>
          <w:color w:val="000000" w:themeColor="text1"/>
          <w:sz w:val="8"/>
          <w:szCs w:val="8"/>
          <w:highlight w:val="none"/>
          <w14:textFill>
            <w14:solidFill>
              <w14:schemeClr w14:val="tx1"/>
            </w14:solidFill>
          </w14:textFill>
        </w:rPr>
      </w:pPr>
      <w:r>
        <w:rPr>
          <w:rFonts w:ascii="宋体" w:hAnsi="宋体" w:cs="宋体"/>
          <w:color w:val="000000" w:themeColor="text1"/>
          <w:spacing w:val="1"/>
          <w:position w:val="4"/>
          <w:sz w:val="24"/>
          <w:highlight w:val="none"/>
          <w14:textFill>
            <w14:solidFill>
              <w14:schemeClr w14:val="tx1"/>
            </w14:solidFill>
          </w14:textFill>
        </w:rPr>
        <w:t>____________________________________________</w:t>
      </w:r>
      <w:r>
        <w:rPr>
          <w:rFonts w:ascii="宋体" w:hAnsi="宋体" w:cs="宋体"/>
          <w:color w:val="000000" w:themeColor="text1"/>
          <w:position w:val="4"/>
          <w:sz w:val="24"/>
          <w:highlight w:val="none"/>
          <w14:textFill>
            <w14:solidFill>
              <w14:schemeClr w14:val="tx1"/>
            </w14:solidFill>
          </w14:textFill>
        </w:rPr>
        <w:t>______________</w:t>
      </w:r>
      <w:r>
        <w:rPr>
          <w:rFonts w:ascii="宋体" w:hAnsi="宋体" w:cs="宋体"/>
          <w:color w:val="000000" w:themeColor="text1"/>
          <w:position w:val="4"/>
          <w:sz w:val="8"/>
          <w:szCs w:val="8"/>
          <w:highlight w:val="none"/>
          <w14:textFill>
            <w14:solidFill>
              <w14:schemeClr w14:val="tx1"/>
            </w14:solidFill>
          </w14:textFill>
        </w:rPr>
        <w:t>。</w:t>
      </w:r>
    </w:p>
    <w:p w14:paraId="17C0ADC2">
      <w:pPr>
        <w:spacing w:before="193"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质量保修期自工程竣工验收合格之日起计算。</w:t>
      </w:r>
    </w:p>
    <w:p w14:paraId="4A647C54">
      <w:pPr>
        <w:spacing w:before="183"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第三条  质量保修责任</w:t>
      </w:r>
    </w:p>
    <w:p w14:paraId="15C2EE21">
      <w:pPr>
        <w:spacing w:before="183" w:line="219" w:lineRule="auto"/>
        <w:ind w:right="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⒈ 属于保修范围、内容的项目，承包人应当在接到保修通知之日起</w:t>
      </w:r>
      <w:r>
        <w:rPr>
          <w:rFonts w:ascii="宋体" w:hAnsi="宋体" w:cs="宋体"/>
          <w:color w:val="000000" w:themeColor="text1"/>
          <w:spacing w:val="-2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7</w:t>
      </w:r>
      <w:r>
        <w:rPr>
          <w:rFonts w:ascii="宋体" w:hAnsi="宋体" w:cs="宋体"/>
          <w:color w:val="000000" w:themeColor="text1"/>
          <w:spacing w:val="-4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天内派人保</w:t>
      </w:r>
    </w:p>
    <w:p w14:paraId="59DEDE2B">
      <w:pPr>
        <w:spacing w:line="219" w:lineRule="auto"/>
        <w:rPr>
          <w:rFonts w:hint="eastAsia" w:ascii="宋体" w:hAnsi="宋体" w:cs="宋体"/>
          <w:color w:val="000000" w:themeColor="text1"/>
          <w:sz w:val="24"/>
          <w:highlight w:val="none"/>
          <w14:textFill>
            <w14:solidFill>
              <w14:schemeClr w14:val="tx1"/>
            </w14:solidFill>
          </w14:textFill>
        </w:rPr>
        <w:sectPr>
          <w:footerReference r:id="rId87" w:type="default"/>
          <w:pgSz w:w="11906" w:h="16839"/>
          <w:pgMar w:top="1182" w:right="1416" w:bottom="1168" w:left="1417" w:header="849" w:footer="934" w:gutter="0"/>
          <w:cols w:space="720" w:num="1"/>
        </w:sectPr>
      </w:pPr>
    </w:p>
    <w:p w14:paraId="2184540F">
      <w:pPr>
        <w:pStyle w:val="3"/>
        <w:spacing w:line="271" w:lineRule="auto"/>
        <w:rPr>
          <w:color w:val="000000" w:themeColor="text1"/>
          <w:highlight w:val="none"/>
          <w14:textFill>
            <w14:solidFill>
              <w14:schemeClr w14:val="tx1"/>
            </w14:solidFill>
          </w14:textFill>
        </w:rPr>
      </w:pPr>
    </w:p>
    <w:p w14:paraId="605363CA">
      <w:pPr>
        <w:spacing w:before="78" w:line="219" w:lineRule="auto"/>
        <w:ind w:left="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修。承包人不在约定期限内派人保修的，发</w:t>
      </w:r>
      <w:r>
        <w:rPr>
          <w:rFonts w:ascii="宋体" w:hAnsi="宋体" w:cs="宋体"/>
          <w:color w:val="000000" w:themeColor="text1"/>
          <w:spacing w:val="-1"/>
          <w:sz w:val="24"/>
          <w:highlight w:val="none"/>
          <w14:textFill>
            <w14:solidFill>
              <w14:schemeClr w14:val="tx1"/>
            </w14:solidFill>
          </w14:textFill>
        </w:rPr>
        <w:t>包人可以委托他人修理。</w:t>
      </w:r>
    </w:p>
    <w:p w14:paraId="29A0CD90">
      <w:pPr>
        <w:spacing w:before="183" w:line="219"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⒉ 发生紧急抢修事故的，承包人在接到事</w:t>
      </w:r>
      <w:r>
        <w:rPr>
          <w:rFonts w:ascii="宋体" w:hAnsi="宋体" w:cs="宋体"/>
          <w:color w:val="000000" w:themeColor="text1"/>
          <w:spacing w:val="-5"/>
          <w:sz w:val="24"/>
          <w:highlight w:val="none"/>
          <w14:textFill>
            <w14:solidFill>
              <w14:schemeClr w14:val="tx1"/>
            </w14:solidFill>
          </w14:textFill>
        </w:rPr>
        <w:t>故通知后，应当立即到达事故现场抢修。</w:t>
      </w:r>
    </w:p>
    <w:p w14:paraId="71A054BF">
      <w:pPr>
        <w:spacing w:before="183" w:line="313" w:lineRule="auto"/>
        <w:ind w:right="80" w:firstLine="480"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⒊ 对于涉及结构安全的质量问题，应当按照《房屋建筑工程质</w:t>
      </w:r>
      <w:r>
        <w:rPr>
          <w:rFonts w:ascii="宋体" w:hAnsi="宋体" w:cs="宋体"/>
          <w:color w:val="000000" w:themeColor="text1"/>
          <w:spacing w:val="-1"/>
          <w:sz w:val="24"/>
          <w:highlight w:val="none"/>
          <w14:textFill>
            <w14:solidFill>
              <w14:schemeClr w14:val="tx1"/>
            </w14:solidFill>
          </w14:textFill>
        </w:rPr>
        <w:t>量保修办法》的规</w:t>
      </w:r>
      <w:r>
        <w:rPr>
          <w:rFonts w:ascii="宋体" w:hAnsi="宋体" w:cs="宋体"/>
          <w:color w:val="000000" w:themeColor="text1"/>
          <w:spacing w:val="-2"/>
          <w:sz w:val="24"/>
          <w:highlight w:val="none"/>
          <w14:textFill>
            <w14:solidFill>
              <w14:schemeClr w14:val="tx1"/>
            </w14:solidFill>
          </w14:textFill>
        </w:rPr>
        <w:t>定，立即向当地建设行政主管部门报告，采取安全防范措施；由原设计单位或者具有相</w:t>
      </w:r>
      <w:r>
        <w:rPr>
          <w:rFonts w:ascii="宋体" w:hAnsi="宋体" w:cs="宋体"/>
          <w:color w:val="000000" w:themeColor="text1"/>
          <w:spacing w:val="-1"/>
          <w:sz w:val="24"/>
          <w:highlight w:val="none"/>
          <w14:textFill>
            <w14:solidFill>
              <w14:schemeClr w14:val="tx1"/>
            </w14:solidFill>
          </w14:textFill>
        </w:rPr>
        <w:t>应资质等级的设计单位提出保修方案，承包人实施保修。</w:t>
      </w:r>
    </w:p>
    <w:p w14:paraId="182CC8C0">
      <w:pPr>
        <w:spacing w:before="183" w:line="219" w:lineRule="auto"/>
        <w:ind w:left="54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⒋ 质量保修完成后，由发包人组织验收。</w:t>
      </w:r>
    </w:p>
    <w:p w14:paraId="6B066412">
      <w:pPr>
        <w:spacing w:before="183"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第四条  保修费用</w:t>
      </w:r>
    </w:p>
    <w:p w14:paraId="05B51639">
      <w:pPr>
        <w:spacing w:before="183" w:line="219"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保修费用由造成质量缺陷的责任方承担。</w:t>
      </w:r>
    </w:p>
    <w:p w14:paraId="381F68E1">
      <w:pPr>
        <w:spacing w:before="183"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第五条</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其他</w:t>
      </w:r>
    </w:p>
    <w:p w14:paraId="6FB48791">
      <w:pPr>
        <w:spacing w:before="182" w:line="213"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双方约定的其他工程质量保修事项：_____________________</w:t>
      </w:r>
      <w:r>
        <w:rPr>
          <w:rFonts w:ascii="宋体" w:hAnsi="宋体" w:cs="宋体"/>
          <w:color w:val="000000" w:themeColor="text1"/>
          <w:spacing w:val="-1"/>
          <w:sz w:val="24"/>
          <w:highlight w:val="none"/>
          <w14:textFill>
            <w14:solidFill>
              <w14:schemeClr w14:val="tx1"/>
            </w14:solidFill>
          </w14:textFill>
        </w:rPr>
        <w:t>__________。</w:t>
      </w:r>
    </w:p>
    <w:p w14:paraId="2666D17F">
      <w:pPr>
        <w:spacing w:before="191" w:line="362" w:lineRule="auto"/>
        <w:ind w:left="7"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本工程质量保修书，由施工合同发包人、承包人双方在竣工验收前共同签署，作为</w:t>
      </w:r>
      <w:r>
        <w:rPr>
          <w:rFonts w:ascii="宋体" w:hAnsi="宋体" w:cs="宋体"/>
          <w:color w:val="000000" w:themeColor="text1"/>
          <w:spacing w:val="-1"/>
          <w:sz w:val="24"/>
          <w:highlight w:val="none"/>
          <w14:textFill>
            <w14:solidFill>
              <w14:schemeClr w14:val="tx1"/>
            </w14:solidFill>
          </w14:textFill>
        </w:rPr>
        <w:t>施工合同附件，其有效期限至保修期满。</w:t>
      </w:r>
    </w:p>
    <w:p w14:paraId="6F9F40EC">
      <w:pPr>
        <w:spacing w:before="174"/>
        <w:rPr>
          <w:color w:val="000000" w:themeColor="text1"/>
          <w:highlight w:val="none"/>
          <w14:textFill>
            <w14:solidFill>
              <w14:schemeClr w14:val="tx1"/>
            </w14:solidFill>
          </w14:textFill>
        </w:rPr>
      </w:pPr>
    </w:p>
    <w:p w14:paraId="2EF2571E">
      <w:pPr>
        <w:rPr>
          <w:color w:val="000000" w:themeColor="text1"/>
          <w:highlight w:val="none"/>
          <w14:textFill>
            <w14:solidFill>
              <w14:schemeClr w14:val="tx1"/>
            </w14:solidFill>
          </w14:textFill>
        </w:rPr>
        <w:sectPr>
          <w:headerReference r:id="rId88" w:type="default"/>
          <w:footerReference r:id="rId89" w:type="default"/>
          <w:pgSz w:w="11906" w:h="16839"/>
          <w:pgMar w:top="1182" w:right="1337" w:bottom="1168" w:left="1417" w:header="849" w:footer="934" w:gutter="0"/>
          <w:cols w:space="720" w:num="1"/>
        </w:sectPr>
      </w:pPr>
    </w:p>
    <w:p w14:paraId="493D6D03">
      <w:pPr>
        <w:spacing w:before="47" w:line="219" w:lineRule="auto"/>
        <w:ind w:left="1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发 包</w:t>
      </w:r>
      <w:r>
        <w:rPr>
          <w:rFonts w:ascii="宋体" w:hAnsi="宋体" w:cs="宋体"/>
          <w:color w:val="000000" w:themeColor="text1"/>
          <w:spacing w:val="1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人（公章</w:t>
      </w:r>
      <w:r>
        <w:rPr>
          <w:rFonts w:ascii="宋体" w:hAnsi="宋体" w:cs="宋体"/>
          <w:color w:val="000000" w:themeColor="text1"/>
          <w:spacing w:val="1"/>
          <w:sz w:val="24"/>
          <w:highlight w:val="none"/>
          <w14:textFill>
            <w14:solidFill>
              <w14:schemeClr w14:val="tx1"/>
            </w14:solidFill>
          </w14:textFill>
        </w:rPr>
        <w:t>）：</w:t>
      </w:r>
    </w:p>
    <w:p w14:paraId="1E659FF9">
      <w:pPr>
        <w:spacing w:before="184" w:line="219" w:lineRule="auto"/>
        <w:ind w:left="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法定代表人</w:t>
      </w:r>
    </w:p>
    <w:p w14:paraId="5ED03479">
      <w:pPr>
        <w:spacing w:before="183" w:line="223" w:lineRule="auto"/>
        <w:ind w:left="1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或</w:t>
      </w:r>
    </w:p>
    <w:p w14:paraId="196DB55E">
      <w:pPr>
        <w:spacing w:before="179" w:line="219" w:lineRule="auto"/>
        <w:ind w:left="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其委托代理人：</w:t>
      </w:r>
      <w:r>
        <w:rPr>
          <w:rFonts w:ascii="宋体" w:hAnsi="宋体" w:cs="宋体"/>
          <w:color w:val="000000" w:themeColor="text1"/>
          <w:sz w:val="24"/>
          <w:highlight w:val="none"/>
          <w:u w:val="single"/>
          <w14:textFill>
            <w14:solidFill>
              <w14:schemeClr w14:val="tx1"/>
            </w14:solidFill>
          </w14:textFill>
        </w:rPr>
        <w:t xml:space="preserve">              </w:t>
      </w:r>
    </w:p>
    <w:p w14:paraId="21D7287C">
      <w:pPr>
        <w:spacing w:before="183" w:line="184" w:lineRule="auto"/>
        <w:ind w:left="4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3"/>
          <w:sz w:val="24"/>
          <w:highlight w:val="none"/>
          <w14:textFill>
            <w14:solidFill>
              <w14:schemeClr w14:val="tx1"/>
            </w14:solidFill>
          </w14:textFill>
        </w:rPr>
        <w:t>日期：</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年</w:t>
      </w:r>
      <w:r>
        <w:rPr>
          <w:rFonts w:ascii="宋体" w:hAnsi="宋体" w:cs="宋体"/>
          <w:color w:val="000000" w:themeColor="text1"/>
          <w:spacing w:val="8"/>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月</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日</w:t>
      </w:r>
    </w:p>
    <w:p w14:paraId="76BF54F3">
      <w:pPr>
        <w:pStyle w:val="3"/>
        <w:spacing w:line="14" w:lineRule="auto"/>
        <w:rPr>
          <w:color w:val="000000" w:themeColor="text1"/>
          <w:sz w:val="2"/>
          <w:highlight w:val="none"/>
          <w14:textFill>
            <w14:solidFill>
              <w14:schemeClr w14:val="tx1"/>
            </w14:solidFill>
          </w14:textFill>
        </w:rPr>
      </w:pPr>
      <w:r>
        <w:rPr>
          <w:color w:val="000000" w:themeColor="text1"/>
          <w:sz w:val="2"/>
          <w:szCs w:val="2"/>
          <w:highlight w:val="none"/>
          <w14:textFill>
            <w14:solidFill>
              <w14:schemeClr w14:val="tx1"/>
            </w14:solidFill>
          </w14:textFill>
        </w:rPr>
        <w:br w:type="column"/>
      </w:r>
    </w:p>
    <w:p w14:paraId="0FB0A4B1">
      <w:pPr>
        <w:spacing w:before="46" w:line="219" w:lineRule="auto"/>
        <w:ind w:left="11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承 包</w:t>
      </w:r>
      <w:r>
        <w:rPr>
          <w:rFonts w:ascii="宋体" w:hAnsi="宋体" w:cs="宋体"/>
          <w:color w:val="000000" w:themeColor="text1"/>
          <w:spacing w:val="11"/>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人（公章</w:t>
      </w:r>
      <w:r>
        <w:rPr>
          <w:rFonts w:ascii="宋体" w:hAnsi="宋体" w:cs="宋体"/>
          <w:color w:val="000000" w:themeColor="text1"/>
          <w:sz w:val="24"/>
          <w:highlight w:val="none"/>
          <w14:textFill>
            <w14:solidFill>
              <w14:schemeClr w14:val="tx1"/>
            </w14:solidFill>
          </w14:textFill>
        </w:rPr>
        <w:t>）：</w:t>
      </w:r>
    </w:p>
    <w:p w14:paraId="01191E9A">
      <w:pPr>
        <w:spacing w:before="184" w:line="219"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法定代表人</w:t>
      </w:r>
    </w:p>
    <w:p w14:paraId="6A5CDF02">
      <w:pPr>
        <w:spacing w:before="183" w:line="223" w:lineRule="auto"/>
        <w:ind w:left="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或</w:t>
      </w:r>
    </w:p>
    <w:p w14:paraId="359FF4BB">
      <w:pPr>
        <w:spacing w:before="178" w:line="219"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其委托代理人：</w:t>
      </w:r>
      <w:r>
        <w:rPr>
          <w:rFonts w:ascii="宋体" w:hAnsi="宋体" w:cs="宋体"/>
          <w:color w:val="000000" w:themeColor="text1"/>
          <w:sz w:val="24"/>
          <w:highlight w:val="none"/>
          <w:u w:val="single"/>
          <w14:textFill>
            <w14:solidFill>
              <w14:schemeClr w14:val="tx1"/>
            </w14:solidFill>
          </w14:textFill>
        </w:rPr>
        <w:t xml:space="preserve">             </w:t>
      </w:r>
    </w:p>
    <w:p w14:paraId="68FC0C7F">
      <w:pPr>
        <w:spacing w:before="184" w:line="184" w:lineRule="auto"/>
        <w:ind w:left="4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3"/>
          <w:sz w:val="24"/>
          <w:highlight w:val="none"/>
          <w14:textFill>
            <w14:solidFill>
              <w14:schemeClr w14:val="tx1"/>
            </w14:solidFill>
          </w14:textFill>
        </w:rPr>
        <w:t>日期：</w:t>
      </w:r>
      <w:r>
        <w:rPr>
          <w:rFonts w:ascii="宋体" w:hAnsi="宋体" w:cs="宋体"/>
          <w:color w:val="000000" w:themeColor="text1"/>
          <w:spacing w:val="5"/>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年</w:t>
      </w:r>
      <w:r>
        <w:rPr>
          <w:rFonts w:ascii="宋体" w:hAnsi="宋体" w:cs="宋体"/>
          <w:color w:val="000000" w:themeColor="text1"/>
          <w:spacing w:val="8"/>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月</w:t>
      </w:r>
      <w:r>
        <w:rPr>
          <w:rFonts w:ascii="宋体" w:hAnsi="宋体" w:cs="宋体"/>
          <w:color w:val="000000" w:themeColor="text1"/>
          <w:spacing w:val="25"/>
          <w:sz w:val="24"/>
          <w:highlight w:val="none"/>
          <w14:textFill>
            <w14:solidFill>
              <w14:schemeClr w14:val="tx1"/>
            </w14:solidFill>
          </w14:textFill>
        </w:rPr>
        <w:t xml:space="preserve">  </w:t>
      </w:r>
      <w:r>
        <w:rPr>
          <w:rFonts w:ascii="宋体" w:hAnsi="宋体" w:cs="宋体"/>
          <w:color w:val="000000" w:themeColor="text1"/>
          <w:spacing w:val="-13"/>
          <w:sz w:val="24"/>
          <w:highlight w:val="none"/>
          <w14:textFill>
            <w14:solidFill>
              <w14:schemeClr w14:val="tx1"/>
            </w14:solidFill>
          </w14:textFill>
        </w:rPr>
        <w:t>日</w:t>
      </w:r>
    </w:p>
    <w:p w14:paraId="05CA209A">
      <w:pPr>
        <w:pStyle w:val="55"/>
        <w:ind w:firstLine="0"/>
        <w:rPr>
          <w:color w:val="000000" w:themeColor="text1"/>
          <w:highlight w:val="none"/>
          <w14:textFill>
            <w14:solidFill>
              <w14:schemeClr w14:val="tx1"/>
            </w14:solidFill>
          </w14:textFill>
        </w:rPr>
      </w:pPr>
    </w:p>
    <w:p w14:paraId="2905B405">
      <w:pPr>
        <w:pStyle w:val="55"/>
        <w:ind w:firstLine="0"/>
        <w:rPr>
          <w:color w:val="000000" w:themeColor="text1"/>
          <w:highlight w:val="none"/>
          <w14:textFill>
            <w14:solidFill>
              <w14:schemeClr w14:val="tx1"/>
            </w14:solidFill>
          </w14:textFill>
        </w:rPr>
        <w:sectPr>
          <w:type w:val="continuous"/>
          <w:pgSz w:w="11906" w:h="16839"/>
          <w:pgMar w:top="1182" w:right="1337" w:bottom="1168" w:left="1417" w:header="849" w:footer="934" w:gutter="0"/>
          <w:cols w:equalWidth="0" w:num="2">
            <w:col w:w="4710" w:space="100"/>
            <w:col w:w="4342"/>
          </w:cols>
        </w:sectPr>
      </w:pPr>
    </w:p>
    <w:p w14:paraId="7BF17FAF">
      <w:pPr>
        <w:pStyle w:val="74"/>
        <w:spacing w:line="360" w:lineRule="auto"/>
        <w:rPr>
          <w:bCs w:val="0"/>
          <w:color w:val="000000" w:themeColor="text1"/>
          <w:sz w:val="24"/>
          <w:szCs w:val="24"/>
          <w:highlight w:val="none"/>
          <w14:textFill>
            <w14:solidFill>
              <w14:schemeClr w14:val="tx1"/>
            </w14:solidFill>
          </w14:textFill>
        </w:rPr>
      </w:pPr>
      <w:bookmarkStart w:id="400" w:name="_Toc2899"/>
      <w:bookmarkStart w:id="401" w:name="_Toc16260"/>
      <w:r>
        <w:rPr>
          <w:rFonts w:hint="eastAsia"/>
          <w:bCs w:val="0"/>
          <w:color w:val="000000" w:themeColor="text1"/>
          <w:sz w:val="24"/>
          <w:szCs w:val="24"/>
          <w:highlight w:val="none"/>
          <w14:textFill>
            <w14:solidFill>
              <w14:schemeClr w14:val="tx1"/>
            </w14:solidFill>
          </w14:textFill>
        </w:rPr>
        <w:t>附件十六</w:t>
      </w:r>
      <w:r>
        <w:rPr>
          <w:bCs w:val="0"/>
          <w:color w:val="000000" w:themeColor="text1"/>
          <w:sz w:val="24"/>
          <w:szCs w:val="24"/>
          <w:highlight w:val="none"/>
          <w14:textFill>
            <w14:solidFill>
              <w14:schemeClr w14:val="tx1"/>
            </w14:solidFill>
          </w14:textFill>
        </w:rPr>
        <w:t xml:space="preserve">  </w:t>
      </w:r>
      <w:r>
        <w:rPr>
          <w:rFonts w:hint="eastAsia"/>
          <w:bCs w:val="0"/>
          <w:color w:val="000000" w:themeColor="text1"/>
          <w:sz w:val="24"/>
          <w:szCs w:val="24"/>
          <w:highlight w:val="none"/>
          <w14:textFill>
            <w14:solidFill>
              <w14:schemeClr w14:val="tx1"/>
            </w14:solidFill>
          </w14:textFill>
        </w:rPr>
        <w:t>工程结算协议</w:t>
      </w:r>
      <w:bookmarkEnd w:id="400"/>
      <w:bookmarkEnd w:id="401"/>
    </w:p>
    <w:p w14:paraId="4552269F">
      <w:pPr>
        <w:spacing w:line="360" w:lineRule="exact"/>
        <w:jc w:val="center"/>
        <w:rPr>
          <w:rFonts w:hint="eastAsia" w:ascii="宋体" w:hAnsi="宋体" w:cs="宋体"/>
          <w:color w:val="000000" w:themeColor="text1"/>
          <w:sz w:val="30"/>
          <w:szCs w:val="30"/>
          <w:highlight w:val="none"/>
          <w14:textFill>
            <w14:solidFill>
              <w14:schemeClr w14:val="tx1"/>
            </w14:solidFill>
          </w14:textFill>
        </w:rPr>
      </w:pPr>
    </w:p>
    <w:p w14:paraId="4E2137D9">
      <w:pPr>
        <w:spacing w:line="360" w:lineRule="exact"/>
        <w:jc w:val="center"/>
        <w:rPr>
          <w:rFonts w:ascii="宋体" w:cs="宋体"/>
          <w:color w:val="000000" w:themeColor="text1"/>
          <w:sz w:val="24"/>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工程结算协议</w:t>
      </w:r>
    </w:p>
    <w:p w14:paraId="08D08956">
      <w:pPr>
        <w:spacing w:line="360" w:lineRule="exact"/>
        <w:ind w:firstLine="465"/>
        <w:rPr>
          <w:rFonts w:ascii="宋体" w:cs="宋体"/>
          <w:color w:val="000000" w:themeColor="text1"/>
          <w:sz w:val="24"/>
          <w:highlight w:val="none"/>
          <w14:textFill>
            <w14:solidFill>
              <w14:schemeClr w14:val="tx1"/>
            </w14:solidFill>
          </w14:textFill>
        </w:rPr>
      </w:pPr>
    </w:p>
    <w:p w14:paraId="37BCE5A1">
      <w:pPr>
        <w:widowControl/>
        <w:kinsoku w:val="0"/>
        <w:autoSpaceDE w:val="0"/>
        <w:autoSpaceDN w:val="0"/>
        <w:adjustRightInd w:val="0"/>
        <w:snapToGrid w:val="0"/>
        <w:spacing w:before="78" w:line="220" w:lineRule="auto"/>
        <w:ind w:left="3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7"/>
          <w:kern w:val="0"/>
          <w:sz w:val="24"/>
          <w:highlight w:val="none"/>
          <w14:textFill>
            <w14:solidFill>
              <w14:schemeClr w14:val="tx1"/>
            </w14:solidFill>
          </w14:textFill>
        </w:rPr>
        <w:t>甲方（发包人</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39634A68">
      <w:pPr>
        <w:widowControl/>
        <w:kinsoku w:val="0"/>
        <w:autoSpaceDE w:val="0"/>
        <w:autoSpaceDN w:val="0"/>
        <w:adjustRightInd w:val="0"/>
        <w:snapToGrid w:val="0"/>
        <w:spacing w:before="182" w:line="219"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地址：</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 xml:space="preserve">                法定代表人：</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p>
    <w:p w14:paraId="5E60681E">
      <w:pPr>
        <w:widowControl/>
        <w:kinsoku w:val="0"/>
        <w:autoSpaceDE w:val="0"/>
        <w:autoSpaceDN w:val="0"/>
        <w:adjustRightInd w:val="0"/>
        <w:snapToGrid w:val="0"/>
        <w:spacing w:before="183" w:line="219" w:lineRule="auto"/>
        <w:ind w:left="31"/>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6"/>
          <w:kern w:val="0"/>
          <w:sz w:val="24"/>
          <w:highlight w:val="none"/>
          <w:lang w:eastAsia="en-US"/>
          <w14:textFill>
            <w14:solidFill>
              <w14:schemeClr w14:val="tx1"/>
            </w14:solidFill>
          </w14:textFill>
        </w:rPr>
        <w:t>乙方（承包人</w:t>
      </w:r>
      <w:r>
        <w:rPr>
          <w:rFonts w:ascii="宋体" w:hAnsi="宋体" w:cs="宋体"/>
          <w:snapToGrid w:val="0"/>
          <w:color w:val="000000" w:themeColor="text1"/>
          <w:spacing w:val="1"/>
          <w:kern w:val="0"/>
          <w:sz w:val="24"/>
          <w:highlight w:val="none"/>
          <w:lang w:eastAsia="en-US"/>
          <w14:textFill>
            <w14:solidFill>
              <w14:schemeClr w14:val="tx1"/>
            </w14:solidFill>
          </w14:textFill>
        </w:rPr>
        <w:t>）：</w:t>
      </w:r>
      <w:r>
        <w:rPr>
          <w:rFonts w:ascii="宋体" w:hAnsi="宋体" w:cs="宋体"/>
          <w:snapToGrid w:val="0"/>
          <w:color w:val="000000" w:themeColor="text1"/>
          <w:kern w:val="0"/>
          <w:sz w:val="24"/>
          <w:highlight w:val="none"/>
          <w:u w:val="single"/>
          <w:lang w:eastAsia="en-US"/>
          <w14:textFill>
            <w14:solidFill>
              <w14:schemeClr w14:val="tx1"/>
            </w14:solidFill>
          </w14:textFill>
        </w:rPr>
        <w:t xml:space="preserve">                      </w:t>
      </w:r>
    </w:p>
    <w:p w14:paraId="0BC1F4EF">
      <w:pPr>
        <w:widowControl/>
        <w:kinsoku w:val="0"/>
        <w:autoSpaceDE w:val="0"/>
        <w:autoSpaceDN w:val="0"/>
        <w:adjustRightInd w:val="0"/>
        <w:snapToGrid w:val="0"/>
        <w:spacing w:before="183" w:line="219" w:lineRule="auto"/>
        <w:ind w:left="8"/>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2"/>
          <w:kern w:val="0"/>
          <w:sz w:val="24"/>
          <w:highlight w:val="none"/>
          <w:lang w:eastAsia="en-US"/>
          <w14:textFill>
            <w14:solidFill>
              <w14:schemeClr w14:val="tx1"/>
            </w14:solidFill>
          </w14:textFill>
        </w:rPr>
        <w:t>地址：</w:t>
      </w:r>
      <w:r>
        <w:rPr>
          <w:rFonts w:ascii="宋体" w:hAnsi="宋体" w:cs="宋体"/>
          <w:snapToGrid w:val="0"/>
          <w:color w:val="000000" w:themeColor="text1"/>
          <w:spacing w:val="-2"/>
          <w:kern w:val="0"/>
          <w:sz w:val="24"/>
          <w:highlight w:val="none"/>
          <w:u w:val="single"/>
          <w:lang w:eastAsia="en-US"/>
          <w14:textFill>
            <w14:solidFill>
              <w14:schemeClr w14:val="tx1"/>
            </w14:solidFill>
          </w14:textFill>
        </w:rPr>
        <w:t xml:space="preserve">                   </w:t>
      </w:r>
      <w:r>
        <w:rPr>
          <w:rFonts w:ascii="宋体" w:hAnsi="宋体" w:cs="宋体"/>
          <w:snapToGrid w:val="0"/>
          <w:color w:val="000000" w:themeColor="text1"/>
          <w:spacing w:val="-2"/>
          <w:kern w:val="0"/>
          <w:sz w:val="24"/>
          <w:highlight w:val="none"/>
          <w:lang w:eastAsia="en-US"/>
          <w14:textFill>
            <w14:solidFill>
              <w14:schemeClr w14:val="tx1"/>
            </w14:solidFill>
          </w14:textFill>
        </w:rPr>
        <w:t xml:space="preserve">                法定代表人：</w:t>
      </w:r>
      <w:r>
        <w:rPr>
          <w:rFonts w:ascii="宋体" w:hAnsi="宋体" w:cs="宋体"/>
          <w:snapToGrid w:val="0"/>
          <w:color w:val="000000" w:themeColor="text1"/>
          <w:spacing w:val="-2"/>
          <w:kern w:val="0"/>
          <w:sz w:val="24"/>
          <w:highlight w:val="none"/>
          <w:u w:val="single"/>
          <w:lang w:eastAsia="en-US"/>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lang w:eastAsia="en-US"/>
          <w14:textFill>
            <w14:solidFill>
              <w14:schemeClr w14:val="tx1"/>
            </w14:solidFill>
          </w14:textFill>
        </w:rPr>
        <w:t xml:space="preserve">   </w:t>
      </w:r>
    </w:p>
    <w:p w14:paraId="3BD833B1">
      <w:pPr>
        <w:widowControl/>
        <w:kinsoku w:val="0"/>
        <w:autoSpaceDE w:val="0"/>
        <w:autoSpaceDN w:val="0"/>
        <w:adjustRightInd w:val="0"/>
        <w:snapToGrid w:val="0"/>
        <w:spacing w:before="182" w:line="223" w:lineRule="auto"/>
        <w:ind w:left="1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鉴于：</w:t>
      </w:r>
    </w:p>
    <w:p w14:paraId="26F8981D">
      <w:pPr>
        <w:widowControl/>
        <w:kinsoku w:val="0"/>
        <w:autoSpaceDE w:val="0"/>
        <w:autoSpaceDN w:val="0"/>
        <w:adjustRightInd w:val="0"/>
        <w:snapToGrid w:val="0"/>
        <w:spacing w:before="177" w:line="290" w:lineRule="auto"/>
        <w:ind w:left="10" w:right="140" w:firstLine="49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5"/>
          <w:kern w:val="0"/>
          <w:sz w:val="24"/>
          <w:highlight w:val="none"/>
          <w14:textFill>
            <w14:solidFill>
              <w14:schemeClr w14:val="tx1"/>
            </w14:solidFill>
          </w14:textFill>
        </w:rPr>
        <w:t>1、</w:t>
      </w:r>
      <w:r>
        <w:rPr>
          <w:rFonts w:ascii="宋体" w:hAnsi="宋体" w:cs="宋体"/>
          <w:snapToGrid w:val="0"/>
          <w:color w:val="000000" w:themeColor="text1"/>
          <w:spacing w:val="-25"/>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年</w:t>
      </w:r>
      <w:r>
        <w:rPr>
          <w:rFonts w:ascii="宋体" w:hAnsi="宋体" w:cs="宋体"/>
          <w:snapToGrid w:val="0"/>
          <w:color w:val="000000" w:themeColor="text1"/>
          <w:spacing w:val="5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3"/>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月</w:t>
      </w:r>
      <w:r>
        <w:rPr>
          <w:rFonts w:ascii="宋体" w:hAnsi="宋体" w:cs="宋体"/>
          <w:snapToGrid w:val="0"/>
          <w:color w:val="000000" w:themeColor="text1"/>
          <w:spacing w:val="5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7"/>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日，甲方与乙方签订了《</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合同》（下简称“合同</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w:t>
      </w:r>
      <w:r>
        <w:rPr>
          <w:rFonts w:ascii="宋体" w:hAnsi="宋体" w:cs="宋体"/>
          <w:snapToGrid w:val="0"/>
          <w:color w:val="000000" w:themeColor="text1"/>
          <w:spacing w:val="-41"/>
          <w:w w:val="66"/>
          <w:kern w:val="0"/>
          <w:sz w:val="24"/>
          <w:highlight w:val="none"/>
          <w14:textFill>
            <w14:solidFill>
              <w14:schemeClr w14:val="tx1"/>
            </w14:solidFill>
          </w14:textFill>
        </w:rPr>
        <w:t>），</w:t>
      </w:r>
      <w:r>
        <w:rPr>
          <w:rFonts w:ascii="宋体" w:hAnsi="宋体" w:cs="宋体"/>
          <w:snapToGrid w:val="0"/>
          <w:color w:val="000000" w:themeColor="text1"/>
          <w:spacing w:val="-25"/>
          <w:kern w:val="0"/>
          <w:sz w:val="24"/>
          <w:highlight w:val="none"/>
          <w14:textFill>
            <w14:solidFill>
              <w14:schemeClr w14:val="tx1"/>
            </w14:solidFill>
          </w14:textFill>
        </w:rPr>
        <w:t>约定</w:t>
      </w:r>
      <w:r>
        <w:rPr>
          <w:rFonts w:ascii="宋体" w:hAnsi="宋体" w:cs="宋体"/>
          <w:snapToGrid w:val="0"/>
          <w:color w:val="000000" w:themeColor="text1"/>
          <w:spacing w:val="59"/>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5"/>
          <w:kern w:val="0"/>
          <w:sz w:val="24"/>
          <w:highlight w:val="none"/>
          <w14:textFill>
            <w14:solidFill>
              <w14:schemeClr w14:val="tx1"/>
            </w14:solidFill>
          </w14:textFill>
        </w:rPr>
        <w:t>（注：</w:t>
      </w:r>
      <w:r>
        <w:rPr>
          <w:rFonts w:ascii="宋体" w:hAnsi="宋体" w:cs="宋体"/>
          <w:snapToGrid w:val="0"/>
          <w:color w:val="000000" w:themeColor="text1"/>
          <w:spacing w:val="-1"/>
          <w:kern w:val="0"/>
          <w:sz w:val="24"/>
          <w:highlight w:val="none"/>
          <w14:textFill>
            <w14:solidFill>
              <w14:schemeClr w14:val="tx1"/>
            </w14:solidFill>
          </w14:textFill>
        </w:rPr>
        <w:t>填写乙方负责承包的工程内容）。</w:t>
      </w:r>
    </w:p>
    <w:p w14:paraId="47D7D6BC">
      <w:pPr>
        <w:widowControl/>
        <w:kinsoku w:val="0"/>
        <w:autoSpaceDE w:val="0"/>
        <w:autoSpaceDN w:val="0"/>
        <w:adjustRightInd w:val="0"/>
        <w:snapToGrid w:val="0"/>
        <w:spacing w:before="184" w:line="289" w:lineRule="auto"/>
        <w:ind w:left="7" w:right="20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年</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月</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日，乙方承包的</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工程已完成交工验收，</w:t>
      </w:r>
      <w:r>
        <w:rPr>
          <w:rFonts w:ascii="宋体" w:hAnsi="宋体" w:cs="宋体"/>
          <w:snapToGrid w:val="0"/>
          <w:color w:val="000000" w:themeColor="text1"/>
          <w:spacing w:val="-2"/>
          <w:kern w:val="0"/>
          <w:sz w:val="24"/>
          <w:highlight w:val="none"/>
          <w14:textFill>
            <w14:solidFill>
              <w14:schemeClr w14:val="tx1"/>
            </w14:solidFill>
          </w14:textFill>
        </w:rPr>
        <w:t>且乙方已取得上述工程交工证书。</w:t>
      </w:r>
    </w:p>
    <w:p w14:paraId="5E6639AC">
      <w:pPr>
        <w:widowControl/>
        <w:kinsoku w:val="0"/>
        <w:autoSpaceDE w:val="0"/>
        <w:autoSpaceDN w:val="0"/>
        <w:adjustRightInd w:val="0"/>
        <w:snapToGrid w:val="0"/>
        <w:spacing w:before="184" w:line="360" w:lineRule="auto"/>
        <w:ind w:left="10" w:right="200" w:firstLine="47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基于上述，甲、乙双方经协商一致，特就乙方承包的</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工程的结算事宜订立本协</w:t>
      </w:r>
      <w:r>
        <w:rPr>
          <w:rFonts w:ascii="宋体" w:hAnsi="宋体" w:cs="宋体"/>
          <w:snapToGrid w:val="0"/>
          <w:color w:val="000000" w:themeColor="text1"/>
          <w:spacing w:val="-2"/>
          <w:kern w:val="0"/>
          <w:sz w:val="24"/>
          <w:highlight w:val="none"/>
          <w14:textFill>
            <w14:solidFill>
              <w14:schemeClr w14:val="tx1"/>
            </w14:solidFill>
          </w14:textFill>
        </w:rPr>
        <w:t>议，以共同遵守。</w:t>
      </w:r>
    </w:p>
    <w:p w14:paraId="431602C4">
      <w:pPr>
        <w:widowControl/>
        <w:kinsoku w:val="0"/>
        <w:autoSpaceDE w:val="0"/>
        <w:autoSpaceDN w:val="0"/>
        <w:adjustRightInd w:val="0"/>
        <w:snapToGrid w:val="0"/>
        <w:spacing w:before="1" w:line="217" w:lineRule="auto"/>
        <w:jc w:val="center"/>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0"/>
          <w:kern w:val="0"/>
          <w:sz w:val="24"/>
          <w:highlight w:val="none"/>
          <w14:textFill>
            <w14:solidFill>
              <w14:schemeClr w14:val="tx1"/>
            </w14:solidFill>
          </w14:textFill>
        </w:rPr>
        <w:t>一、乙方承包的</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hint="eastAsia"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20"/>
          <w:kern w:val="0"/>
          <w:sz w:val="24"/>
          <w:highlight w:val="none"/>
          <w14:textFill>
            <w14:solidFill>
              <w14:schemeClr w14:val="tx1"/>
            </w14:solidFill>
          </w14:textFill>
        </w:rPr>
        <w:t>工程（以下简称“本工程</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20"/>
          <w:kern w:val="0"/>
          <w:sz w:val="24"/>
          <w:highlight w:val="none"/>
          <w14:textFill>
            <w14:solidFill>
              <w14:schemeClr w14:val="tx1"/>
            </w14:solidFill>
          </w14:textFill>
        </w:rPr>
        <w:t>”）结算价暂定为人民币</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hint="eastAsia"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20"/>
          <w:kern w:val="0"/>
          <w:sz w:val="24"/>
          <w:highlight w:val="none"/>
          <w14:textFill>
            <w14:solidFill>
              <w14:schemeClr w14:val="tx1"/>
            </w14:solidFill>
          </w14:textFill>
        </w:rPr>
        <w:t>元（大写</w:t>
      </w:r>
      <w:r>
        <w:rPr>
          <w:rFonts w:ascii="宋体" w:hAnsi="宋体" w:cs="宋体"/>
          <w:snapToGrid w:val="0"/>
          <w:color w:val="000000" w:themeColor="text1"/>
          <w:spacing w:val="-51"/>
          <w:w w:val="80"/>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51"/>
          <w:w w:val="80"/>
          <w:kern w:val="0"/>
          <w:sz w:val="24"/>
          <w:highlight w:val="none"/>
          <w14:textFill>
            <w14:solidFill>
              <w14:schemeClr w14:val="tx1"/>
            </w14:solidFill>
          </w14:textFill>
        </w:rPr>
        <w:t>）</w:t>
      </w:r>
      <w:r>
        <w:rPr>
          <w:rFonts w:ascii="宋体" w:hAnsi="宋体" w:cs="宋体"/>
          <w:snapToGrid w:val="0"/>
          <w:color w:val="000000" w:themeColor="text1"/>
          <w:spacing w:val="-20"/>
          <w:kern w:val="0"/>
          <w:sz w:val="24"/>
          <w:highlight w:val="none"/>
          <w14:textFill>
            <w14:solidFill>
              <w14:schemeClr w14:val="tx1"/>
            </w14:solidFill>
          </w14:textFill>
        </w:rPr>
        <w:t>。</w:t>
      </w:r>
    </w:p>
    <w:p w14:paraId="3D76132F">
      <w:pPr>
        <w:widowControl/>
        <w:kinsoku w:val="0"/>
        <w:autoSpaceDE w:val="0"/>
        <w:autoSpaceDN w:val="0"/>
        <w:adjustRightInd w:val="0"/>
        <w:snapToGrid w:val="0"/>
        <w:spacing w:before="185" w:line="360" w:lineRule="auto"/>
        <w:ind w:left="12" w:right="200" w:firstLine="47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若政府审计部门之后进行审计，且作出的审计决定和行业主管部门造价审查结果不</w:t>
      </w:r>
      <w:r>
        <w:rPr>
          <w:rFonts w:ascii="宋体" w:hAnsi="宋体" w:cs="宋体"/>
          <w:snapToGrid w:val="0"/>
          <w:color w:val="000000" w:themeColor="text1"/>
          <w:spacing w:val="-1"/>
          <w:kern w:val="0"/>
          <w:sz w:val="24"/>
          <w:highlight w:val="none"/>
          <w14:textFill>
            <w14:solidFill>
              <w14:schemeClr w14:val="tx1"/>
            </w14:solidFill>
          </w14:textFill>
        </w:rPr>
        <w:t>一致，双方同意按以下原则处理：</w:t>
      </w:r>
    </w:p>
    <w:p w14:paraId="314CA641">
      <w:pPr>
        <w:widowControl/>
        <w:kinsoku w:val="0"/>
        <w:autoSpaceDE w:val="0"/>
        <w:autoSpaceDN w:val="0"/>
        <w:adjustRightInd w:val="0"/>
        <w:snapToGrid w:val="0"/>
        <w:spacing w:line="360" w:lineRule="auto"/>
        <w:ind w:left="14" w:right="200" w:firstLine="47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行业主管部门和审计部门对不同内容进行核减的，综合行业主管部门和审计部门的</w:t>
      </w:r>
      <w:r>
        <w:rPr>
          <w:rFonts w:ascii="宋体" w:hAnsi="宋体" w:cs="宋体"/>
          <w:snapToGrid w:val="0"/>
          <w:color w:val="000000" w:themeColor="text1"/>
          <w:spacing w:val="-3"/>
          <w:kern w:val="0"/>
          <w:sz w:val="24"/>
          <w:highlight w:val="none"/>
          <w14:textFill>
            <w14:solidFill>
              <w14:schemeClr w14:val="tx1"/>
            </w14:solidFill>
          </w14:textFill>
        </w:rPr>
        <w:t>意见进行调整。</w:t>
      </w:r>
    </w:p>
    <w:p w14:paraId="3CDAE3D0">
      <w:pPr>
        <w:widowControl/>
        <w:kinsoku w:val="0"/>
        <w:autoSpaceDE w:val="0"/>
        <w:autoSpaceDN w:val="0"/>
        <w:adjustRightInd w:val="0"/>
        <w:snapToGrid w:val="0"/>
        <w:spacing w:before="1" w:line="315" w:lineRule="auto"/>
        <w:ind w:left="8" w:right="20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二、甲、乙双方确认，截至</w:t>
      </w:r>
      <w:r>
        <w:rPr>
          <w:rFonts w:ascii="宋体" w:hAnsi="宋体" w:cs="宋体"/>
          <w:snapToGrid w:val="0"/>
          <w:color w:val="000000" w:themeColor="text1"/>
          <w:spacing w:val="-107"/>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年</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月</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日，甲方就本工程已向乙方支付款项累</w:t>
      </w:r>
      <w:r>
        <w:rPr>
          <w:rFonts w:ascii="宋体" w:hAnsi="宋体" w:cs="宋体"/>
          <w:snapToGrid w:val="0"/>
          <w:color w:val="000000" w:themeColor="text1"/>
          <w:spacing w:val="-3"/>
          <w:kern w:val="0"/>
          <w:sz w:val="24"/>
          <w:highlight w:val="none"/>
          <w14:textFill>
            <w14:solidFill>
              <w14:schemeClr w14:val="tx1"/>
            </w14:solidFill>
          </w14:textFill>
        </w:rPr>
        <w:t>计人民币</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4"/>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元。</w:t>
      </w:r>
    </w:p>
    <w:p w14:paraId="4CB4BAB4">
      <w:pPr>
        <w:widowControl/>
        <w:kinsoku w:val="0"/>
        <w:autoSpaceDE w:val="0"/>
        <w:autoSpaceDN w:val="0"/>
        <w:adjustRightInd w:val="0"/>
        <w:snapToGrid w:val="0"/>
        <w:spacing w:before="5" w:line="380" w:lineRule="auto"/>
        <w:ind w:left="10" w:right="200" w:firstLine="509"/>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甲方将在本结算书生效后</w:t>
      </w:r>
      <w:r>
        <w:rPr>
          <w:rFonts w:ascii="宋体" w:hAnsi="宋体" w:cs="宋体"/>
          <w:snapToGrid w:val="0"/>
          <w:color w:val="000000" w:themeColor="text1"/>
          <w:spacing w:val="-31"/>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15 个工作日内向乙方支付至结算金额的</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5"/>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w:t>
      </w:r>
      <w:r>
        <w:rPr>
          <w:rFonts w:ascii="宋体" w:hAnsi="宋体" w:cs="宋体"/>
          <w:snapToGrid w:val="0"/>
          <w:color w:val="000000" w:themeColor="text1"/>
          <w:spacing w:val="-30"/>
          <w:kern w:val="0"/>
          <w:position w:val="12"/>
          <w:sz w:val="12"/>
          <w:szCs w:val="12"/>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w:t>
      </w:r>
      <w:r>
        <w:rPr>
          <w:rFonts w:ascii="宋体" w:hAnsi="宋体" w:cs="宋体"/>
          <w:snapToGrid w:val="0"/>
          <w:color w:val="000000" w:themeColor="text1"/>
          <w:spacing w:val="80"/>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即人民</w:t>
      </w:r>
      <w:r>
        <w:rPr>
          <w:rFonts w:ascii="宋体" w:hAnsi="宋体" w:cs="宋体"/>
          <w:snapToGrid w:val="0"/>
          <w:color w:val="000000" w:themeColor="text1"/>
          <w:spacing w:val="1"/>
          <w:kern w:val="0"/>
          <w:sz w:val="24"/>
          <w:highlight w:val="none"/>
          <w14:textFill>
            <w14:solidFill>
              <w14:schemeClr w14:val="tx1"/>
            </w14:solidFill>
          </w14:textFill>
        </w:rPr>
        <w:t>币</w:t>
      </w:r>
      <w:r>
        <w:rPr>
          <w:rFonts w:ascii="宋体" w:hAnsi="宋体" w:cs="宋体"/>
          <w:snapToGrid w:val="0"/>
          <w:color w:val="000000" w:themeColor="text1"/>
          <w:spacing w:val="-114"/>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6"/>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元。项目完成竣工决算审查备案和竣工决算审计，且发包人和承包人最终确定结</w:t>
      </w:r>
      <w:r>
        <w:rPr>
          <w:rFonts w:ascii="宋体" w:hAnsi="宋体" w:cs="宋体"/>
          <w:snapToGrid w:val="0"/>
          <w:color w:val="000000" w:themeColor="text1"/>
          <w:kern w:val="0"/>
          <w:sz w:val="24"/>
          <w:highlight w:val="none"/>
          <w14:textFill>
            <w14:solidFill>
              <w14:schemeClr w14:val="tx1"/>
            </w14:solidFill>
          </w14:textFill>
        </w:rPr>
        <w:t>算金额后</w:t>
      </w:r>
      <w:r>
        <w:rPr>
          <w:rFonts w:ascii="宋体" w:hAnsi="宋体" w:cs="宋体"/>
          <w:snapToGrid w:val="0"/>
          <w:color w:val="000000" w:themeColor="text1"/>
          <w:spacing w:val="-43"/>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30</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天内，发包人退还剩余质量保证金的80%给承包人。通过竣工验收后</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30</w:t>
      </w:r>
      <w:r>
        <w:rPr>
          <w:rFonts w:ascii="宋体" w:hAnsi="宋体" w:cs="宋体"/>
          <w:snapToGrid w:val="0"/>
          <w:color w:val="000000" w:themeColor="text1"/>
          <w:spacing w:val="-46"/>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天</w:t>
      </w:r>
      <w:r>
        <w:rPr>
          <w:rFonts w:ascii="宋体" w:hAnsi="宋体" w:cs="宋体"/>
          <w:snapToGrid w:val="0"/>
          <w:color w:val="000000" w:themeColor="text1"/>
          <w:spacing w:val="-1"/>
          <w:kern w:val="0"/>
          <w:sz w:val="24"/>
          <w:highlight w:val="none"/>
          <w14:textFill>
            <w14:solidFill>
              <w14:schemeClr w14:val="tx1"/>
            </w14:solidFill>
          </w14:textFill>
        </w:rPr>
        <w:t>内，发包人将质量保证金的余额一次性退还给承包人。</w:t>
      </w:r>
    </w:p>
    <w:p w14:paraId="576E554C">
      <w:pPr>
        <w:widowControl/>
        <w:kinsoku w:val="0"/>
        <w:autoSpaceDE w:val="0"/>
        <w:autoSpaceDN w:val="0"/>
        <w:adjustRightInd w:val="0"/>
        <w:snapToGrid w:val="0"/>
        <w:spacing w:before="7" w:line="219" w:lineRule="auto"/>
        <w:ind w:left="48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三、甲方向乙方退还全部质量保证金需同时满足以下条件：</w:t>
      </w:r>
    </w:p>
    <w:p w14:paraId="265380CC">
      <w:pPr>
        <w:widowControl/>
        <w:kinsoku w:val="0"/>
        <w:autoSpaceDE w:val="0"/>
        <w:autoSpaceDN w:val="0"/>
        <w:adjustRightInd w:val="0"/>
        <w:snapToGrid w:val="0"/>
        <w:spacing w:before="183" w:line="362" w:lineRule="auto"/>
        <w:ind w:left="12" w:right="200" w:firstLine="49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1、乙方承包的</w:t>
      </w:r>
      <w:r>
        <w:rPr>
          <w:rFonts w:ascii="宋体" w:hAnsi="宋体" w:cs="宋体"/>
          <w:snapToGrid w:val="0"/>
          <w:color w:val="000000" w:themeColor="text1"/>
          <w:spacing w:val="-104"/>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工程的缺陷责任期已届满，并由监理人出具了该工程缺陷责任期</w:t>
      </w:r>
      <w:bookmarkStart w:id="402" w:name="bookmark339"/>
      <w:bookmarkEnd w:id="402"/>
      <w:bookmarkStart w:id="403" w:name="bookmark340"/>
      <w:bookmarkEnd w:id="403"/>
      <w:r>
        <w:rPr>
          <w:rFonts w:ascii="宋体" w:hAnsi="宋体" w:cs="宋体"/>
          <w:snapToGrid w:val="0"/>
          <w:color w:val="000000" w:themeColor="text1"/>
          <w:spacing w:val="-3"/>
          <w:kern w:val="0"/>
          <w:sz w:val="24"/>
          <w:highlight w:val="none"/>
          <w14:textFill>
            <w14:solidFill>
              <w14:schemeClr w14:val="tx1"/>
            </w14:solidFill>
          </w14:textFill>
        </w:rPr>
        <w:t>届满的证明；</w:t>
      </w:r>
    </w:p>
    <w:p w14:paraId="10222613">
      <w:pPr>
        <w:kinsoku w:val="0"/>
        <w:autoSpaceDE w:val="0"/>
        <w:autoSpaceDN w:val="0"/>
        <w:adjustRightInd w:val="0"/>
        <w:snapToGrid w:val="0"/>
        <w:spacing w:line="27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D44FBEF">
      <w:pPr>
        <w:spacing w:line="220" w:lineRule="auto"/>
        <w:rPr>
          <w:rFonts w:hint="eastAsia" w:ascii="宋体" w:hAnsi="宋体" w:cs="宋体"/>
          <w:color w:val="000000" w:themeColor="text1"/>
          <w:sz w:val="18"/>
          <w:szCs w:val="18"/>
          <w:highlight w:val="none"/>
          <w14:textFill>
            <w14:solidFill>
              <w14:schemeClr w14:val="tx1"/>
            </w14:solidFill>
          </w14:textFill>
        </w:rPr>
        <w:sectPr>
          <w:headerReference r:id="rId90" w:type="default"/>
          <w:footerReference r:id="rId91" w:type="default"/>
          <w:pgSz w:w="11906" w:h="16839"/>
          <w:pgMar w:top="1182" w:right="1217" w:bottom="1168" w:left="1417" w:header="849" w:footer="934" w:gutter="0"/>
          <w:cols w:space="720" w:num="1"/>
        </w:sectPr>
      </w:pPr>
    </w:p>
    <w:p w14:paraId="3EBAAE3F">
      <w:pPr>
        <w:kinsoku w:val="0"/>
        <w:autoSpaceDE w:val="0"/>
        <w:autoSpaceDN w:val="0"/>
        <w:adjustRightInd w:val="0"/>
        <w:snapToGrid w:val="0"/>
        <w:spacing w:line="27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F9630E5">
      <w:pPr>
        <w:widowControl/>
        <w:kinsoku w:val="0"/>
        <w:autoSpaceDE w:val="0"/>
        <w:autoSpaceDN w:val="0"/>
        <w:adjustRightInd w:val="0"/>
        <w:snapToGrid w:val="0"/>
        <w:spacing w:before="78" w:line="219" w:lineRule="auto"/>
        <w:ind w:left="49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2、在缺陷责任期内按合同约定进行了缺陷工</w:t>
      </w:r>
      <w:r>
        <w:rPr>
          <w:rFonts w:ascii="宋体" w:hAnsi="宋体" w:cs="宋体"/>
          <w:snapToGrid w:val="0"/>
          <w:color w:val="000000" w:themeColor="text1"/>
          <w:spacing w:val="-1"/>
          <w:kern w:val="0"/>
          <w:sz w:val="24"/>
          <w:highlight w:val="none"/>
          <w14:textFill>
            <w14:solidFill>
              <w14:schemeClr w14:val="tx1"/>
            </w14:solidFill>
          </w14:textFill>
        </w:rPr>
        <w:t>程的修复且项目完成竣工验收。</w:t>
      </w:r>
    </w:p>
    <w:p w14:paraId="2A79FA3A">
      <w:pPr>
        <w:widowControl/>
        <w:kinsoku w:val="0"/>
        <w:autoSpaceDE w:val="0"/>
        <w:autoSpaceDN w:val="0"/>
        <w:adjustRightInd w:val="0"/>
        <w:snapToGrid w:val="0"/>
        <w:spacing w:before="182" w:line="360" w:lineRule="auto"/>
        <w:ind w:left="10" w:right="1" w:firstLine="48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如甲方已付款项少于本协议第一条的核准的金额，则甲方应在乙方满足了质量保证</w:t>
      </w:r>
      <w:r>
        <w:rPr>
          <w:rFonts w:ascii="宋体" w:hAnsi="宋体" w:cs="宋体"/>
          <w:snapToGrid w:val="0"/>
          <w:color w:val="000000" w:themeColor="text1"/>
          <w:spacing w:val="-1"/>
          <w:kern w:val="0"/>
          <w:sz w:val="24"/>
          <w:highlight w:val="none"/>
          <w14:textFill>
            <w14:solidFill>
              <w14:schemeClr w14:val="tx1"/>
            </w14:solidFill>
          </w14:textFill>
        </w:rPr>
        <w:t>金退还的全部条件后</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9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天内将少付工程款（含质量保证金）支付予乙方。</w:t>
      </w:r>
    </w:p>
    <w:p w14:paraId="4A2FDD76">
      <w:pPr>
        <w:widowControl/>
        <w:kinsoku w:val="0"/>
        <w:autoSpaceDE w:val="0"/>
        <w:autoSpaceDN w:val="0"/>
        <w:adjustRightInd w:val="0"/>
        <w:snapToGrid w:val="0"/>
        <w:spacing w:line="360" w:lineRule="auto"/>
        <w:ind w:left="8" w:right="1"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如甲方已付款项超过本协议第一条的核准的金额，则乙方应在收到甲方发出的还款</w:t>
      </w:r>
      <w:r>
        <w:rPr>
          <w:rFonts w:ascii="宋体" w:hAnsi="宋体" w:cs="宋体"/>
          <w:snapToGrid w:val="0"/>
          <w:color w:val="000000" w:themeColor="text1"/>
          <w:spacing w:val="1"/>
          <w:kern w:val="0"/>
          <w:sz w:val="24"/>
          <w:highlight w:val="none"/>
          <w14:textFill>
            <w14:solidFill>
              <w14:schemeClr w14:val="tx1"/>
            </w14:solidFill>
          </w14:textFill>
        </w:rPr>
        <w:t>通知后</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9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天内将超出核准金额的工程款返还给甲方，且甲方无需将质量保证金退还给</w:t>
      </w:r>
      <w:r>
        <w:rPr>
          <w:rFonts w:ascii="宋体" w:hAnsi="宋体" w:cs="宋体"/>
          <w:snapToGrid w:val="0"/>
          <w:color w:val="000000" w:themeColor="text1"/>
          <w:spacing w:val="-4"/>
          <w:kern w:val="0"/>
          <w:sz w:val="24"/>
          <w:highlight w:val="none"/>
          <w14:textFill>
            <w14:solidFill>
              <w14:schemeClr w14:val="tx1"/>
            </w14:solidFill>
          </w14:textFill>
        </w:rPr>
        <w:t>乙方。</w:t>
      </w:r>
    </w:p>
    <w:p w14:paraId="403DEBD9">
      <w:pPr>
        <w:widowControl/>
        <w:kinsoku w:val="0"/>
        <w:autoSpaceDE w:val="0"/>
        <w:autoSpaceDN w:val="0"/>
        <w:adjustRightInd w:val="0"/>
        <w:snapToGrid w:val="0"/>
        <w:spacing w:before="1" w:line="289" w:lineRule="auto"/>
        <w:ind w:left="9" w:right="1" w:firstLine="50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四、如甲方或乙方未按本协议约定履行付款义务，则每延迟一</w:t>
      </w:r>
      <w:r>
        <w:rPr>
          <w:rFonts w:ascii="宋体" w:hAnsi="宋体" w:cs="宋体"/>
          <w:snapToGrid w:val="0"/>
          <w:color w:val="000000" w:themeColor="text1"/>
          <w:spacing w:val="-3"/>
          <w:kern w:val="0"/>
          <w:sz w:val="24"/>
          <w:highlight w:val="none"/>
          <w14:textFill>
            <w14:solidFill>
              <w14:schemeClr w14:val="tx1"/>
            </w14:solidFill>
          </w14:textFill>
        </w:rPr>
        <w:t>天，违约方需向对方</w:t>
      </w:r>
      <w:r>
        <w:rPr>
          <w:rFonts w:ascii="宋体" w:hAnsi="宋体" w:cs="宋体"/>
          <w:snapToGrid w:val="0"/>
          <w:color w:val="000000" w:themeColor="text1"/>
          <w:spacing w:val="-1"/>
          <w:kern w:val="0"/>
          <w:sz w:val="24"/>
          <w:highlight w:val="none"/>
          <w14:textFill>
            <w14:solidFill>
              <w14:schemeClr w14:val="tx1"/>
            </w14:solidFill>
          </w14:textFill>
        </w:rPr>
        <w:t>支付相当于未付款项的</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%作为违约金。</w:t>
      </w:r>
    </w:p>
    <w:p w14:paraId="74AD95D8">
      <w:pPr>
        <w:widowControl/>
        <w:kinsoku w:val="0"/>
        <w:autoSpaceDE w:val="0"/>
        <w:autoSpaceDN w:val="0"/>
        <w:adjustRightInd w:val="0"/>
        <w:snapToGrid w:val="0"/>
        <w:spacing w:before="182" w:line="219" w:lineRule="auto"/>
        <w:ind w:left="49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五、本协议条款与合同如有冲突，以本协议为准。</w:t>
      </w:r>
    </w:p>
    <w:p w14:paraId="1D700F03">
      <w:pPr>
        <w:widowControl/>
        <w:kinsoku w:val="0"/>
        <w:autoSpaceDE w:val="0"/>
        <w:autoSpaceDN w:val="0"/>
        <w:adjustRightInd w:val="0"/>
        <w:snapToGrid w:val="0"/>
        <w:spacing w:before="183" w:line="219" w:lineRule="auto"/>
        <w:ind w:left="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六、本协议经双方法定代表人（负责人）或授权</w:t>
      </w:r>
      <w:r>
        <w:rPr>
          <w:rFonts w:ascii="宋体" w:hAnsi="宋体" w:cs="宋体"/>
          <w:snapToGrid w:val="0"/>
          <w:color w:val="000000" w:themeColor="text1"/>
          <w:spacing w:val="-1"/>
          <w:kern w:val="0"/>
          <w:sz w:val="24"/>
          <w:highlight w:val="none"/>
          <w14:textFill>
            <w14:solidFill>
              <w14:schemeClr w14:val="tx1"/>
            </w14:solidFill>
          </w14:textFill>
        </w:rPr>
        <w:t>代表签字并加盖公章后生效。</w:t>
      </w:r>
    </w:p>
    <w:p w14:paraId="0D92722C">
      <w:pPr>
        <w:widowControl/>
        <w:kinsoku w:val="0"/>
        <w:autoSpaceDE w:val="0"/>
        <w:autoSpaceDN w:val="0"/>
        <w:adjustRightInd w:val="0"/>
        <w:snapToGrid w:val="0"/>
        <w:spacing w:before="183" w:line="219" w:lineRule="auto"/>
        <w:ind w:left="48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七、本协议一式</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份，甲、乙双方各执</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份。</w:t>
      </w:r>
    </w:p>
    <w:p w14:paraId="4B3CBC8E">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CCC4813">
      <w:pPr>
        <w:kinsoku w:val="0"/>
        <w:autoSpaceDE w:val="0"/>
        <w:autoSpaceDN w:val="0"/>
        <w:adjustRightInd w:val="0"/>
        <w:snapToGrid w:val="0"/>
        <w:spacing w:line="285"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C1B53AF">
      <w:pPr>
        <w:widowControl/>
        <w:kinsoku w:val="0"/>
        <w:autoSpaceDE w:val="0"/>
        <w:autoSpaceDN w:val="0"/>
        <w:adjustRightInd w:val="0"/>
        <w:snapToGrid w:val="0"/>
        <w:spacing w:before="79" w:line="219" w:lineRule="auto"/>
        <w:ind w:left="3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甲 方</w:t>
      </w:r>
      <w:r>
        <w:rPr>
          <w:rFonts w:ascii="宋体" w:hAnsi="宋体" w:cs="宋体"/>
          <w:snapToGrid w:val="0"/>
          <w:color w:val="000000" w:themeColor="text1"/>
          <w:spacing w:val="-3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1"/>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14:textFill>
            <w14:solidFill>
              <w14:schemeClr w14:val="tx1"/>
            </w14:solidFill>
          </w14:textFill>
        </w:rPr>
        <w:t>盖章）</w:t>
      </w:r>
      <w:r>
        <w:rPr>
          <w:rFonts w:ascii="宋体" w:hAnsi="宋体" w:cs="宋体"/>
          <w:snapToGrid w:val="0"/>
          <w:color w:val="000000" w:themeColor="text1"/>
          <w:spacing w:val="6"/>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乙 方</w:t>
      </w:r>
      <w:r>
        <w:rPr>
          <w:rFonts w:ascii="宋体" w:hAnsi="宋体" w:cs="宋体"/>
          <w:snapToGrid w:val="0"/>
          <w:color w:val="000000" w:themeColor="text1"/>
          <w:spacing w:val="-3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1"/>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14:textFill>
            <w14:solidFill>
              <w14:schemeClr w14:val="tx1"/>
            </w14:solidFill>
          </w14:textFill>
        </w:rPr>
        <w:t>盖章）</w:t>
      </w:r>
    </w:p>
    <w:p w14:paraId="7D9E9701">
      <w:pPr>
        <w:widowControl/>
        <w:kinsoku w:val="0"/>
        <w:autoSpaceDE w:val="0"/>
        <w:autoSpaceDN w:val="0"/>
        <w:adjustRightInd w:val="0"/>
        <w:snapToGrid w:val="0"/>
        <w:spacing w:before="184" w:line="219"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签署代表：</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 xml:space="preserve">         签署代表：</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p>
    <w:p w14:paraId="0C2ADAA2">
      <w:pPr>
        <w:widowControl/>
        <w:kinsoku w:val="0"/>
        <w:autoSpaceDE w:val="0"/>
        <w:autoSpaceDN w:val="0"/>
        <w:adjustRightInd w:val="0"/>
        <w:snapToGrid w:val="0"/>
        <w:spacing w:before="183" w:line="220"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签署日期：</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 xml:space="preserve">         签署日期：</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p>
    <w:p w14:paraId="566CA21F">
      <w:pPr>
        <w:spacing w:line="220" w:lineRule="auto"/>
        <w:rPr>
          <w:rFonts w:hint="eastAsia" w:ascii="宋体" w:hAnsi="宋体" w:cs="宋体"/>
          <w:color w:val="000000" w:themeColor="text1"/>
          <w:sz w:val="24"/>
          <w:highlight w:val="none"/>
          <w14:textFill>
            <w14:solidFill>
              <w14:schemeClr w14:val="tx1"/>
            </w14:solidFill>
          </w14:textFill>
        </w:rPr>
        <w:sectPr>
          <w:headerReference r:id="rId92" w:type="default"/>
          <w:footerReference r:id="rId93" w:type="default"/>
          <w:pgSz w:w="11906" w:h="16839"/>
          <w:pgMar w:top="1182" w:right="1416" w:bottom="1168" w:left="1417" w:header="849" w:footer="934" w:gutter="0"/>
          <w:cols w:space="720" w:num="1"/>
        </w:sectPr>
      </w:pPr>
    </w:p>
    <w:p w14:paraId="2CAAD513">
      <w:pPr>
        <w:pStyle w:val="74"/>
        <w:spacing w:line="360" w:lineRule="auto"/>
        <w:rPr>
          <w:color w:val="000000" w:themeColor="text1"/>
          <w:sz w:val="24"/>
          <w:szCs w:val="24"/>
          <w:highlight w:val="none"/>
          <w14:textFill>
            <w14:solidFill>
              <w14:schemeClr w14:val="tx1"/>
            </w14:solidFill>
          </w14:textFill>
        </w:rPr>
      </w:pPr>
      <w:bookmarkStart w:id="404" w:name="_Toc17231"/>
      <w:bookmarkStart w:id="405" w:name="_Toc16402"/>
      <w:r>
        <w:rPr>
          <w:rFonts w:hint="eastAsia"/>
          <w:color w:val="000000" w:themeColor="text1"/>
          <w:sz w:val="24"/>
          <w:szCs w:val="24"/>
          <w:highlight w:val="none"/>
          <w14:textFill>
            <w14:solidFill>
              <w14:schemeClr w14:val="tx1"/>
            </w14:solidFill>
          </w14:textFill>
        </w:rPr>
        <w:t>附件十七  分包合同</w:t>
      </w:r>
      <w:bookmarkEnd w:id="404"/>
      <w:bookmarkEnd w:id="405"/>
    </w:p>
    <w:p w14:paraId="2C512837">
      <w:pPr>
        <w:pStyle w:val="110"/>
        <w:jc w:val="center"/>
        <w:rPr>
          <w:rFonts w:hint="eastAsia" w:hAnsi="宋体" w:cs="宋体"/>
          <w:color w:val="000000" w:themeColor="text1"/>
          <w:sz w:val="32"/>
          <w:szCs w:val="32"/>
          <w:highlight w:val="none"/>
          <w14:textFill>
            <w14:solidFill>
              <w14:schemeClr w14:val="tx1"/>
            </w14:solidFill>
          </w14:textFill>
        </w:rPr>
      </w:pPr>
    </w:p>
    <w:p w14:paraId="7663330F">
      <w:pPr>
        <w:pStyle w:val="110"/>
        <w:jc w:val="center"/>
        <w:rPr>
          <w:rFonts w:hint="eastAsia" w:hAnsi="宋体" w:cs="宋体"/>
          <w:color w:val="000000" w:themeColor="text1"/>
          <w:sz w:val="32"/>
          <w:szCs w:val="32"/>
          <w:highlight w:val="none"/>
          <w14:textFill>
            <w14:solidFill>
              <w14:schemeClr w14:val="tx1"/>
            </w14:solidFill>
          </w14:textFill>
        </w:rPr>
      </w:pPr>
    </w:p>
    <w:p w14:paraId="1D4F1B0F">
      <w:pPr>
        <w:pStyle w:val="110"/>
        <w:jc w:val="center"/>
        <w:rPr>
          <w:rFonts w:hint="eastAsia" w:hAnsi="宋体" w:cs="宋体"/>
          <w:color w:val="000000" w:themeColor="text1"/>
          <w:sz w:val="32"/>
          <w:szCs w:val="32"/>
          <w:highlight w:val="none"/>
          <w14:textFill>
            <w14:solidFill>
              <w14:schemeClr w14:val="tx1"/>
            </w14:solidFill>
          </w14:textFill>
        </w:rPr>
      </w:pPr>
    </w:p>
    <w:p w14:paraId="53EF453A">
      <w:pPr>
        <w:pStyle w:val="110"/>
        <w:jc w:val="center"/>
        <w:rPr>
          <w:rFonts w:hint="eastAsia" w:hAnsi="宋体" w:cs="宋体"/>
          <w:color w:val="000000" w:themeColor="text1"/>
          <w:sz w:val="32"/>
          <w:szCs w:val="32"/>
          <w:highlight w:val="none"/>
          <w14:textFill>
            <w14:solidFill>
              <w14:schemeClr w14:val="tx1"/>
            </w14:solidFill>
          </w14:textFill>
        </w:rPr>
      </w:pPr>
    </w:p>
    <w:p w14:paraId="5A0DE578">
      <w:pPr>
        <w:pStyle w:val="110"/>
        <w:jc w:val="center"/>
        <w:rPr>
          <w:rFonts w:hint="eastAsia" w:hAnsi="宋体" w:cs="宋体"/>
          <w:color w:val="000000" w:themeColor="text1"/>
          <w:sz w:val="52"/>
          <w:szCs w:val="52"/>
          <w:highlight w:val="none"/>
          <w14:textFill>
            <w14:solidFill>
              <w14:schemeClr w14:val="tx1"/>
            </w14:solidFill>
          </w14:textFill>
        </w:rPr>
      </w:pPr>
      <w:r>
        <w:rPr>
          <w:rFonts w:hint="eastAsia" w:hAnsi="宋体" w:cs="宋体"/>
          <w:color w:val="000000" w:themeColor="text1"/>
          <w:sz w:val="52"/>
          <w:szCs w:val="52"/>
          <w:highlight w:val="none"/>
          <w14:textFill>
            <w14:solidFill>
              <w14:schemeClr w14:val="tx1"/>
            </w14:solidFill>
          </w14:textFill>
        </w:rPr>
        <w:t>公路工程施工分包合同</w:t>
      </w:r>
    </w:p>
    <w:p w14:paraId="164BF372">
      <w:pPr>
        <w:pStyle w:val="110"/>
        <w:jc w:val="center"/>
        <w:rPr>
          <w:rFonts w:hint="eastAsia" w:hAnsi="宋体" w:cs="宋体"/>
          <w:color w:val="000000" w:themeColor="text1"/>
          <w:sz w:val="32"/>
          <w:szCs w:val="32"/>
          <w:highlight w:val="none"/>
          <w14:textFill>
            <w14:solidFill>
              <w14:schemeClr w14:val="tx1"/>
            </w14:solidFill>
          </w14:textFill>
        </w:rPr>
      </w:pPr>
    </w:p>
    <w:p w14:paraId="75FFB08F">
      <w:pPr>
        <w:pStyle w:val="110"/>
        <w:jc w:val="center"/>
        <w:rPr>
          <w:rFonts w:hint="eastAsia" w:hAnsi="宋体" w:cs="宋体"/>
          <w:color w:val="000000" w:themeColor="text1"/>
          <w:sz w:val="44"/>
          <w:szCs w:val="44"/>
          <w:highlight w:val="none"/>
          <w14:textFill>
            <w14:solidFill>
              <w14:schemeClr w14:val="tx1"/>
            </w14:solidFill>
          </w14:textFill>
        </w:rPr>
      </w:pPr>
      <w:r>
        <w:rPr>
          <w:rFonts w:hint="eastAsia" w:hAnsi="宋体" w:cs="宋体"/>
          <w:color w:val="000000" w:themeColor="text1"/>
          <w:sz w:val="44"/>
          <w:szCs w:val="44"/>
          <w:highlight w:val="none"/>
          <w14:textFill>
            <w14:solidFill>
              <w14:schemeClr w14:val="tx1"/>
            </w14:solidFill>
          </w14:textFill>
        </w:rPr>
        <w:t>（</w:t>
      </w:r>
      <w:r>
        <w:rPr>
          <w:rFonts w:hint="eastAsia" w:hAnsi="宋体" w:cs="宋体"/>
          <w:color w:val="000000" w:themeColor="text1"/>
          <w:sz w:val="44"/>
          <w:szCs w:val="44"/>
          <w:highlight w:val="none"/>
          <w:lang w:val="en-US" w:eastAsia="zh-CN"/>
          <w14:textFill>
            <w14:solidFill>
              <w14:schemeClr w14:val="tx1"/>
            </w14:solidFill>
          </w14:textFill>
        </w:rPr>
        <w:t>示范文本见广东省交通运输厅《广东省公路工程施工分包管理实施细则》的附件</w:t>
      </w:r>
      <w:r>
        <w:rPr>
          <w:rFonts w:hint="eastAsia" w:hAnsi="宋体" w:cs="宋体"/>
          <w:color w:val="000000" w:themeColor="text1"/>
          <w:sz w:val="44"/>
          <w:szCs w:val="44"/>
          <w:highlight w:val="none"/>
          <w14:textFill>
            <w14:solidFill>
              <w14:schemeClr w14:val="tx1"/>
            </w14:solidFill>
          </w14:textFill>
        </w:rPr>
        <w:t>）</w:t>
      </w:r>
    </w:p>
    <w:p w14:paraId="2AF3784E">
      <w:pPr>
        <w:pStyle w:val="110"/>
        <w:jc w:val="center"/>
        <w:rPr>
          <w:rFonts w:hint="eastAsia" w:hAnsi="宋体" w:cs="宋体"/>
          <w:color w:val="000000" w:themeColor="text1"/>
          <w:sz w:val="32"/>
          <w:szCs w:val="32"/>
          <w:highlight w:val="none"/>
          <w14:textFill>
            <w14:solidFill>
              <w14:schemeClr w14:val="tx1"/>
            </w14:solidFill>
          </w14:textFill>
        </w:rPr>
      </w:pPr>
    </w:p>
    <w:p w14:paraId="0A39A3FB">
      <w:pPr>
        <w:pStyle w:val="110"/>
        <w:jc w:val="center"/>
        <w:rPr>
          <w:rFonts w:hint="eastAsia" w:hAnsi="宋体" w:cs="宋体"/>
          <w:color w:val="000000" w:themeColor="text1"/>
          <w:sz w:val="32"/>
          <w:szCs w:val="32"/>
          <w:highlight w:val="none"/>
          <w14:textFill>
            <w14:solidFill>
              <w14:schemeClr w14:val="tx1"/>
            </w14:solidFill>
          </w14:textFill>
        </w:rPr>
      </w:pPr>
    </w:p>
    <w:p w14:paraId="17651608">
      <w:pPr>
        <w:pStyle w:val="110"/>
        <w:jc w:val="center"/>
        <w:rPr>
          <w:rFonts w:hint="eastAsia" w:hAnsi="宋体" w:cs="宋体"/>
          <w:color w:val="000000" w:themeColor="text1"/>
          <w:sz w:val="32"/>
          <w:szCs w:val="32"/>
          <w:highlight w:val="none"/>
          <w14:textFill>
            <w14:solidFill>
              <w14:schemeClr w14:val="tx1"/>
            </w14:solidFill>
          </w14:textFill>
        </w:rPr>
      </w:pPr>
    </w:p>
    <w:p w14:paraId="730233BF">
      <w:pPr>
        <w:pStyle w:val="110"/>
        <w:jc w:val="center"/>
        <w:rPr>
          <w:rFonts w:hint="eastAsia" w:hAnsi="宋体" w:cs="宋体"/>
          <w:color w:val="000000" w:themeColor="text1"/>
          <w:sz w:val="32"/>
          <w:szCs w:val="32"/>
          <w:highlight w:val="none"/>
          <w14:textFill>
            <w14:solidFill>
              <w14:schemeClr w14:val="tx1"/>
            </w14:solidFill>
          </w14:textFill>
        </w:rPr>
      </w:pPr>
    </w:p>
    <w:p w14:paraId="105B46D7">
      <w:pPr>
        <w:pStyle w:val="110"/>
        <w:jc w:val="center"/>
        <w:rPr>
          <w:rFonts w:hint="eastAsia" w:hAnsi="宋体" w:cs="宋体"/>
          <w:color w:val="000000" w:themeColor="text1"/>
          <w:sz w:val="32"/>
          <w:szCs w:val="32"/>
          <w:highlight w:val="none"/>
          <w14:textFill>
            <w14:solidFill>
              <w14:schemeClr w14:val="tx1"/>
            </w14:solidFill>
          </w14:textFill>
        </w:rPr>
      </w:pPr>
    </w:p>
    <w:p w14:paraId="63E37582">
      <w:pPr>
        <w:pStyle w:val="110"/>
        <w:jc w:val="center"/>
        <w:rPr>
          <w:rFonts w:hint="eastAsia" w:hAnsi="宋体" w:cs="宋体"/>
          <w:color w:val="000000" w:themeColor="text1"/>
          <w:sz w:val="32"/>
          <w:szCs w:val="32"/>
          <w:highlight w:val="none"/>
          <w14:textFill>
            <w14:solidFill>
              <w14:schemeClr w14:val="tx1"/>
            </w14:solidFill>
          </w14:textFill>
        </w:rPr>
      </w:pPr>
    </w:p>
    <w:p w14:paraId="5BA7F3DF">
      <w:pPr>
        <w:pStyle w:val="110"/>
        <w:jc w:val="center"/>
        <w:rPr>
          <w:rFonts w:hint="eastAsia" w:hAnsi="宋体" w:cs="宋体"/>
          <w:color w:val="000000" w:themeColor="text1"/>
          <w:sz w:val="32"/>
          <w:szCs w:val="32"/>
          <w:highlight w:val="none"/>
          <w14:textFill>
            <w14:solidFill>
              <w14:schemeClr w14:val="tx1"/>
            </w14:solidFill>
          </w14:textFill>
        </w:rPr>
      </w:pPr>
    </w:p>
    <w:p w14:paraId="1C7D7660">
      <w:pPr>
        <w:pStyle w:val="74"/>
        <w:spacing w:line="360" w:lineRule="auto"/>
        <w:rPr>
          <w:color w:val="000000" w:themeColor="text1"/>
          <w:sz w:val="24"/>
          <w:szCs w:val="24"/>
          <w:highlight w:val="none"/>
          <w14:textFill>
            <w14:solidFill>
              <w14:schemeClr w14:val="tx1"/>
            </w14:solidFill>
          </w14:textFill>
        </w:rPr>
      </w:pPr>
      <w:r>
        <w:rPr>
          <w:rFonts w:hAnsi="宋体" w:cs="宋体"/>
          <w:color w:val="000000" w:themeColor="text1"/>
          <w:sz w:val="44"/>
          <w:szCs w:val="44"/>
          <w:highlight w:val="none"/>
          <w14:textFill>
            <w14:solidFill>
              <w14:schemeClr w14:val="tx1"/>
            </w14:solidFill>
          </w14:textFill>
        </w:rPr>
        <w:br w:type="page"/>
      </w:r>
      <w:bookmarkStart w:id="406" w:name="_Toc8261"/>
      <w:bookmarkStart w:id="407" w:name="_Toc26536"/>
      <w:r>
        <w:rPr>
          <w:rFonts w:hint="eastAsia"/>
          <w:color w:val="000000" w:themeColor="text1"/>
          <w:sz w:val="24"/>
          <w:szCs w:val="24"/>
          <w:highlight w:val="none"/>
          <w14:textFill>
            <w14:solidFill>
              <w14:schemeClr w14:val="tx1"/>
            </w14:solidFill>
          </w14:textFill>
        </w:rPr>
        <w:t>附件十八  施工劳务合作协议</w:t>
      </w:r>
      <w:bookmarkEnd w:id="406"/>
      <w:bookmarkEnd w:id="407"/>
    </w:p>
    <w:p w14:paraId="1095AA2A">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6643888E">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6577F64B">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40D65255">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211AAC76">
      <w:pPr>
        <w:pStyle w:val="110"/>
        <w:ind w:left="-2" w:leftChars="-66" w:hanging="137" w:hangingChars="43"/>
        <w:jc w:val="left"/>
        <w:rPr>
          <w:rFonts w:hint="eastAsia" w:hAnsi="宋体" w:cs="宋体"/>
          <w:color w:val="000000" w:themeColor="text1"/>
          <w:sz w:val="32"/>
          <w:highlight w:val="none"/>
          <w14:textFill>
            <w14:solidFill>
              <w14:schemeClr w14:val="tx1"/>
            </w14:solidFill>
          </w14:textFill>
        </w:rPr>
      </w:pPr>
    </w:p>
    <w:p w14:paraId="58C7C6EB">
      <w:pPr>
        <w:pStyle w:val="110"/>
        <w:jc w:val="center"/>
        <w:rPr>
          <w:rFonts w:hint="eastAsia"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48"/>
          <w:szCs w:val="48"/>
          <w:highlight w:val="none"/>
          <w14:textFill>
            <w14:solidFill>
              <w14:schemeClr w14:val="tx1"/>
            </w14:solidFill>
          </w14:textFill>
        </w:rPr>
        <w:t>公路工程施工劳务合作协议</w:t>
      </w:r>
    </w:p>
    <w:p w14:paraId="58B065AC">
      <w:pPr>
        <w:pStyle w:val="110"/>
        <w:jc w:val="center"/>
        <w:rPr>
          <w:rFonts w:hint="eastAsia" w:hAnsi="宋体" w:cs="宋体"/>
          <w:color w:val="000000" w:themeColor="text1"/>
          <w:sz w:val="44"/>
          <w:szCs w:val="44"/>
          <w:highlight w:val="none"/>
          <w14:textFill>
            <w14:solidFill>
              <w14:schemeClr w14:val="tx1"/>
            </w14:solidFill>
          </w14:textFill>
        </w:rPr>
      </w:pPr>
    </w:p>
    <w:p w14:paraId="219DFD77">
      <w:pPr>
        <w:pStyle w:val="110"/>
        <w:jc w:val="center"/>
        <w:rPr>
          <w:rFonts w:hint="eastAsia" w:hAnsi="宋体" w:cs="宋体"/>
          <w:color w:val="000000" w:themeColor="text1"/>
          <w:sz w:val="44"/>
          <w:szCs w:val="44"/>
          <w:highlight w:val="none"/>
          <w14:textFill>
            <w14:solidFill>
              <w14:schemeClr w14:val="tx1"/>
            </w14:solidFill>
          </w14:textFill>
        </w:rPr>
      </w:pPr>
      <w:r>
        <w:rPr>
          <w:rFonts w:hint="eastAsia" w:hAnsi="宋体" w:cs="宋体"/>
          <w:color w:val="000000" w:themeColor="text1"/>
          <w:sz w:val="44"/>
          <w:szCs w:val="44"/>
          <w:highlight w:val="none"/>
          <w14:textFill>
            <w14:solidFill>
              <w14:schemeClr w14:val="tx1"/>
            </w14:solidFill>
          </w14:textFill>
        </w:rPr>
        <w:t>（</w:t>
      </w:r>
      <w:r>
        <w:rPr>
          <w:rFonts w:hint="eastAsia" w:hAnsi="宋体" w:cs="宋体"/>
          <w:color w:val="000000" w:themeColor="text1"/>
          <w:sz w:val="44"/>
          <w:szCs w:val="44"/>
          <w:highlight w:val="none"/>
          <w:lang w:val="en-US" w:eastAsia="zh-CN"/>
          <w14:textFill>
            <w14:solidFill>
              <w14:schemeClr w14:val="tx1"/>
            </w14:solidFill>
          </w14:textFill>
        </w:rPr>
        <w:t>示范文本见广东省交通运输厅《广东省公路工程施工分包管理实施细则》的附件</w:t>
      </w:r>
      <w:r>
        <w:rPr>
          <w:rFonts w:hint="eastAsia" w:hAnsi="宋体" w:cs="宋体"/>
          <w:color w:val="000000" w:themeColor="text1"/>
          <w:sz w:val="44"/>
          <w:szCs w:val="44"/>
          <w:highlight w:val="none"/>
          <w14:textFill>
            <w14:solidFill>
              <w14:schemeClr w14:val="tx1"/>
            </w14:solidFill>
          </w14:textFill>
        </w:rPr>
        <w:t>）</w:t>
      </w:r>
    </w:p>
    <w:p w14:paraId="35F4EFF9">
      <w:pPr>
        <w:pStyle w:val="110"/>
        <w:jc w:val="center"/>
        <w:rPr>
          <w:rFonts w:hint="eastAsia" w:hAnsi="宋体" w:cs="宋体"/>
          <w:color w:val="000000" w:themeColor="text1"/>
          <w:sz w:val="32"/>
          <w:szCs w:val="32"/>
          <w:highlight w:val="none"/>
          <w14:textFill>
            <w14:solidFill>
              <w14:schemeClr w14:val="tx1"/>
            </w14:solidFill>
          </w14:textFill>
        </w:rPr>
      </w:pPr>
    </w:p>
    <w:p w14:paraId="740B0B8B">
      <w:pPr>
        <w:pStyle w:val="110"/>
        <w:jc w:val="center"/>
        <w:rPr>
          <w:rFonts w:hint="eastAsia" w:hAnsi="宋体" w:cs="宋体"/>
          <w:color w:val="000000" w:themeColor="text1"/>
          <w:sz w:val="32"/>
          <w:szCs w:val="32"/>
          <w:highlight w:val="none"/>
          <w14:textFill>
            <w14:solidFill>
              <w14:schemeClr w14:val="tx1"/>
            </w14:solidFill>
          </w14:textFill>
        </w:rPr>
      </w:pPr>
    </w:p>
    <w:p w14:paraId="36A29DD2">
      <w:pPr>
        <w:pStyle w:val="110"/>
        <w:jc w:val="center"/>
        <w:rPr>
          <w:rFonts w:hint="eastAsia" w:hAnsi="宋体" w:cs="宋体"/>
          <w:color w:val="000000" w:themeColor="text1"/>
          <w:sz w:val="32"/>
          <w:szCs w:val="32"/>
          <w:highlight w:val="none"/>
          <w14:textFill>
            <w14:solidFill>
              <w14:schemeClr w14:val="tx1"/>
            </w14:solidFill>
          </w14:textFill>
        </w:rPr>
      </w:pPr>
    </w:p>
    <w:p w14:paraId="3FB66F8A">
      <w:pPr>
        <w:pStyle w:val="110"/>
        <w:jc w:val="center"/>
        <w:rPr>
          <w:rFonts w:hint="eastAsia" w:hAnsi="宋体" w:cs="宋体"/>
          <w:color w:val="000000" w:themeColor="text1"/>
          <w:sz w:val="32"/>
          <w:szCs w:val="32"/>
          <w:highlight w:val="none"/>
          <w14:textFill>
            <w14:solidFill>
              <w14:schemeClr w14:val="tx1"/>
            </w14:solidFill>
          </w14:textFill>
        </w:rPr>
      </w:pPr>
    </w:p>
    <w:p w14:paraId="48EA7867">
      <w:pPr>
        <w:pStyle w:val="110"/>
        <w:jc w:val="center"/>
        <w:rPr>
          <w:rFonts w:hint="eastAsia" w:hAnsi="宋体" w:cs="宋体"/>
          <w:color w:val="000000" w:themeColor="text1"/>
          <w:sz w:val="32"/>
          <w:szCs w:val="32"/>
          <w:highlight w:val="none"/>
          <w14:textFill>
            <w14:solidFill>
              <w14:schemeClr w14:val="tx1"/>
            </w14:solidFill>
          </w14:textFill>
        </w:rPr>
      </w:pPr>
    </w:p>
    <w:p w14:paraId="657D9F09">
      <w:pPr>
        <w:pStyle w:val="110"/>
        <w:jc w:val="center"/>
        <w:rPr>
          <w:rFonts w:hint="eastAsia" w:hAnsi="宋体" w:cs="宋体"/>
          <w:color w:val="000000" w:themeColor="text1"/>
          <w:sz w:val="32"/>
          <w:szCs w:val="32"/>
          <w:highlight w:val="none"/>
          <w14:textFill>
            <w14:solidFill>
              <w14:schemeClr w14:val="tx1"/>
            </w14:solidFill>
          </w14:textFill>
        </w:rPr>
      </w:pPr>
    </w:p>
    <w:p w14:paraId="201587D1">
      <w:pPr>
        <w:pStyle w:val="110"/>
        <w:jc w:val="center"/>
        <w:rPr>
          <w:rFonts w:hint="eastAsia" w:hAnsi="宋体" w:cs="宋体"/>
          <w:color w:val="000000" w:themeColor="text1"/>
          <w:sz w:val="32"/>
          <w:szCs w:val="32"/>
          <w:highlight w:val="none"/>
          <w14:textFill>
            <w14:solidFill>
              <w14:schemeClr w14:val="tx1"/>
            </w14:solidFill>
          </w14:textFill>
        </w:rPr>
      </w:pPr>
    </w:p>
    <w:p w14:paraId="2337B8D3">
      <w:pPr>
        <w:pStyle w:val="110"/>
        <w:jc w:val="center"/>
        <w:rPr>
          <w:rFonts w:hint="eastAsia" w:hAnsi="宋体" w:cs="宋体"/>
          <w:color w:val="000000" w:themeColor="text1"/>
          <w:sz w:val="44"/>
          <w:szCs w:val="44"/>
          <w:highlight w:val="none"/>
          <w14:textFill>
            <w14:solidFill>
              <w14:schemeClr w14:val="tx1"/>
            </w14:solidFill>
          </w14:textFill>
        </w:rPr>
      </w:pPr>
    </w:p>
    <w:p w14:paraId="0B5A7640">
      <w:pPr>
        <w:pStyle w:val="110"/>
        <w:jc w:val="center"/>
        <w:rPr>
          <w:rFonts w:hint="eastAsia" w:hAnsi="宋体" w:cs="宋体"/>
          <w:color w:val="000000" w:themeColor="text1"/>
          <w:sz w:val="28"/>
          <w:szCs w:val="28"/>
          <w:highlight w:val="none"/>
          <w14:textFill>
            <w14:solidFill>
              <w14:schemeClr w14:val="tx1"/>
            </w14:solidFill>
          </w14:textFill>
        </w:rPr>
      </w:pPr>
    </w:p>
    <w:p w14:paraId="7F74E974">
      <w:pPr>
        <w:pStyle w:val="110"/>
        <w:jc w:val="left"/>
        <w:rPr>
          <w:rFonts w:hint="eastAsia" w:hAnsi="宋体" w:cs="宋体"/>
          <w:color w:val="000000" w:themeColor="text1"/>
          <w:sz w:val="32"/>
          <w:szCs w:val="32"/>
          <w:highlight w:val="none"/>
          <w14:textFill>
            <w14:solidFill>
              <w14:schemeClr w14:val="tx1"/>
            </w14:solidFill>
          </w14:textFill>
        </w:rPr>
      </w:pPr>
    </w:p>
    <w:p w14:paraId="6F85D690">
      <w:pPr>
        <w:jc w:val="center"/>
        <w:rPr>
          <w:rFonts w:ascii="宋体"/>
          <w:color w:val="000000" w:themeColor="text1"/>
          <w:sz w:val="72"/>
          <w:szCs w:val="72"/>
          <w:highlight w:val="none"/>
          <w:u w:val="single"/>
          <w14:textFill>
            <w14:solidFill>
              <w14:schemeClr w14:val="tx1"/>
            </w14:solidFill>
          </w14:textFill>
        </w:rPr>
      </w:pPr>
      <w:r>
        <w:rPr>
          <w:rFonts w:hAnsi="宋体" w:cs="宋体"/>
          <w:color w:val="000000" w:themeColor="text1"/>
          <w:highlight w:val="none"/>
          <w14:textFill>
            <w14:solidFill>
              <w14:schemeClr w14:val="tx1"/>
            </w14:solidFill>
          </w14:textFill>
        </w:rPr>
        <w:br w:type="page"/>
      </w:r>
    </w:p>
    <w:p w14:paraId="3C971AB0">
      <w:pPr>
        <w:jc w:val="center"/>
        <w:rPr>
          <w:rFonts w:ascii="宋体"/>
          <w:color w:val="000000" w:themeColor="text1"/>
          <w:sz w:val="72"/>
          <w:szCs w:val="72"/>
          <w:highlight w:val="none"/>
          <w:u w:val="single"/>
          <w14:textFill>
            <w14:solidFill>
              <w14:schemeClr w14:val="tx1"/>
            </w14:solidFill>
          </w14:textFill>
        </w:rPr>
      </w:pPr>
    </w:p>
    <w:p w14:paraId="03AFE253">
      <w:pPr>
        <w:jc w:val="center"/>
        <w:rPr>
          <w:rFonts w:ascii="宋体"/>
          <w:color w:val="000000" w:themeColor="text1"/>
          <w:sz w:val="72"/>
          <w:szCs w:val="72"/>
          <w:highlight w:val="none"/>
          <w:u w:val="single"/>
          <w14:textFill>
            <w14:solidFill>
              <w14:schemeClr w14:val="tx1"/>
            </w14:solidFill>
          </w14:textFill>
        </w:rPr>
      </w:pPr>
    </w:p>
    <w:p w14:paraId="7727596B">
      <w:pPr>
        <w:jc w:val="center"/>
        <w:rPr>
          <w:rFonts w:ascii="宋体"/>
          <w:color w:val="000000" w:themeColor="text1"/>
          <w:sz w:val="72"/>
          <w:szCs w:val="72"/>
          <w:highlight w:val="none"/>
          <w:u w:val="single"/>
          <w14:textFill>
            <w14:solidFill>
              <w14:schemeClr w14:val="tx1"/>
            </w14:solidFill>
          </w14:textFill>
        </w:rPr>
      </w:pPr>
    </w:p>
    <w:p w14:paraId="473F146F">
      <w:pPr>
        <w:jc w:val="center"/>
        <w:rPr>
          <w:rFonts w:asci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第五章</w:t>
      </w:r>
      <w:r>
        <w:rPr>
          <w:rFonts w:ascii="宋体" w:hAnsi="宋体"/>
          <w:color w:val="000000" w:themeColor="text1"/>
          <w:sz w:val="52"/>
          <w:szCs w:val="52"/>
          <w:highlight w:val="none"/>
          <w14:textFill>
            <w14:solidFill>
              <w14:schemeClr w14:val="tx1"/>
            </w14:solidFill>
          </w14:textFill>
        </w:rPr>
        <w:t xml:space="preserve">  </w:t>
      </w:r>
      <w:r>
        <w:rPr>
          <w:rFonts w:hint="eastAsia" w:ascii="宋体" w:hAnsi="宋体"/>
          <w:color w:val="000000" w:themeColor="text1"/>
          <w:sz w:val="52"/>
          <w:szCs w:val="52"/>
          <w:highlight w:val="none"/>
          <w14:textFill>
            <w14:solidFill>
              <w14:schemeClr w14:val="tx1"/>
            </w14:solidFill>
          </w14:textFill>
        </w:rPr>
        <w:t>工程量清单</w:t>
      </w:r>
    </w:p>
    <w:p w14:paraId="55966E22">
      <w:pPr>
        <w:pStyle w:val="4"/>
        <w:spacing w:after="600" w:line="240" w:lineRule="auto"/>
        <w:jc w:val="center"/>
        <w:rPr>
          <w:rFonts w:ascii="宋体"/>
          <w:color w:val="000000" w:themeColor="text1"/>
          <w:sz w:val="36"/>
          <w:szCs w:val="36"/>
          <w:highlight w:val="none"/>
          <w14:textFill>
            <w14:solidFill>
              <w14:schemeClr w14:val="tx1"/>
            </w14:solidFill>
          </w14:textFill>
        </w:rPr>
      </w:pPr>
      <w:bookmarkStart w:id="408" w:name="_Toc234382953"/>
      <w:r>
        <w:rPr>
          <w:rFonts w:ascii="宋体"/>
          <w:color w:val="000000" w:themeColor="text1"/>
          <w:sz w:val="36"/>
          <w:szCs w:val="36"/>
          <w:highlight w:val="none"/>
          <w14:textFill>
            <w14:solidFill>
              <w14:schemeClr w14:val="tx1"/>
            </w14:solidFill>
          </w14:textFill>
        </w:rPr>
        <w:br w:type="page"/>
      </w:r>
      <w:bookmarkStart w:id="409" w:name="_Toc18365"/>
      <w:bookmarkStart w:id="410" w:name="_Toc30932"/>
      <w:r>
        <w:rPr>
          <w:rFonts w:hint="eastAsia" w:ascii="宋体" w:hAnsi="宋体"/>
          <w:color w:val="000000" w:themeColor="text1"/>
          <w:sz w:val="36"/>
          <w:szCs w:val="36"/>
          <w:highlight w:val="none"/>
          <w14:textFill>
            <w14:solidFill>
              <w14:schemeClr w14:val="tx1"/>
            </w14:solidFill>
          </w14:textFill>
        </w:rPr>
        <w:t>第五章</w:t>
      </w:r>
      <w:r>
        <w:rPr>
          <w:rFonts w:ascii="宋体" w:hAnsi="宋体"/>
          <w:color w:val="000000" w:themeColor="text1"/>
          <w:sz w:val="36"/>
          <w:szCs w:val="36"/>
          <w:highlight w:val="none"/>
          <w14:textFill>
            <w14:solidFill>
              <w14:schemeClr w14:val="tx1"/>
            </w14:solidFill>
          </w14:textFill>
        </w:rPr>
        <w:t xml:space="preserve">  </w:t>
      </w:r>
      <w:r>
        <w:rPr>
          <w:rFonts w:hint="eastAsia" w:ascii="宋体" w:hAnsi="宋体"/>
          <w:color w:val="000000" w:themeColor="text1"/>
          <w:sz w:val="36"/>
          <w:szCs w:val="36"/>
          <w:highlight w:val="none"/>
          <w14:textFill>
            <w14:solidFill>
              <w14:schemeClr w14:val="tx1"/>
            </w14:solidFill>
          </w14:textFill>
        </w:rPr>
        <w:t>工程量清单</w:t>
      </w:r>
      <w:bookmarkEnd w:id="408"/>
      <w:bookmarkEnd w:id="409"/>
      <w:bookmarkEnd w:id="410"/>
    </w:p>
    <w:p w14:paraId="5C1EFF50">
      <w:pPr>
        <w:ind w:firstLine="562" w:firstLineChars="200"/>
        <w:rPr>
          <w:rFonts w:hint="eastAsia" w:ascii="宋体" w:hAnsi="宋体" w:cs="宋体"/>
          <w:b/>
          <w:bCs/>
          <w:color w:val="000000" w:themeColor="text1"/>
          <w:spacing w:val="-3"/>
          <w:sz w:val="28"/>
          <w:szCs w:val="28"/>
          <w:highlight w:val="none"/>
          <w14:textFill>
            <w14:solidFill>
              <w14:schemeClr w14:val="tx1"/>
            </w14:solidFill>
          </w14:textFill>
        </w:rPr>
      </w:pPr>
      <w:r>
        <w:rPr>
          <w:rFonts w:ascii="宋体" w:hAnsi="宋体" w:cs="宋体"/>
          <w:b/>
          <w:bCs/>
          <w:color w:val="000000" w:themeColor="text1"/>
          <w:sz w:val="28"/>
          <w:szCs w:val="28"/>
          <w:highlight w:val="none"/>
          <w14:textFill>
            <w14:solidFill>
              <w14:schemeClr w14:val="tx1"/>
            </w14:solidFill>
          </w14:textFill>
        </w:rPr>
        <w:t>工程量清单具体应执行《广东省公路工程造价标准化管理指南》、广</w:t>
      </w:r>
      <w:r>
        <w:rPr>
          <w:rFonts w:ascii="宋体" w:hAnsi="宋体" w:cs="宋体"/>
          <w:b/>
          <w:bCs/>
          <w:color w:val="000000" w:themeColor="text1"/>
          <w:spacing w:val="-3"/>
          <w:sz w:val="28"/>
          <w:szCs w:val="28"/>
          <w:highlight w:val="none"/>
          <w14:textFill>
            <w14:solidFill>
              <w14:schemeClr w14:val="tx1"/>
            </w14:solidFill>
          </w14:textFill>
        </w:rPr>
        <w:t>东省《公路工程造价管理指南》及现行的相关补充规定。</w:t>
      </w:r>
    </w:p>
    <w:p w14:paraId="28EA3791">
      <w:pPr>
        <w:ind w:firstLine="550" w:firstLineChars="200"/>
        <w:rPr>
          <w:rFonts w:hint="eastAsia" w:ascii="宋体" w:hAnsi="宋体" w:cs="宋体"/>
          <w:b/>
          <w:bCs/>
          <w:color w:val="000000" w:themeColor="text1"/>
          <w:spacing w:val="-3"/>
          <w:sz w:val="28"/>
          <w:szCs w:val="28"/>
          <w:highlight w:val="none"/>
          <w14:textFill>
            <w14:solidFill>
              <w14:schemeClr w14:val="tx1"/>
            </w14:solidFill>
          </w14:textFill>
        </w:rPr>
      </w:pPr>
    </w:p>
    <w:p w14:paraId="6ACEE666">
      <w:pPr>
        <w:ind w:firstLine="643" w:firstLineChars="200"/>
        <w:rPr>
          <w:b/>
          <w:bCs/>
          <w:color w:val="000000" w:themeColor="text1"/>
          <w:sz w:val="32"/>
          <w:szCs w:val="40"/>
          <w:highlight w:val="none"/>
          <w14:textFill>
            <w14:solidFill>
              <w14:schemeClr w14:val="tx1"/>
            </w14:solidFill>
          </w14:textFill>
        </w:rPr>
      </w:pPr>
      <w:r>
        <w:rPr>
          <w:rFonts w:hint="eastAsia"/>
          <w:b/>
          <w:bCs/>
          <w:color w:val="000000" w:themeColor="text1"/>
          <w:sz w:val="32"/>
          <w:szCs w:val="40"/>
          <w:highlight w:val="none"/>
          <w14:textFill>
            <w14:solidFill>
              <w14:schemeClr w14:val="tx1"/>
            </w14:solidFill>
          </w14:textFill>
        </w:rPr>
        <w:t>工程量清单（另册）</w:t>
      </w:r>
    </w:p>
    <w:p w14:paraId="00A770D7">
      <w:pPr>
        <w:spacing w:line="400" w:lineRule="exact"/>
        <w:rPr>
          <w:rFonts w:ascii="宋体"/>
          <w:b/>
          <w:color w:val="000000" w:themeColor="text1"/>
          <w:sz w:val="28"/>
          <w:szCs w:val="28"/>
          <w:highlight w:val="none"/>
          <w14:textFill>
            <w14:solidFill>
              <w14:schemeClr w14:val="tx1"/>
            </w14:solidFill>
          </w14:textFill>
        </w:rPr>
      </w:pPr>
    </w:p>
    <w:p w14:paraId="495249C8">
      <w:pPr>
        <w:pStyle w:val="70"/>
        <w:jc w:val="both"/>
        <w:rPr>
          <w:color w:val="000000" w:themeColor="text1"/>
          <w:highlight w:val="none"/>
          <w14:textFill>
            <w14:solidFill>
              <w14:schemeClr w14:val="tx1"/>
            </w14:solidFill>
          </w14:textFill>
        </w:rPr>
        <w:sectPr>
          <w:headerReference r:id="rId94" w:type="default"/>
          <w:footerReference r:id="rId95" w:type="default"/>
          <w:pgSz w:w="11906" w:h="16838"/>
          <w:pgMar w:top="1276" w:right="924" w:bottom="935" w:left="1418" w:header="624" w:footer="590" w:gutter="0"/>
          <w:cols w:space="720" w:num="1"/>
          <w:docGrid w:type="lines" w:linePitch="312" w:charSpace="0"/>
        </w:sectPr>
      </w:pPr>
    </w:p>
    <w:p w14:paraId="1EDF0787">
      <w:pPr>
        <w:pStyle w:val="55"/>
        <w:rPr>
          <w:color w:val="000000" w:themeColor="text1"/>
          <w:highlight w:val="none"/>
          <w14:textFill>
            <w14:solidFill>
              <w14:schemeClr w14:val="tx1"/>
            </w14:solidFill>
          </w14:textFill>
        </w:rPr>
      </w:pPr>
    </w:p>
    <w:p w14:paraId="1D63A22C">
      <w:pPr>
        <w:jc w:val="center"/>
        <w:rPr>
          <w:rFonts w:ascii="宋体"/>
          <w:color w:val="000000" w:themeColor="text1"/>
          <w:sz w:val="72"/>
          <w:szCs w:val="72"/>
          <w:highlight w:val="none"/>
          <w:u w:val="single"/>
          <w14:textFill>
            <w14:solidFill>
              <w14:schemeClr w14:val="tx1"/>
            </w14:solidFill>
          </w14:textFill>
        </w:rPr>
      </w:pPr>
    </w:p>
    <w:p w14:paraId="05CEDDBA">
      <w:pPr>
        <w:jc w:val="center"/>
        <w:rPr>
          <w:rFonts w:ascii="宋体"/>
          <w:color w:val="000000" w:themeColor="text1"/>
          <w:sz w:val="72"/>
          <w:szCs w:val="72"/>
          <w:highlight w:val="none"/>
          <w:u w:val="single"/>
          <w14:textFill>
            <w14:solidFill>
              <w14:schemeClr w14:val="tx1"/>
            </w14:solidFill>
          </w14:textFill>
        </w:rPr>
      </w:pPr>
    </w:p>
    <w:p w14:paraId="17D9D460">
      <w:pPr>
        <w:jc w:val="center"/>
        <w:rPr>
          <w:rFonts w:ascii="宋体"/>
          <w:color w:val="000000" w:themeColor="text1"/>
          <w:sz w:val="72"/>
          <w:szCs w:val="72"/>
          <w:highlight w:val="none"/>
          <w:u w:val="single"/>
          <w14:textFill>
            <w14:solidFill>
              <w14:schemeClr w14:val="tx1"/>
            </w14:solidFill>
          </w14:textFill>
        </w:rPr>
      </w:pPr>
    </w:p>
    <w:p w14:paraId="6FE907C0">
      <w:pPr>
        <w:pStyle w:val="4"/>
        <w:jc w:val="center"/>
        <w:rPr>
          <w:rFonts w:ascii="宋体"/>
          <w:color w:val="000000" w:themeColor="text1"/>
          <w:sz w:val="84"/>
          <w:szCs w:val="84"/>
          <w:highlight w:val="none"/>
          <w14:textFill>
            <w14:solidFill>
              <w14:schemeClr w14:val="tx1"/>
            </w14:solidFill>
          </w14:textFill>
        </w:rPr>
      </w:pPr>
      <w:bookmarkStart w:id="411" w:name="_Toc26176"/>
      <w:r>
        <w:rPr>
          <w:rFonts w:hint="eastAsia"/>
          <w:color w:val="000000" w:themeColor="text1"/>
          <w:sz w:val="84"/>
          <w:szCs w:val="84"/>
          <w:highlight w:val="none"/>
          <w14:textFill>
            <w14:solidFill>
              <w14:schemeClr w14:val="tx1"/>
            </w14:solidFill>
          </w14:textFill>
        </w:rPr>
        <w:t>第</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二</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卷</w:t>
      </w:r>
      <w:bookmarkEnd w:id="411"/>
    </w:p>
    <w:p w14:paraId="138421A6">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73E01CF3">
      <w:pPr>
        <w:jc w:val="center"/>
        <w:rPr>
          <w:rFonts w:ascii="宋体"/>
          <w:color w:val="000000" w:themeColor="text1"/>
          <w:sz w:val="72"/>
          <w:szCs w:val="72"/>
          <w:highlight w:val="none"/>
          <w:u w:val="single"/>
          <w14:textFill>
            <w14:solidFill>
              <w14:schemeClr w14:val="tx1"/>
            </w14:solidFill>
          </w14:textFill>
        </w:rPr>
      </w:pPr>
    </w:p>
    <w:p w14:paraId="02C6A6CF">
      <w:pPr>
        <w:jc w:val="center"/>
        <w:rPr>
          <w:rFonts w:ascii="宋体"/>
          <w:color w:val="000000" w:themeColor="text1"/>
          <w:sz w:val="72"/>
          <w:szCs w:val="72"/>
          <w:highlight w:val="none"/>
          <w:u w:val="single"/>
          <w14:textFill>
            <w14:solidFill>
              <w14:schemeClr w14:val="tx1"/>
            </w14:solidFill>
          </w14:textFill>
        </w:rPr>
      </w:pPr>
    </w:p>
    <w:p w14:paraId="4B8A2ECA">
      <w:pPr>
        <w:jc w:val="center"/>
        <w:rPr>
          <w:rFonts w:ascii="宋体"/>
          <w:color w:val="000000" w:themeColor="text1"/>
          <w:sz w:val="72"/>
          <w:szCs w:val="72"/>
          <w:highlight w:val="none"/>
          <w:u w:val="single"/>
          <w14:textFill>
            <w14:solidFill>
              <w14:schemeClr w14:val="tx1"/>
            </w14:solidFill>
          </w14:textFill>
        </w:rPr>
      </w:pPr>
    </w:p>
    <w:p w14:paraId="214CE717">
      <w:pPr>
        <w:jc w:val="center"/>
        <w:rPr>
          <w:rFonts w:ascii="宋体"/>
          <w:color w:val="000000" w:themeColor="text1"/>
          <w:sz w:val="72"/>
          <w:szCs w:val="72"/>
          <w:highlight w:val="none"/>
          <w:u w:val="single"/>
          <w14:textFill>
            <w14:solidFill>
              <w14:schemeClr w14:val="tx1"/>
            </w14:solidFill>
          </w14:textFill>
        </w:rPr>
      </w:pPr>
    </w:p>
    <w:p w14:paraId="282498D4">
      <w:pPr>
        <w:pStyle w:val="4"/>
        <w:jc w:val="center"/>
        <w:rPr>
          <w:color w:val="000000" w:themeColor="text1"/>
          <w:highlight w:val="none"/>
          <w14:textFill>
            <w14:solidFill>
              <w14:schemeClr w14:val="tx1"/>
            </w14:solidFill>
          </w14:textFill>
        </w:rPr>
      </w:pPr>
      <w:bookmarkStart w:id="412" w:name="_Toc10339"/>
      <w:r>
        <w:rPr>
          <w:rFonts w:hint="eastAsia"/>
          <w:color w:val="000000" w:themeColor="text1"/>
          <w:highlight w:val="none"/>
          <w14:textFill>
            <w14:solidFill>
              <w14:schemeClr w14:val="tx1"/>
            </w14:solidFill>
          </w14:textFill>
        </w:rPr>
        <w:t>第六章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图纸（另册）</w:t>
      </w:r>
      <w:bookmarkEnd w:id="412"/>
    </w:p>
    <w:p w14:paraId="36665159">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157FE2DD">
      <w:pPr>
        <w:jc w:val="center"/>
        <w:rPr>
          <w:rFonts w:ascii="宋体"/>
          <w:color w:val="000000" w:themeColor="text1"/>
          <w:sz w:val="72"/>
          <w:szCs w:val="72"/>
          <w:highlight w:val="none"/>
          <w:u w:val="single"/>
          <w14:textFill>
            <w14:solidFill>
              <w14:schemeClr w14:val="tx1"/>
            </w14:solidFill>
          </w14:textFill>
        </w:rPr>
      </w:pPr>
    </w:p>
    <w:p w14:paraId="22C0A69C">
      <w:pPr>
        <w:jc w:val="center"/>
        <w:rPr>
          <w:rFonts w:ascii="宋体"/>
          <w:color w:val="000000" w:themeColor="text1"/>
          <w:sz w:val="72"/>
          <w:szCs w:val="72"/>
          <w:highlight w:val="none"/>
          <w:u w:val="single"/>
          <w14:textFill>
            <w14:solidFill>
              <w14:schemeClr w14:val="tx1"/>
            </w14:solidFill>
          </w14:textFill>
        </w:rPr>
      </w:pPr>
    </w:p>
    <w:p w14:paraId="6A02130D">
      <w:pPr>
        <w:jc w:val="center"/>
        <w:rPr>
          <w:rFonts w:ascii="宋体"/>
          <w:color w:val="000000" w:themeColor="text1"/>
          <w:sz w:val="72"/>
          <w:szCs w:val="72"/>
          <w:highlight w:val="none"/>
          <w:u w:val="single"/>
          <w14:textFill>
            <w14:solidFill>
              <w14:schemeClr w14:val="tx1"/>
            </w14:solidFill>
          </w14:textFill>
        </w:rPr>
      </w:pPr>
    </w:p>
    <w:p w14:paraId="19038FBA">
      <w:pPr>
        <w:jc w:val="center"/>
        <w:rPr>
          <w:rFonts w:ascii="宋体"/>
          <w:color w:val="000000" w:themeColor="text1"/>
          <w:sz w:val="72"/>
          <w:szCs w:val="72"/>
          <w:highlight w:val="none"/>
          <w:u w:val="single"/>
          <w14:textFill>
            <w14:solidFill>
              <w14:schemeClr w14:val="tx1"/>
            </w14:solidFill>
          </w14:textFill>
        </w:rPr>
      </w:pPr>
    </w:p>
    <w:p w14:paraId="67734BC3">
      <w:pPr>
        <w:pStyle w:val="4"/>
        <w:jc w:val="center"/>
        <w:rPr>
          <w:color w:val="000000" w:themeColor="text1"/>
          <w:sz w:val="84"/>
          <w:szCs w:val="84"/>
          <w:highlight w:val="none"/>
          <w14:textFill>
            <w14:solidFill>
              <w14:schemeClr w14:val="tx1"/>
            </w14:solidFill>
          </w14:textFill>
        </w:rPr>
      </w:pPr>
      <w:bookmarkStart w:id="413" w:name="_Toc13235"/>
      <w:r>
        <w:rPr>
          <w:rFonts w:hint="eastAsia"/>
          <w:color w:val="000000" w:themeColor="text1"/>
          <w:sz w:val="84"/>
          <w:szCs w:val="84"/>
          <w:highlight w:val="none"/>
          <w14:textFill>
            <w14:solidFill>
              <w14:schemeClr w14:val="tx1"/>
            </w14:solidFill>
          </w14:textFill>
        </w:rPr>
        <w:t>第</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三</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卷</w:t>
      </w:r>
      <w:bookmarkEnd w:id="413"/>
    </w:p>
    <w:p w14:paraId="0B2A5936">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6BDC5A4F">
      <w:pPr>
        <w:jc w:val="center"/>
        <w:rPr>
          <w:rFonts w:ascii="宋体"/>
          <w:color w:val="000000" w:themeColor="text1"/>
          <w:sz w:val="72"/>
          <w:szCs w:val="72"/>
          <w:highlight w:val="none"/>
          <w:u w:val="single"/>
          <w14:textFill>
            <w14:solidFill>
              <w14:schemeClr w14:val="tx1"/>
            </w14:solidFill>
          </w14:textFill>
        </w:rPr>
      </w:pPr>
    </w:p>
    <w:p w14:paraId="6C224D89">
      <w:pPr>
        <w:jc w:val="center"/>
        <w:rPr>
          <w:rFonts w:ascii="宋体"/>
          <w:color w:val="000000" w:themeColor="text1"/>
          <w:sz w:val="72"/>
          <w:szCs w:val="72"/>
          <w:highlight w:val="none"/>
          <w:u w:val="single"/>
          <w14:textFill>
            <w14:solidFill>
              <w14:schemeClr w14:val="tx1"/>
            </w14:solidFill>
          </w14:textFill>
        </w:rPr>
      </w:pPr>
    </w:p>
    <w:p w14:paraId="5F354607">
      <w:pPr>
        <w:jc w:val="center"/>
        <w:rPr>
          <w:rFonts w:ascii="宋体"/>
          <w:color w:val="000000" w:themeColor="text1"/>
          <w:sz w:val="72"/>
          <w:szCs w:val="72"/>
          <w:highlight w:val="none"/>
          <w:u w:val="single"/>
          <w14:textFill>
            <w14:solidFill>
              <w14:schemeClr w14:val="tx1"/>
            </w14:solidFill>
          </w14:textFill>
        </w:rPr>
      </w:pPr>
    </w:p>
    <w:p w14:paraId="208FFEF2">
      <w:pPr>
        <w:jc w:val="center"/>
        <w:rPr>
          <w:rFonts w:ascii="宋体"/>
          <w:color w:val="000000" w:themeColor="text1"/>
          <w:sz w:val="72"/>
          <w:szCs w:val="72"/>
          <w:highlight w:val="none"/>
          <w:u w:val="single"/>
          <w14:textFill>
            <w14:solidFill>
              <w14:schemeClr w14:val="tx1"/>
            </w14:solidFill>
          </w14:textFill>
        </w:rPr>
      </w:pPr>
    </w:p>
    <w:p w14:paraId="368F2F43">
      <w:pPr>
        <w:pStyle w:val="4"/>
        <w:jc w:val="center"/>
        <w:rPr>
          <w:color w:val="000000" w:themeColor="text1"/>
          <w:highlight w:val="none"/>
          <w14:textFill>
            <w14:solidFill>
              <w14:schemeClr w14:val="tx1"/>
            </w14:solidFill>
          </w14:textFill>
        </w:rPr>
      </w:pPr>
      <w:bookmarkStart w:id="414" w:name="_Toc2502"/>
      <w:r>
        <w:rPr>
          <w:rFonts w:hint="eastAsia"/>
          <w:color w:val="000000" w:themeColor="text1"/>
          <w:highlight w:val="none"/>
          <w14:textFill>
            <w14:solidFill>
              <w14:schemeClr w14:val="tx1"/>
            </w14:solidFill>
          </w14:textFill>
        </w:rPr>
        <w:t>第七章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技术规范</w:t>
      </w:r>
      <w:bookmarkEnd w:id="414"/>
    </w:p>
    <w:p w14:paraId="2AEE5C71">
      <w:pPr>
        <w:jc w:val="center"/>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t>（按国家和行业标准等相关规定执行）</w:t>
      </w:r>
    </w:p>
    <w:p w14:paraId="0CFF54CC">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0195299D">
      <w:pPr>
        <w:jc w:val="center"/>
        <w:rPr>
          <w:rFonts w:ascii="宋体"/>
          <w:color w:val="000000" w:themeColor="text1"/>
          <w:sz w:val="72"/>
          <w:szCs w:val="72"/>
          <w:highlight w:val="none"/>
          <w:u w:val="single"/>
          <w14:textFill>
            <w14:solidFill>
              <w14:schemeClr w14:val="tx1"/>
            </w14:solidFill>
          </w14:textFill>
        </w:rPr>
      </w:pPr>
    </w:p>
    <w:p w14:paraId="7B4CE9A7">
      <w:pPr>
        <w:jc w:val="center"/>
        <w:rPr>
          <w:rFonts w:ascii="宋体"/>
          <w:color w:val="000000" w:themeColor="text1"/>
          <w:sz w:val="72"/>
          <w:szCs w:val="72"/>
          <w:highlight w:val="none"/>
          <w:u w:val="single"/>
          <w14:textFill>
            <w14:solidFill>
              <w14:schemeClr w14:val="tx1"/>
            </w14:solidFill>
          </w14:textFill>
        </w:rPr>
      </w:pPr>
    </w:p>
    <w:p w14:paraId="183B82C9">
      <w:pPr>
        <w:pStyle w:val="4"/>
        <w:jc w:val="center"/>
        <w:rPr>
          <w:color w:val="000000" w:themeColor="text1"/>
          <w:highlight w:val="none"/>
          <w14:textFill>
            <w14:solidFill>
              <w14:schemeClr w14:val="tx1"/>
            </w14:solidFill>
          </w14:textFill>
        </w:rPr>
      </w:pPr>
      <w:bookmarkStart w:id="415" w:name="_Toc6131"/>
      <w:r>
        <w:rPr>
          <w:rFonts w:hint="eastAsia"/>
          <w:color w:val="000000" w:themeColor="text1"/>
          <w:highlight w:val="none"/>
          <w14:textFill>
            <w14:solidFill>
              <w14:schemeClr w14:val="tx1"/>
            </w14:solidFill>
          </w14:textFill>
        </w:rPr>
        <w:t>第八章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工程量清单计量规则</w:t>
      </w:r>
      <w:bookmarkEnd w:id="415"/>
    </w:p>
    <w:p w14:paraId="37CC6770">
      <w:pPr>
        <w:rPr>
          <w:color w:val="000000" w:themeColor="text1"/>
          <w:highlight w:val="none"/>
          <w14:textFill>
            <w14:solidFill>
              <w14:schemeClr w14:val="tx1"/>
            </w14:solidFill>
          </w14:textFill>
        </w:rPr>
      </w:pPr>
      <w:bookmarkStart w:id="416" w:name="_Toc16285"/>
    </w:p>
    <w:bookmarkEnd w:id="416"/>
    <w:p w14:paraId="7A992250">
      <w:pPr>
        <w:spacing w:before="91" w:line="219" w:lineRule="auto"/>
        <w:jc w:val="center"/>
        <w:rPr>
          <w:rFonts w:hint="eastAsia" w:ascii="宋体" w:hAnsi="宋体" w:cs="宋体"/>
          <w:color w:val="000000" w:themeColor="text1"/>
          <w:sz w:val="28"/>
          <w:szCs w:val="28"/>
          <w:highlight w:val="none"/>
          <w14:textFill>
            <w14:solidFill>
              <w14:schemeClr w14:val="tx1"/>
            </w14:solidFill>
          </w14:textFill>
        </w:rPr>
      </w:pPr>
      <w:r>
        <w:rPr>
          <w:rFonts w:ascii="宋体" w:hAnsi="宋体" w:cs="宋体"/>
          <w:b/>
          <w:bCs/>
          <w:color w:val="000000" w:themeColor="text1"/>
          <w:spacing w:val="-6"/>
          <w:sz w:val="28"/>
          <w:szCs w:val="28"/>
          <w:highlight w:val="none"/>
          <w14:textFill>
            <w14:solidFill>
              <w14:schemeClr w14:val="tx1"/>
            </w14:solidFill>
          </w14:textFill>
        </w:rPr>
        <w:t>工程量清单计算规则具体应执行《广东省公路工程造价标准化管理指南》、</w:t>
      </w:r>
    </w:p>
    <w:p w14:paraId="3CBFEDB9">
      <w:pPr>
        <w:spacing w:line="480" w:lineRule="auto"/>
        <w:jc w:val="center"/>
        <w:rPr>
          <w:color w:val="000000" w:themeColor="text1"/>
          <w:sz w:val="24"/>
          <w:szCs w:val="32"/>
          <w:highlight w:val="none"/>
          <w14:textFill>
            <w14:solidFill>
              <w14:schemeClr w14:val="tx1"/>
            </w14:solidFill>
          </w14:textFill>
        </w:rPr>
      </w:pPr>
      <w:r>
        <w:rPr>
          <w:rFonts w:ascii="宋体" w:hAnsi="宋体" w:cs="宋体"/>
          <w:b/>
          <w:bCs/>
          <w:color w:val="000000" w:themeColor="text1"/>
          <w:spacing w:val="-3"/>
          <w:sz w:val="28"/>
          <w:szCs w:val="28"/>
          <w:highlight w:val="none"/>
          <w14:textFill>
            <w14:solidFill>
              <w14:schemeClr w14:val="tx1"/>
            </w14:solidFill>
          </w14:textFill>
        </w:rPr>
        <w:t>广东省《公路工程造价管理指南》及现行的相关补充规定</w:t>
      </w:r>
    </w:p>
    <w:p w14:paraId="27ADF903">
      <w:pPr>
        <w:rPr>
          <w:b/>
          <w:bCs/>
          <w:color w:val="000000" w:themeColor="text1"/>
          <w:highlight w:val="none"/>
          <w14:textFill>
            <w14:solidFill>
              <w14:schemeClr w14:val="tx1"/>
            </w14:solidFill>
          </w14:textFill>
        </w:rPr>
      </w:pPr>
    </w:p>
    <w:p w14:paraId="3B19CB88">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1CB411BA">
      <w:pPr>
        <w:jc w:val="center"/>
        <w:rPr>
          <w:rFonts w:ascii="宋体"/>
          <w:color w:val="000000" w:themeColor="text1"/>
          <w:sz w:val="72"/>
          <w:szCs w:val="72"/>
          <w:highlight w:val="none"/>
          <w:u w:val="single"/>
          <w14:textFill>
            <w14:solidFill>
              <w14:schemeClr w14:val="tx1"/>
            </w14:solidFill>
          </w14:textFill>
        </w:rPr>
      </w:pPr>
    </w:p>
    <w:p w14:paraId="4D61EAF9">
      <w:pPr>
        <w:jc w:val="center"/>
        <w:rPr>
          <w:rFonts w:ascii="宋体"/>
          <w:color w:val="000000" w:themeColor="text1"/>
          <w:sz w:val="72"/>
          <w:szCs w:val="72"/>
          <w:highlight w:val="none"/>
          <w:u w:val="single"/>
          <w14:textFill>
            <w14:solidFill>
              <w14:schemeClr w14:val="tx1"/>
            </w14:solidFill>
          </w14:textFill>
        </w:rPr>
      </w:pPr>
    </w:p>
    <w:p w14:paraId="00C442BA">
      <w:pPr>
        <w:jc w:val="center"/>
        <w:rPr>
          <w:rFonts w:ascii="宋体"/>
          <w:color w:val="000000" w:themeColor="text1"/>
          <w:sz w:val="72"/>
          <w:szCs w:val="72"/>
          <w:highlight w:val="none"/>
          <w:u w:val="single"/>
          <w14:textFill>
            <w14:solidFill>
              <w14:schemeClr w14:val="tx1"/>
            </w14:solidFill>
          </w14:textFill>
        </w:rPr>
      </w:pPr>
    </w:p>
    <w:p w14:paraId="353FBF58">
      <w:pPr>
        <w:jc w:val="center"/>
        <w:rPr>
          <w:rFonts w:ascii="宋体"/>
          <w:color w:val="000000" w:themeColor="text1"/>
          <w:sz w:val="72"/>
          <w:szCs w:val="72"/>
          <w:highlight w:val="none"/>
          <w:u w:val="single"/>
          <w14:textFill>
            <w14:solidFill>
              <w14:schemeClr w14:val="tx1"/>
            </w14:solidFill>
          </w14:textFill>
        </w:rPr>
      </w:pPr>
    </w:p>
    <w:p w14:paraId="0BBD5662">
      <w:pPr>
        <w:pStyle w:val="4"/>
        <w:jc w:val="center"/>
        <w:rPr>
          <w:color w:val="000000" w:themeColor="text1"/>
          <w:sz w:val="84"/>
          <w:szCs w:val="84"/>
          <w:highlight w:val="none"/>
          <w14:textFill>
            <w14:solidFill>
              <w14:schemeClr w14:val="tx1"/>
            </w14:solidFill>
          </w14:textFill>
        </w:rPr>
      </w:pPr>
      <w:bookmarkStart w:id="417" w:name="_Toc4844"/>
      <w:r>
        <w:rPr>
          <w:rFonts w:hint="eastAsia"/>
          <w:color w:val="000000" w:themeColor="text1"/>
          <w:sz w:val="84"/>
          <w:szCs w:val="84"/>
          <w:highlight w:val="none"/>
          <w14:textFill>
            <w14:solidFill>
              <w14:schemeClr w14:val="tx1"/>
            </w14:solidFill>
          </w14:textFill>
        </w:rPr>
        <w:t>第</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四</w:t>
      </w:r>
      <w:r>
        <w:rPr>
          <w:color w:val="000000" w:themeColor="text1"/>
          <w:sz w:val="84"/>
          <w:szCs w:val="84"/>
          <w:highlight w:val="none"/>
          <w14:textFill>
            <w14:solidFill>
              <w14:schemeClr w14:val="tx1"/>
            </w14:solidFill>
          </w14:textFill>
        </w:rPr>
        <w:t xml:space="preserve">  </w:t>
      </w:r>
      <w:r>
        <w:rPr>
          <w:rFonts w:hint="eastAsia"/>
          <w:color w:val="000000" w:themeColor="text1"/>
          <w:sz w:val="84"/>
          <w:szCs w:val="84"/>
          <w:highlight w:val="none"/>
          <w14:textFill>
            <w14:solidFill>
              <w14:schemeClr w14:val="tx1"/>
            </w14:solidFill>
          </w14:textFill>
        </w:rPr>
        <w:t>卷</w:t>
      </w:r>
      <w:bookmarkEnd w:id="417"/>
    </w:p>
    <w:p w14:paraId="0AA11B4E">
      <w:pPr>
        <w:jc w:val="center"/>
        <w:rPr>
          <w:rFonts w:ascii="宋体"/>
          <w:color w:val="000000" w:themeColor="text1"/>
          <w:sz w:val="72"/>
          <w:szCs w:val="72"/>
          <w:highlight w:val="none"/>
          <w:u w:val="single"/>
          <w14:textFill>
            <w14:solidFill>
              <w14:schemeClr w14:val="tx1"/>
            </w14:solidFill>
          </w14:textFill>
        </w:rPr>
      </w:pPr>
      <w:r>
        <w:rPr>
          <w:rFonts w:ascii="宋体"/>
          <w:color w:val="000000" w:themeColor="text1"/>
          <w:sz w:val="72"/>
          <w:szCs w:val="72"/>
          <w:highlight w:val="none"/>
          <w:u w:val="single"/>
          <w14:textFill>
            <w14:solidFill>
              <w14:schemeClr w14:val="tx1"/>
            </w14:solidFill>
          </w14:textFill>
        </w:rPr>
        <w:br w:type="page"/>
      </w:r>
    </w:p>
    <w:p w14:paraId="7044A413">
      <w:pPr>
        <w:jc w:val="center"/>
        <w:rPr>
          <w:rFonts w:ascii="宋体"/>
          <w:color w:val="000000" w:themeColor="text1"/>
          <w:sz w:val="72"/>
          <w:szCs w:val="72"/>
          <w:highlight w:val="none"/>
          <w:u w:val="single"/>
          <w14:textFill>
            <w14:solidFill>
              <w14:schemeClr w14:val="tx1"/>
            </w14:solidFill>
          </w14:textFill>
        </w:rPr>
      </w:pPr>
    </w:p>
    <w:p w14:paraId="4A271714">
      <w:pPr>
        <w:jc w:val="center"/>
        <w:rPr>
          <w:rFonts w:ascii="宋体"/>
          <w:color w:val="000000" w:themeColor="text1"/>
          <w:sz w:val="72"/>
          <w:szCs w:val="72"/>
          <w:highlight w:val="none"/>
          <w:u w:val="single"/>
          <w14:textFill>
            <w14:solidFill>
              <w14:schemeClr w14:val="tx1"/>
            </w14:solidFill>
          </w14:textFill>
        </w:rPr>
      </w:pPr>
    </w:p>
    <w:p w14:paraId="0BEF7FED">
      <w:pPr>
        <w:jc w:val="center"/>
        <w:rPr>
          <w:rFonts w:ascii="宋体"/>
          <w:color w:val="000000" w:themeColor="text1"/>
          <w:sz w:val="72"/>
          <w:szCs w:val="72"/>
          <w:highlight w:val="none"/>
          <w:u w:val="single"/>
          <w14:textFill>
            <w14:solidFill>
              <w14:schemeClr w14:val="tx1"/>
            </w14:solidFill>
          </w14:textFill>
        </w:rPr>
      </w:pPr>
    </w:p>
    <w:p w14:paraId="6DAFC522">
      <w:pPr>
        <w:jc w:val="center"/>
        <w:rPr>
          <w:rFonts w:ascii="宋体"/>
          <w:color w:val="000000" w:themeColor="text1"/>
          <w:sz w:val="72"/>
          <w:szCs w:val="72"/>
          <w:highlight w:val="none"/>
          <w:u w:val="single"/>
          <w14:textFill>
            <w14:solidFill>
              <w14:schemeClr w14:val="tx1"/>
            </w14:solidFill>
          </w14:textFill>
        </w:rPr>
      </w:pPr>
    </w:p>
    <w:p w14:paraId="77F1F3FE">
      <w:pPr>
        <w:pStyle w:val="4"/>
        <w:jc w:val="center"/>
        <w:rPr>
          <w:color w:val="000000" w:themeColor="text1"/>
          <w:highlight w:val="none"/>
          <w14:textFill>
            <w14:solidFill>
              <w14:schemeClr w14:val="tx1"/>
            </w14:solidFill>
          </w14:textFill>
        </w:rPr>
      </w:pPr>
      <w:bookmarkStart w:id="418" w:name="_Toc28022"/>
      <w:r>
        <w:rPr>
          <w:rFonts w:hint="eastAsia"/>
          <w:color w:val="000000" w:themeColor="text1"/>
          <w:highlight w:val="none"/>
          <w14:textFill>
            <w14:solidFill>
              <w14:schemeClr w14:val="tx1"/>
            </w14:solidFill>
          </w14:textFill>
        </w:rPr>
        <w:t>第九章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投标文件格式</w:t>
      </w:r>
      <w:bookmarkEnd w:id="418"/>
    </w:p>
    <w:p w14:paraId="18A386E4">
      <w:pPr>
        <w:adjustRightInd w:val="0"/>
        <w:snapToGrid w:val="0"/>
        <w:spacing w:line="360" w:lineRule="auto"/>
        <w:rPr>
          <w:rFonts w:ascii="宋体"/>
          <w:color w:val="000000" w:themeColor="text1"/>
          <w:sz w:val="24"/>
          <w:highlight w:val="none"/>
          <w14:textFill>
            <w14:solidFill>
              <w14:schemeClr w14:val="tx1"/>
            </w14:solidFill>
          </w14:textFill>
        </w:rPr>
      </w:pPr>
      <w:r>
        <w:rPr>
          <w:rFonts w:ascii="宋体"/>
          <w:color w:val="000000" w:themeColor="text1"/>
          <w:sz w:val="24"/>
          <w:highlight w:val="none"/>
          <w14:textFill>
            <w14:solidFill>
              <w14:schemeClr w14:val="tx1"/>
            </w14:solidFill>
          </w14:textFill>
        </w:rPr>
        <w:br w:type="page"/>
      </w:r>
    </w:p>
    <w:p w14:paraId="3779C091">
      <w:pPr>
        <w:spacing w:line="360" w:lineRule="auto"/>
        <w:jc w:val="center"/>
        <w:rPr>
          <w:rFonts w:hint="eastAsia" w:ascii="宋体" w:hAnsi="宋体"/>
          <w:b/>
          <w:color w:val="000000" w:themeColor="text1"/>
          <w:sz w:val="40"/>
          <w:szCs w:val="40"/>
          <w:highlight w:val="none"/>
          <w14:textFill>
            <w14:solidFill>
              <w14:schemeClr w14:val="tx1"/>
            </w14:solidFill>
          </w14:textFill>
        </w:rPr>
      </w:pPr>
      <w:r>
        <w:rPr>
          <w:rFonts w:hint="eastAsia" w:ascii="宋体" w:hAnsi="宋体"/>
          <w:b/>
          <w:color w:val="000000" w:themeColor="text1"/>
          <w:sz w:val="40"/>
          <w:szCs w:val="40"/>
          <w:highlight w:val="none"/>
          <w14:textFill>
            <w14:solidFill>
              <w14:schemeClr w14:val="tx1"/>
            </w14:solidFill>
          </w14:textFill>
        </w:rPr>
        <w:t>广东省</w:t>
      </w:r>
    </w:p>
    <w:p w14:paraId="6BE85FE9">
      <w:pPr>
        <w:spacing w:line="360" w:lineRule="auto"/>
        <w:ind w:firstLine="803" w:firstLineChars="200"/>
        <w:jc w:val="center"/>
        <w:rPr>
          <w:rFonts w:hint="eastAsia" w:ascii="宋体" w:hAnsi="宋体"/>
          <w:b/>
          <w:color w:val="000000" w:themeColor="text1"/>
          <w:sz w:val="40"/>
          <w:szCs w:val="40"/>
          <w:highlight w:val="none"/>
          <w:u w:val="single"/>
          <w14:textFill>
            <w14:solidFill>
              <w14:schemeClr w14:val="tx1"/>
            </w14:solidFill>
          </w14:textFill>
        </w:rPr>
      </w:pPr>
    </w:p>
    <w:p w14:paraId="567C71A4">
      <w:pPr>
        <w:spacing w:line="360" w:lineRule="auto"/>
        <w:ind w:firstLine="803" w:firstLineChars="200"/>
        <w:jc w:val="center"/>
        <w:rPr>
          <w:rFonts w:ascii="宋体"/>
          <w:b/>
          <w:color w:val="000000" w:themeColor="text1"/>
          <w:sz w:val="40"/>
          <w:szCs w:val="40"/>
          <w:highlight w:val="none"/>
          <w14:textFill>
            <w14:solidFill>
              <w14:schemeClr w14:val="tx1"/>
            </w14:solidFill>
          </w14:textFill>
        </w:rPr>
      </w:pPr>
      <w:r>
        <w:rPr>
          <w:rFonts w:hint="eastAsia" w:ascii="宋体" w:hAnsi="宋体"/>
          <w:b/>
          <w:color w:val="000000" w:themeColor="text1"/>
          <w:sz w:val="40"/>
          <w:szCs w:val="40"/>
          <w:highlight w:val="none"/>
          <w:u w:val="single"/>
          <w14:textFill>
            <w14:solidFill>
              <w14:schemeClr w14:val="tx1"/>
            </w14:solidFill>
          </w14:textFill>
        </w:rPr>
        <w:t xml:space="preserve">          （项目名称）     （标类或标段）     </w:t>
      </w:r>
      <w:r>
        <w:rPr>
          <w:rFonts w:hint="eastAsia" w:ascii="宋体" w:hAnsi="宋体"/>
          <w:b/>
          <w:color w:val="000000" w:themeColor="text1"/>
          <w:sz w:val="40"/>
          <w:szCs w:val="40"/>
          <w:highlight w:val="none"/>
          <w14:textFill>
            <w14:solidFill>
              <w14:schemeClr w14:val="tx1"/>
            </w14:solidFill>
          </w14:textFill>
        </w:rPr>
        <w:t>施工招标</w:t>
      </w:r>
    </w:p>
    <w:p w14:paraId="320E4538">
      <w:pPr>
        <w:spacing w:line="360" w:lineRule="auto"/>
        <w:ind w:firstLine="420" w:firstLineChars="200"/>
        <w:rPr>
          <w:rFonts w:ascii="宋体"/>
          <w:color w:val="000000" w:themeColor="text1"/>
          <w:szCs w:val="21"/>
          <w:highlight w:val="none"/>
          <w14:textFill>
            <w14:solidFill>
              <w14:schemeClr w14:val="tx1"/>
            </w14:solidFill>
          </w14:textFill>
        </w:rPr>
      </w:pPr>
    </w:p>
    <w:p w14:paraId="10690CCA">
      <w:pPr>
        <w:spacing w:line="360" w:lineRule="auto"/>
        <w:ind w:firstLine="420" w:firstLineChars="200"/>
        <w:rPr>
          <w:rFonts w:ascii="宋体"/>
          <w:color w:val="000000" w:themeColor="text1"/>
          <w:szCs w:val="21"/>
          <w:highlight w:val="none"/>
          <w14:textFill>
            <w14:solidFill>
              <w14:schemeClr w14:val="tx1"/>
            </w14:solidFill>
          </w14:textFill>
        </w:rPr>
      </w:pPr>
    </w:p>
    <w:p w14:paraId="0CE8493F">
      <w:pPr>
        <w:spacing w:line="360" w:lineRule="auto"/>
        <w:jc w:val="center"/>
        <w:rPr>
          <w:rFonts w:ascii="宋体"/>
          <w:b/>
          <w:color w:val="000000" w:themeColor="text1"/>
          <w:sz w:val="52"/>
          <w:szCs w:val="52"/>
          <w:highlight w:val="none"/>
          <w14:textFill>
            <w14:solidFill>
              <w14:schemeClr w14:val="tx1"/>
            </w14:solidFill>
          </w14:textFill>
        </w:rPr>
      </w:pPr>
    </w:p>
    <w:p w14:paraId="5207D940">
      <w:pPr>
        <w:spacing w:line="360" w:lineRule="auto"/>
        <w:jc w:val="center"/>
        <w:rPr>
          <w:rFonts w:ascii="宋体"/>
          <w:b/>
          <w:color w:val="000000" w:themeColor="text1"/>
          <w:sz w:val="52"/>
          <w:szCs w:val="52"/>
          <w:highlight w:val="none"/>
          <w14:textFill>
            <w14:solidFill>
              <w14:schemeClr w14:val="tx1"/>
            </w14:solidFill>
          </w14:textFill>
        </w:rPr>
      </w:pPr>
    </w:p>
    <w:p w14:paraId="44328FDA">
      <w:pPr>
        <w:jc w:val="center"/>
        <w:rPr>
          <w:rFonts w:ascii="宋体"/>
          <w:b/>
          <w:bCs/>
          <w:color w:val="000000" w:themeColor="text1"/>
          <w:sz w:val="48"/>
          <w:szCs w:val="48"/>
          <w:highlight w:val="none"/>
          <w14:textFill>
            <w14:solidFill>
              <w14:schemeClr w14:val="tx1"/>
            </w14:solidFill>
          </w14:textFill>
        </w:rPr>
      </w:pPr>
      <w:r>
        <w:rPr>
          <w:rFonts w:hint="eastAsia" w:ascii="宋体" w:hAnsi="宋体"/>
          <w:b/>
          <w:bCs/>
          <w:color w:val="000000" w:themeColor="text1"/>
          <w:sz w:val="48"/>
          <w:szCs w:val="48"/>
          <w:highlight w:val="none"/>
          <w14:textFill>
            <w14:solidFill>
              <w14:schemeClr w14:val="tx1"/>
            </w14:solidFill>
          </w14:textFill>
        </w:rPr>
        <w:t>投</w:t>
      </w:r>
      <w:r>
        <w:rPr>
          <w:rFonts w:ascii="宋体" w:hAnsi="宋体"/>
          <w:b/>
          <w:bCs/>
          <w:color w:val="000000" w:themeColor="text1"/>
          <w:sz w:val="48"/>
          <w:szCs w:val="48"/>
          <w:highlight w:val="none"/>
          <w14:textFill>
            <w14:solidFill>
              <w14:schemeClr w14:val="tx1"/>
            </w14:solidFill>
          </w14:textFill>
        </w:rPr>
        <w:t xml:space="preserve"> </w:t>
      </w:r>
      <w:r>
        <w:rPr>
          <w:rFonts w:hint="eastAsia" w:ascii="宋体" w:hAnsi="宋体"/>
          <w:b/>
          <w:bCs/>
          <w:color w:val="000000" w:themeColor="text1"/>
          <w:sz w:val="48"/>
          <w:szCs w:val="48"/>
          <w:highlight w:val="none"/>
          <w14:textFill>
            <w14:solidFill>
              <w14:schemeClr w14:val="tx1"/>
            </w14:solidFill>
          </w14:textFill>
        </w:rPr>
        <w:t>标</w:t>
      </w:r>
      <w:r>
        <w:rPr>
          <w:rFonts w:ascii="宋体" w:hAnsi="宋体"/>
          <w:b/>
          <w:bCs/>
          <w:color w:val="000000" w:themeColor="text1"/>
          <w:sz w:val="48"/>
          <w:szCs w:val="48"/>
          <w:highlight w:val="none"/>
          <w14:textFill>
            <w14:solidFill>
              <w14:schemeClr w14:val="tx1"/>
            </w14:solidFill>
          </w14:textFill>
        </w:rPr>
        <w:t xml:space="preserve"> </w:t>
      </w:r>
      <w:r>
        <w:rPr>
          <w:rFonts w:hint="eastAsia" w:ascii="宋体" w:hAnsi="宋体"/>
          <w:b/>
          <w:bCs/>
          <w:color w:val="000000" w:themeColor="text1"/>
          <w:sz w:val="48"/>
          <w:szCs w:val="48"/>
          <w:highlight w:val="none"/>
          <w14:textFill>
            <w14:solidFill>
              <w14:schemeClr w14:val="tx1"/>
            </w14:solidFill>
          </w14:textFill>
        </w:rPr>
        <w:t>文</w:t>
      </w:r>
      <w:r>
        <w:rPr>
          <w:rFonts w:ascii="宋体" w:hAnsi="宋体"/>
          <w:b/>
          <w:bCs/>
          <w:color w:val="000000" w:themeColor="text1"/>
          <w:sz w:val="48"/>
          <w:szCs w:val="48"/>
          <w:highlight w:val="none"/>
          <w14:textFill>
            <w14:solidFill>
              <w14:schemeClr w14:val="tx1"/>
            </w14:solidFill>
          </w14:textFill>
        </w:rPr>
        <w:t xml:space="preserve"> </w:t>
      </w:r>
      <w:r>
        <w:rPr>
          <w:rFonts w:hint="eastAsia" w:ascii="宋体" w:hAnsi="宋体"/>
          <w:b/>
          <w:bCs/>
          <w:color w:val="000000" w:themeColor="text1"/>
          <w:sz w:val="48"/>
          <w:szCs w:val="48"/>
          <w:highlight w:val="none"/>
          <w14:textFill>
            <w14:solidFill>
              <w14:schemeClr w14:val="tx1"/>
            </w14:solidFill>
          </w14:textFill>
        </w:rPr>
        <w:t>件</w:t>
      </w:r>
    </w:p>
    <w:p w14:paraId="6B6421B7">
      <w:pPr>
        <w:pStyle w:val="55"/>
        <w:rPr>
          <w:color w:val="000000" w:themeColor="text1"/>
          <w:highlight w:val="none"/>
          <w14:textFill>
            <w14:solidFill>
              <w14:schemeClr w14:val="tx1"/>
            </w14:solidFill>
          </w14:textFill>
        </w:rPr>
      </w:pPr>
    </w:p>
    <w:p w14:paraId="293F0317">
      <w:pPr>
        <w:pStyle w:val="4"/>
        <w:jc w:val="center"/>
        <w:rPr>
          <w:color w:val="000000" w:themeColor="text1"/>
          <w:highlight w:val="none"/>
          <w14:textFill>
            <w14:solidFill>
              <w14:schemeClr w14:val="tx1"/>
            </w14:solidFill>
          </w14:textFill>
        </w:rPr>
      </w:pPr>
      <w:bookmarkStart w:id="419" w:name="_Toc1959"/>
      <w:r>
        <w:rPr>
          <w:rFonts w:hint="eastAsia"/>
          <w:color w:val="000000" w:themeColor="text1"/>
          <w:highlight w:val="none"/>
          <w14:textFill>
            <w14:solidFill>
              <w14:schemeClr w14:val="tx1"/>
            </w14:solidFill>
          </w14:textFill>
        </w:rPr>
        <w:t>（第一信封：商务及技术文件）</w:t>
      </w:r>
      <w:bookmarkEnd w:id="419"/>
    </w:p>
    <w:p w14:paraId="390F5286">
      <w:pPr>
        <w:spacing w:line="360" w:lineRule="auto"/>
        <w:rPr>
          <w:rFonts w:ascii="宋体"/>
          <w:b/>
          <w:color w:val="000000" w:themeColor="text1"/>
          <w:sz w:val="32"/>
          <w:szCs w:val="32"/>
          <w:highlight w:val="none"/>
          <w14:textFill>
            <w14:solidFill>
              <w14:schemeClr w14:val="tx1"/>
            </w14:solidFill>
          </w14:textFill>
        </w:rPr>
      </w:pPr>
    </w:p>
    <w:p w14:paraId="268D26D1">
      <w:pPr>
        <w:spacing w:line="360" w:lineRule="auto"/>
        <w:rPr>
          <w:rFonts w:ascii="宋体"/>
          <w:b/>
          <w:color w:val="000000" w:themeColor="text1"/>
          <w:sz w:val="32"/>
          <w:szCs w:val="32"/>
          <w:highlight w:val="none"/>
          <w14:textFill>
            <w14:solidFill>
              <w14:schemeClr w14:val="tx1"/>
            </w14:solidFill>
          </w14:textFill>
        </w:rPr>
      </w:pPr>
    </w:p>
    <w:p w14:paraId="5ED6C7AE">
      <w:pPr>
        <w:spacing w:line="360" w:lineRule="auto"/>
        <w:rPr>
          <w:rFonts w:ascii="宋体"/>
          <w:b/>
          <w:color w:val="000000" w:themeColor="text1"/>
          <w:sz w:val="32"/>
          <w:szCs w:val="32"/>
          <w:highlight w:val="none"/>
          <w14:textFill>
            <w14:solidFill>
              <w14:schemeClr w14:val="tx1"/>
            </w14:solidFill>
          </w14:textFill>
        </w:rPr>
      </w:pPr>
    </w:p>
    <w:p w14:paraId="537F5FA4">
      <w:pPr>
        <w:spacing w:line="360" w:lineRule="auto"/>
        <w:rPr>
          <w:rFonts w:ascii="宋体"/>
          <w:b/>
          <w:color w:val="000000" w:themeColor="text1"/>
          <w:sz w:val="32"/>
          <w:szCs w:val="32"/>
          <w:highlight w:val="none"/>
          <w14:textFill>
            <w14:solidFill>
              <w14:schemeClr w14:val="tx1"/>
            </w14:solidFill>
          </w14:textFill>
        </w:rPr>
      </w:pPr>
    </w:p>
    <w:p w14:paraId="1D855ED0">
      <w:pPr>
        <w:spacing w:line="360" w:lineRule="auto"/>
        <w:rPr>
          <w:rFonts w:ascii="宋体"/>
          <w:b/>
          <w:color w:val="000000" w:themeColor="text1"/>
          <w:sz w:val="32"/>
          <w:szCs w:val="32"/>
          <w:highlight w:val="none"/>
          <w14:textFill>
            <w14:solidFill>
              <w14:schemeClr w14:val="tx1"/>
            </w14:solidFill>
          </w14:textFill>
        </w:rPr>
      </w:pPr>
    </w:p>
    <w:p w14:paraId="6D269988">
      <w:pPr>
        <w:spacing w:line="360" w:lineRule="auto"/>
        <w:rPr>
          <w:rFonts w:ascii="宋体"/>
          <w:b/>
          <w:color w:val="000000" w:themeColor="text1"/>
          <w:sz w:val="32"/>
          <w:szCs w:val="32"/>
          <w:highlight w:val="none"/>
          <w14:textFill>
            <w14:solidFill>
              <w14:schemeClr w14:val="tx1"/>
            </w14:solidFill>
          </w14:textFill>
        </w:rPr>
      </w:pPr>
    </w:p>
    <w:p w14:paraId="4B0750C9">
      <w:pPr>
        <w:spacing w:line="360" w:lineRule="auto"/>
        <w:rPr>
          <w:rFonts w:ascii="宋体"/>
          <w:b/>
          <w:color w:val="000000" w:themeColor="text1"/>
          <w:sz w:val="32"/>
          <w:szCs w:val="32"/>
          <w:highlight w:val="none"/>
          <w14:textFill>
            <w14:solidFill>
              <w14:schemeClr w14:val="tx1"/>
            </w14:solidFill>
          </w14:textFill>
        </w:rPr>
      </w:pPr>
    </w:p>
    <w:p w14:paraId="4A7905AD">
      <w:pPr>
        <w:spacing w:line="360" w:lineRule="auto"/>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w:t>
      </w:r>
      <w:r>
        <w:rPr>
          <w:rFonts w:ascii="宋体" w:hAnsi="宋体"/>
          <w:b/>
          <w:color w:val="000000" w:themeColor="text1"/>
          <w:sz w:val="32"/>
          <w:szCs w:val="32"/>
          <w:highlight w:val="none"/>
          <w:u w:val="single"/>
          <w14:textFill>
            <w14:solidFill>
              <w14:schemeClr w14:val="tx1"/>
            </w14:solidFill>
          </w14:textFill>
        </w:rPr>
        <w:t xml:space="preserve">             </w:t>
      </w:r>
      <w:r>
        <w:rPr>
          <w:rFonts w:hint="eastAsia" w:ascii="宋体" w:hAnsi="宋体"/>
          <w:b/>
          <w:color w:val="000000" w:themeColor="text1"/>
          <w:sz w:val="32"/>
          <w:szCs w:val="32"/>
          <w:highlight w:val="none"/>
          <w14:textFill>
            <w14:solidFill>
              <w14:schemeClr w14:val="tx1"/>
            </w14:solidFill>
          </w14:textFill>
        </w:rPr>
        <w:t>（盖单位章）</w:t>
      </w:r>
    </w:p>
    <w:p w14:paraId="3F6D3AE4">
      <w:pPr>
        <w:spacing w:line="360" w:lineRule="auto"/>
        <w:ind w:firstLine="3213" w:firstLineChars="1000"/>
        <w:rPr>
          <w:rFonts w:asci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u w:val="single"/>
          <w14:textFill>
            <w14:solidFill>
              <w14:schemeClr w14:val="tx1"/>
            </w14:solidFill>
          </w14:textFill>
        </w:rPr>
        <w:t xml:space="preserve">     </w:t>
      </w:r>
      <w:r>
        <w:rPr>
          <w:rFonts w:hint="eastAsia" w:ascii="宋体" w:hAnsi="宋体"/>
          <w:b/>
          <w:color w:val="000000" w:themeColor="text1"/>
          <w:sz w:val="32"/>
          <w:szCs w:val="32"/>
          <w:highlight w:val="none"/>
          <w14:textFill>
            <w14:solidFill>
              <w14:schemeClr w14:val="tx1"/>
            </w14:solidFill>
          </w14:textFill>
        </w:rPr>
        <w:t>年</w:t>
      </w:r>
      <w:r>
        <w:rPr>
          <w:rFonts w:ascii="宋体" w:hAnsi="宋体"/>
          <w:b/>
          <w:color w:val="000000" w:themeColor="text1"/>
          <w:sz w:val="32"/>
          <w:szCs w:val="32"/>
          <w:highlight w:val="none"/>
          <w:u w:val="single"/>
          <w14:textFill>
            <w14:solidFill>
              <w14:schemeClr w14:val="tx1"/>
            </w14:solidFill>
          </w14:textFill>
        </w:rPr>
        <w:t xml:space="preserve">     </w:t>
      </w:r>
      <w:r>
        <w:rPr>
          <w:rFonts w:hint="eastAsia" w:ascii="宋体" w:hAnsi="宋体"/>
          <w:b/>
          <w:color w:val="000000" w:themeColor="text1"/>
          <w:sz w:val="32"/>
          <w:szCs w:val="32"/>
          <w:highlight w:val="none"/>
          <w14:textFill>
            <w14:solidFill>
              <w14:schemeClr w14:val="tx1"/>
            </w14:solidFill>
          </w14:textFill>
        </w:rPr>
        <w:t>月</w:t>
      </w:r>
      <w:r>
        <w:rPr>
          <w:rFonts w:ascii="宋体" w:hAnsi="宋体"/>
          <w:b/>
          <w:color w:val="000000" w:themeColor="text1"/>
          <w:sz w:val="32"/>
          <w:szCs w:val="32"/>
          <w:highlight w:val="none"/>
          <w:u w:val="single"/>
          <w14:textFill>
            <w14:solidFill>
              <w14:schemeClr w14:val="tx1"/>
            </w14:solidFill>
          </w14:textFill>
        </w:rPr>
        <w:t xml:space="preserve">    </w:t>
      </w:r>
      <w:r>
        <w:rPr>
          <w:rFonts w:hint="eastAsia" w:ascii="宋体" w:hAnsi="宋体"/>
          <w:b/>
          <w:color w:val="000000" w:themeColor="text1"/>
          <w:sz w:val="32"/>
          <w:szCs w:val="32"/>
          <w:highlight w:val="none"/>
          <w14:textFill>
            <w14:solidFill>
              <w14:schemeClr w14:val="tx1"/>
            </w14:solidFill>
          </w14:textFill>
        </w:rPr>
        <w:t>日</w:t>
      </w:r>
    </w:p>
    <w:p w14:paraId="6E51395F">
      <w:pPr>
        <w:spacing w:line="360" w:lineRule="auto"/>
        <w:jc w:val="center"/>
        <w:rPr>
          <w:rFonts w:ascii="宋体"/>
          <w:b/>
          <w:color w:val="000000" w:themeColor="text1"/>
          <w:sz w:val="36"/>
          <w:szCs w:val="36"/>
          <w:highlight w:val="none"/>
          <w14:textFill>
            <w14:solidFill>
              <w14:schemeClr w14:val="tx1"/>
            </w14:solidFill>
          </w14:textFill>
        </w:rPr>
      </w:pPr>
      <w:r>
        <w:rPr>
          <w:rFonts w:asci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6"/>
          <w:szCs w:val="36"/>
          <w:highlight w:val="none"/>
          <w14:textFill>
            <w14:solidFill>
              <w14:schemeClr w14:val="tx1"/>
            </w14:solidFill>
          </w14:textFill>
        </w:rPr>
        <w:t>目</w:t>
      </w:r>
      <w:r>
        <w:rPr>
          <w:rFonts w:ascii="宋体" w:hAnsi="宋体"/>
          <w:b/>
          <w:color w:val="000000" w:themeColor="text1"/>
          <w:sz w:val="36"/>
          <w:szCs w:val="36"/>
          <w:highlight w:val="none"/>
          <w14:textFill>
            <w14:solidFill>
              <w14:schemeClr w14:val="tx1"/>
            </w14:solidFill>
          </w14:textFill>
        </w:rPr>
        <w:t xml:space="preserve">  </w:t>
      </w:r>
      <w:r>
        <w:rPr>
          <w:rFonts w:ascii="宋体" w:hAnsi="宋体"/>
          <w:b/>
          <w:color w:val="000000" w:themeColor="text1"/>
          <w:sz w:val="36"/>
          <w:szCs w:val="36"/>
          <w:highlight w:val="none"/>
          <w14:textFill>
            <w14:solidFill>
              <w14:schemeClr w14:val="tx1"/>
            </w14:solidFill>
          </w14:textFill>
        </w:rPr>
        <w:tab/>
      </w:r>
      <w:r>
        <w:rPr>
          <w:rFonts w:hint="eastAsia" w:ascii="宋体" w:hAnsi="宋体"/>
          <w:b/>
          <w:color w:val="000000" w:themeColor="text1"/>
          <w:sz w:val="36"/>
          <w:szCs w:val="36"/>
          <w:highlight w:val="none"/>
          <w14:textFill>
            <w14:solidFill>
              <w14:schemeClr w14:val="tx1"/>
            </w14:solidFill>
          </w14:textFill>
        </w:rPr>
        <w:t>录</w:t>
      </w:r>
    </w:p>
    <w:p w14:paraId="6FF257FE">
      <w:pPr>
        <w:pStyle w:val="55"/>
        <w:rPr>
          <w:color w:val="000000" w:themeColor="text1"/>
          <w:highlight w:val="none"/>
          <w14:textFill>
            <w14:solidFill>
              <w14:schemeClr w14:val="tx1"/>
            </w14:solidFill>
          </w14:textFill>
        </w:rPr>
      </w:pPr>
    </w:p>
    <w:p w14:paraId="2A009384">
      <w:pPr>
        <w:spacing w:before="91" w:line="220" w:lineRule="auto"/>
        <w:ind w:left="9"/>
        <w:rPr>
          <w:rFonts w:hint="eastAsia" w:ascii="宋体" w:hAnsi="宋体" w:cs="宋体"/>
          <w:color w:val="000000" w:themeColor="text1"/>
          <w:sz w:val="28"/>
          <w:szCs w:val="28"/>
          <w:highlight w:val="none"/>
          <w14:textFill>
            <w14:solidFill>
              <w14:schemeClr w14:val="tx1"/>
            </w14:solidFill>
          </w14:textFill>
        </w:rPr>
      </w:pPr>
      <w:bookmarkStart w:id="420" w:name="_Toc234382957"/>
      <w:r>
        <w:rPr>
          <w:rFonts w:ascii="宋体" w:hAnsi="宋体" w:cs="宋体"/>
          <w:color w:val="000000" w:themeColor="text1"/>
          <w:spacing w:val="-1"/>
          <w:sz w:val="28"/>
          <w:szCs w:val="28"/>
          <w:highlight w:val="none"/>
          <w14:textFill>
            <w14:solidFill>
              <w14:schemeClr w14:val="tx1"/>
            </w14:solidFill>
          </w14:textFill>
        </w:rPr>
        <w:t>第一个信封(商务及技术文件)</w:t>
      </w:r>
    </w:p>
    <w:p w14:paraId="25A5E5DE">
      <w:pPr>
        <w:spacing w:before="290" w:line="219"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2"/>
          <w:sz w:val="28"/>
          <w:szCs w:val="28"/>
          <w:highlight w:val="none"/>
          <w14:textFill>
            <w14:solidFill>
              <w14:schemeClr w14:val="tx1"/>
            </w14:solidFill>
          </w14:textFill>
        </w:rPr>
        <w:t>一、投标函及投标函附录</w:t>
      </w:r>
    </w:p>
    <w:p w14:paraId="00D0500F">
      <w:pPr>
        <w:spacing w:before="291" w:line="219"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二、授权委托书或法定代表人身份证明</w:t>
      </w:r>
    </w:p>
    <w:p w14:paraId="2CF9DDE2">
      <w:pPr>
        <w:spacing w:before="292" w:line="219" w:lineRule="auto"/>
        <w:ind w:left="9"/>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三、联合体协议书（如有）</w:t>
      </w:r>
    </w:p>
    <w:p w14:paraId="305F06D4">
      <w:pPr>
        <w:spacing w:before="291" w:line="221" w:lineRule="auto"/>
        <w:ind w:left="36"/>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6"/>
          <w:sz w:val="28"/>
          <w:szCs w:val="28"/>
          <w:highlight w:val="none"/>
          <w14:textFill>
            <w14:solidFill>
              <w14:schemeClr w14:val="tx1"/>
            </w14:solidFill>
          </w14:textFill>
        </w:rPr>
        <w:t>四、投标保证金</w:t>
      </w:r>
    </w:p>
    <w:p w14:paraId="631AFDAF">
      <w:pPr>
        <w:spacing w:before="289" w:line="220"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五、施工组织设计</w:t>
      </w:r>
      <w:r>
        <w:rPr>
          <w:rFonts w:ascii="宋体" w:hAnsi="宋体" w:cs="宋体"/>
          <w:color w:val="000000" w:themeColor="text1"/>
          <w:spacing w:val="-1"/>
          <w:sz w:val="28"/>
          <w:szCs w:val="28"/>
          <w:highlight w:val="none"/>
          <w:u w:val="single"/>
          <w14:textFill>
            <w14:solidFill>
              <w14:schemeClr w14:val="tx1"/>
            </w14:solidFill>
          </w14:textFill>
        </w:rPr>
        <w:t>及承包人项目管理方案</w:t>
      </w:r>
    </w:p>
    <w:p w14:paraId="44C06299">
      <w:pPr>
        <w:spacing w:before="289" w:line="219" w:lineRule="auto"/>
        <w:ind w:left="12"/>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2"/>
          <w:sz w:val="28"/>
          <w:szCs w:val="28"/>
          <w:highlight w:val="none"/>
          <w14:textFill>
            <w14:solidFill>
              <w14:schemeClr w14:val="tx1"/>
            </w14:solidFill>
          </w14:textFill>
        </w:rPr>
        <w:t>六、项目管理机构</w:t>
      </w:r>
    </w:p>
    <w:p w14:paraId="57317944">
      <w:pPr>
        <w:spacing w:before="291" w:line="220" w:lineRule="auto"/>
        <w:ind w:left="8"/>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七、资格审查资料</w:t>
      </w:r>
      <w:r>
        <w:rPr>
          <w:rFonts w:hint="eastAsia" w:ascii="宋体" w:hAnsi="宋体" w:cs="宋体"/>
          <w:color w:val="000000" w:themeColor="text1"/>
          <w:spacing w:val="-1"/>
          <w:sz w:val="28"/>
          <w:szCs w:val="28"/>
          <w:highlight w:val="none"/>
          <w14:textFill>
            <w14:solidFill>
              <w14:schemeClr w14:val="tx1"/>
            </w14:solidFill>
          </w14:textFill>
        </w:rPr>
        <w:t>（适用于未进行资格预审的）</w:t>
      </w:r>
    </w:p>
    <w:p w14:paraId="35790551">
      <w:pPr>
        <w:spacing w:before="290" w:line="221"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3"/>
          <w:sz w:val="28"/>
          <w:szCs w:val="28"/>
          <w:highlight w:val="none"/>
          <w14:textFill>
            <w14:solidFill>
              <w14:schemeClr w14:val="tx1"/>
            </w14:solidFill>
          </w14:textFill>
        </w:rPr>
        <w:t>八、其他资料</w:t>
      </w:r>
    </w:p>
    <w:p w14:paraId="1FD05217">
      <w:pPr>
        <w:adjustRightInd w:val="0"/>
        <w:snapToGrid w:val="0"/>
        <w:spacing w:line="360" w:lineRule="auto"/>
        <w:jc w:val="center"/>
        <w:rPr>
          <w:rFonts w:hint="eastAsia" w:ascii="宋体" w:hAnsi="宋体" w:cs="宋体"/>
          <w:b/>
          <w:color w:val="000000" w:themeColor="text1"/>
          <w:sz w:val="28"/>
          <w:szCs w:val="28"/>
          <w:highlight w:val="none"/>
          <w14:textFill>
            <w14:solidFill>
              <w14:schemeClr w14:val="tx1"/>
            </w14:solidFill>
          </w14:textFill>
        </w:rPr>
      </w:pPr>
    </w:p>
    <w:p w14:paraId="5EB3A7F0">
      <w:pPr>
        <w:pStyle w:val="70"/>
        <w:rPr>
          <w:rFonts w:hint="eastAsia" w:ascii="宋体" w:hAnsi="宋体" w:cs="宋体"/>
          <w:color w:val="000000" w:themeColor="text1"/>
          <w:sz w:val="28"/>
          <w:szCs w:val="28"/>
          <w:highlight w:val="none"/>
          <w14:textFill>
            <w14:solidFill>
              <w14:schemeClr w14:val="tx1"/>
            </w14:solidFill>
          </w14:textFill>
        </w:rPr>
      </w:pPr>
    </w:p>
    <w:p w14:paraId="1F0E97F3">
      <w:pPr>
        <w:rPr>
          <w:rFonts w:hint="eastAsia" w:ascii="宋体" w:hAnsi="宋体" w:cs="宋体"/>
          <w:b/>
          <w:color w:val="000000" w:themeColor="text1"/>
          <w:sz w:val="28"/>
          <w:szCs w:val="28"/>
          <w:highlight w:val="none"/>
          <w14:textFill>
            <w14:solidFill>
              <w14:schemeClr w14:val="tx1"/>
            </w14:solidFill>
          </w14:textFill>
        </w:rPr>
      </w:pPr>
    </w:p>
    <w:p w14:paraId="198E5D89">
      <w:pPr>
        <w:rPr>
          <w:rFonts w:hint="eastAsia" w:ascii="宋体" w:hAnsi="宋体" w:cs="宋体"/>
          <w:b/>
          <w:color w:val="000000" w:themeColor="text1"/>
          <w:sz w:val="28"/>
          <w:szCs w:val="28"/>
          <w:highlight w:val="none"/>
          <w14:textFill>
            <w14:solidFill>
              <w14:schemeClr w14:val="tx1"/>
            </w14:solidFill>
          </w14:textFill>
        </w:rPr>
      </w:pPr>
    </w:p>
    <w:p w14:paraId="197990FD">
      <w:pPr>
        <w:pStyle w:val="70"/>
        <w:rPr>
          <w:rFonts w:hint="eastAsia" w:ascii="宋体" w:hAnsi="宋体" w:cs="宋体"/>
          <w:color w:val="000000" w:themeColor="text1"/>
          <w:sz w:val="28"/>
          <w:szCs w:val="28"/>
          <w:highlight w:val="none"/>
          <w14:textFill>
            <w14:solidFill>
              <w14:schemeClr w14:val="tx1"/>
            </w14:solidFill>
          </w14:textFill>
        </w:rPr>
      </w:pPr>
    </w:p>
    <w:p w14:paraId="14EDA2A5">
      <w:pPr>
        <w:rPr>
          <w:rFonts w:hint="eastAsia" w:ascii="宋体" w:hAnsi="宋体" w:cs="宋体"/>
          <w:b/>
          <w:color w:val="000000" w:themeColor="text1"/>
          <w:sz w:val="28"/>
          <w:szCs w:val="28"/>
          <w:highlight w:val="none"/>
          <w14:textFill>
            <w14:solidFill>
              <w14:schemeClr w14:val="tx1"/>
            </w14:solidFill>
          </w14:textFill>
        </w:rPr>
      </w:pPr>
    </w:p>
    <w:p w14:paraId="4DE6F9DB">
      <w:pPr>
        <w:pStyle w:val="70"/>
        <w:rPr>
          <w:rFonts w:hint="eastAsia" w:ascii="宋体" w:hAnsi="宋体" w:cs="宋体"/>
          <w:color w:val="000000" w:themeColor="text1"/>
          <w:sz w:val="28"/>
          <w:szCs w:val="28"/>
          <w:highlight w:val="none"/>
          <w14:textFill>
            <w14:solidFill>
              <w14:schemeClr w14:val="tx1"/>
            </w14:solidFill>
          </w14:textFill>
        </w:rPr>
      </w:pPr>
    </w:p>
    <w:p w14:paraId="2C08770F">
      <w:pPr>
        <w:rPr>
          <w:rFonts w:hint="eastAsia" w:ascii="宋体" w:hAnsi="宋体" w:cs="宋体"/>
          <w:b/>
          <w:color w:val="000000" w:themeColor="text1"/>
          <w:sz w:val="28"/>
          <w:szCs w:val="28"/>
          <w:highlight w:val="none"/>
          <w14:textFill>
            <w14:solidFill>
              <w14:schemeClr w14:val="tx1"/>
            </w14:solidFill>
          </w14:textFill>
        </w:rPr>
      </w:pPr>
    </w:p>
    <w:p w14:paraId="18186E56">
      <w:pPr>
        <w:pStyle w:val="5"/>
        <w:jc w:val="center"/>
        <w:rPr>
          <w:color w:val="000000" w:themeColor="text1"/>
          <w:sz w:val="28"/>
          <w:szCs w:val="36"/>
          <w:highlight w:val="none"/>
          <w14:textFill>
            <w14:solidFill>
              <w14:schemeClr w14:val="tx1"/>
            </w14:solidFill>
          </w14:textFill>
        </w:rPr>
      </w:pPr>
      <w:bookmarkStart w:id="421" w:name="_Toc22294"/>
      <w:r>
        <w:rPr>
          <w:rFonts w:hint="eastAsia"/>
          <w:color w:val="000000" w:themeColor="text1"/>
          <w:sz w:val="28"/>
          <w:szCs w:val="36"/>
          <w:highlight w:val="none"/>
          <w14:textFill>
            <w14:solidFill>
              <w14:schemeClr w14:val="tx1"/>
            </w14:solidFill>
          </w14:textFill>
        </w:rPr>
        <w:t>一、投标函及投标函附录</w:t>
      </w:r>
      <w:bookmarkEnd w:id="420"/>
      <w:bookmarkEnd w:id="421"/>
    </w:p>
    <w:p w14:paraId="36FF3C4F">
      <w:pPr>
        <w:rPr>
          <w:color w:val="000000" w:themeColor="text1"/>
          <w:highlight w:val="none"/>
          <w14:textFill>
            <w14:solidFill>
              <w14:schemeClr w14:val="tx1"/>
            </w14:solidFill>
          </w14:textFill>
        </w:rPr>
      </w:pPr>
      <w:bookmarkStart w:id="422" w:name="_Toc234382958"/>
    </w:p>
    <w:p w14:paraId="459EA61D">
      <w:pPr>
        <w:pStyle w:val="6"/>
        <w:spacing w:before="218" w:after="156"/>
        <w:jc w:val="center"/>
        <w:rPr>
          <w:color w:val="000000" w:themeColor="text1"/>
          <w:sz w:val="28"/>
          <w:szCs w:val="36"/>
          <w:highlight w:val="none"/>
          <w14:textFill>
            <w14:solidFill>
              <w14:schemeClr w14:val="tx1"/>
            </w14:solidFill>
          </w14:textFill>
        </w:rPr>
      </w:pPr>
      <w:bookmarkStart w:id="423" w:name="_Toc31866"/>
      <w:r>
        <w:rPr>
          <w:rFonts w:hint="eastAsia"/>
          <w:color w:val="000000" w:themeColor="text1"/>
          <w:sz w:val="28"/>
          <w:szCs w:val="36"/>
          <w:highlight w:val="none"/>
          <w14:textFill>
            <w14:solidFill>
              <w14:schemeClr w14:val="tx1"/>
            </w14:solidFill>
          </w14:textFill>
        </w:rPr>
        <w:t>（一）投  标  函</w:t>
      </w:r>
      <w:bookmarkEnd w:id="422"/>
      <w:bookmarkEnd w:id="423"/>
    </w:p>
    <w:p w14:paraId="3188AEDB">
      <w:pPr>
        <w:tabs>
          <w:tab w:val="left" w:pos="2520"/>
        </w:tabs>
        <w:spacing w:before="233" w:line="220"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u w:val="single"/>
          <w14:textFill>
            <w14:solidFill>
              <w14:schemeClr w14:val="tx1"/>
            </w14:solidFill>
          </w14:textFill>
        </w:rPr>
        <w:tab/>
      </w:r>
      <w:r>
        <w:rPr>
          <w:rFonts w:ascii="宋体" w:hAnsi="宋体" w:cs="宋体"/>
          <w:color w:val="000000" w:themeColor="text1"/>
          <w:spacing w:val="-1"/>
          <w:sz w:val="24"/>
          <w:highlight w:val="none"/>
          <w14:textFill>
            <w14:solidFill>
              <w14:schemeClr w14:val="tx1"/>
            </w14:solidFill>
          </w14:textFill>
        </w:rPr>
        <w:t>（招标人名称</w:t>
      </w:r>
      <w:r>
        <w:rPr>
          <w:rFonts w:ascii="宋体" w:hAnsi="宋体" w:cs="宋体"/>
          <w:color w:val="000000" w:themeColor="text1"/>
          <w:spacing w:val="2"/>
          <w:sz w:val="24"/>
          <w:highlight w:val="none"/>
          <w14:textFill>
            <w14:solidFill>
              <w14:schemeClr w14:val="tx1"/>
            </w14:solidFill>
          </w14:textFill>
        </w:rPr>
        <w:t>）：</w:t>
      </w:r>
    </w:p>
    <w:p w14:paraId="4A7A97E2">
      <w:pPr>
        <w:spacing w:before="181" w:line="325" w:lineRule="auto"/>
        <w:ind w:left="10" w:firstLine="49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1.我方已仔细研究</w:t>
      </w:r>
      <w:r>
        <w:rPr>
          <w:rFonts w:ascii="宋体" w:hAnsi="宋体" w:cs="宋体"/>
          <w:color w:val="000000" w:themeColor="text1"/>
          <w:spacing w:val="9"/>
          <w:sz w:val="24"/>
          <w:highlight w:val="none"/>
          <w:u w:val="single"/>
          <w14:textFill>
            <w14:solidFill>
              <w14:schemeClr w14:val="tx1"/>
            </w14:solidFill>
          </w14:textFill>
        </w:rPr>
        <w:t xml:space="preserve">           </w:t>
      </w:r>
      <w:r>
        <w:rPr>
          <w:rFonts w:ascii="宋体" w:hAnsi="宋体" w:cs="宋体"/>
          <w:color w:val="000000" w:themeColor="text1"/>
          <w:sz w:val="24"/>
          <w:highlight w:val="none"/>
          <w:u w:val="single"/>
          <w14:textFill>
            <w14:solidFill>
              <w14:schemeClr w14:val="tx1"/>
            </w14:solidFill>
          </w14:textFill>
        </w:rPr>
        <w:t>（项目名称</w:t>
      </w:r>
      <w:r>
        <w:rPr>
          <w:rFonts w:ascii="宋体" w:hAnsi="宋体" w:cs="宋体"/>
          <w:color w:val="000000" w:themeColor="text1"/>
          <w:spacing w:val="-17"/>
          <w:sz w:val="24"/>
          <w:highlight w:val="none"/>
          <w:u w:val="single"/>
          <w14:textFill>
            <w14:solidFill>
              <w14:schemeClr w14:val="tx1"/>
            </w14:solidFill>
          </w14:textFill>
        </w:rPr>
        <w:t>）</w:t>
      </w:r>
      <w:r>
        <w:rPr>
          <w:rFonts w:ascii="宋体" w:hAnsi="宋体" w:cs="宋体"/>
          <w:color w:val="000000" w:themeColor="text1"/>
          <w:spacing w:val="20"/>
          <w:sz w:val="24"/>
          <w:highlight w:val="none"/>
          <w:u w:val="single"/>
          <w14:textFill>
            <w14:solidFill>
              <w14:schemeClr w14:val="tx1"/>
            </w14:solidFill>
          </w14:textFill>
        </w:rPr>
        <w:t xml:space="preserve">    </w:t>
      </w:r>
      <w:r>
        <w:rPr>
          <w:rFonts w:ascii="宋体" w:hAnsi="宋体" w:cs="宋体"/>
          <w:color w:val="000000" w:themeColor="text1"/>
          <w:spacing w:val="-17"/>
          <w:sz w:val="24"/>
          <w:highlight w:val="none"/>
          <w:u w:val="singl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标类或标段）</w:t>
      </w:r>
      <w:r>
        <w:rPr>
          <w:rFonts w:ascii="宋体" w:hAnsi="宋体" w:cs="宋体"/>
          <w:color w:val="000000" w:themeColor="text1"/>
          <w:spacing w:val="-1"/>
          <w:sz w:val="24"/>
          <w:highlight w:val="none"/>
          <w14:textFill>
            <w14:solidFill>
              <w14:schemeClr w14:val="tx1"/>
            </w14:solidFill>
          </w14:textFill>
        </w:rPr>
        <w:t>施工招标文件</w:t>
      </w:r>
      <w:r>
        <w:rPr>
          <w:rFonts w:ascii="宋体" w:hAnsi="宋体" w:cs="宋体"/>
          <w:color w:val="000000" w:themeColor="text1"/>
          <w:spacing w:val="-2"/>
          <w:sz w:val="24"/>
          <w:highlight w:val="none"/>
          <w14:textFill>
            <w14:solidFill>
              <w14:schemeClr w14:val="tx1"/>
            </w14:solidFill>
          </w14:textFill>
        </w:rPr>
        <w:t>的全部内容（含补遗书，如有</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2"/>
          <w:sz w:val="24"/>
          <w:highlight w:val="none"/>
          <w:u w:val="single"/>
          <w14:textFill>
            <w14:solidFill>
              <w14:schemeClr w14:val="tx1"/>
            </w14:solidFill>
          </w14:textFill>
        </w:rPr>
        <w:t>在考察工程现场后（如有</w:t>
      </w:r>
      <w:r>
        <w:rPr>
          <w:rFonts w:ascii="宋体" w:hAnsi="宋体" w:cs="宋体"/>
          <w:color w:val="000000" w:themeColor="text1"/>
          <w:spacing w:val="2"/>
          <w:sz w:val="24"/>
          <w:highlight w:val="none"/>
          <w:u w:val="singl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愿意以第二个信封（报</w:t>
      </w:r>
      <w:r>
        <w:rPr>
          <w:rFonts w:ascii="宋体" w:hAnsi="宋体" w:cs="宋体"/>
          <w:color w:val="000000" w:themeColor="text1"/>
          <w:spacing w:val="-1"/>
          <w:sz w:val="24"/>
          <w:highlight w:val="none"/>
          <w14:textFill>
            <w14:solidFill>
              <w14:schemeClr w14:val="tx1"/>
            </w14:solidFill>
          </w14:textFill>
        </w:rPr>
        <w:t>价文件）中的投标总报价（或根据招标文件规定修正核实</w:t>
      </w:r>
      <w:r>
        <w:rPr>
          <w:rFonts w:ascii="宋体" w:hAnsi="宋体" w:cs="宋体"/>
          <w:color w:val="000000" w:themeColor="text1"/>
          <w:spacing w:val="-2"/>
          <w:sz w:val="24"/>
          <w:highlight w:val="none"/>
          <w14:textFill>
            <w14:solidFill>
              <w14:schemeClr w14:val="tx1"/>
            </w14:solidFill>
          </w14:textFill>
        </w:rPr>
        <w:t>后确定的另一金额</w:t>
      </w:r>
      <w:r>
        <w:rPr>
          <w:rFonts w:ascii="宋体" w:hAnsi="宋体" w:cs="宋体"/>
          <w:color w:val="000000" w:themeColor="text1"/>
          <w:spacing w:val="-7"/>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按合同</w:t>
      </w:r>
      <w:r>
        <w:rPr>
          <w:rFonts w:ascii="宋体" w:hAnsi="宋体" w:cs="宋体"/>
          <w:color w:val="000000" w:themeColor="text1"/>
          <w:spacing w:val="-1"/>
          <w:sz w:val="24"/>
          <w:highlight w:val="none"/>
          <w14:textFill>
            <w14:solidFill>
              <w14:schemeClr w14:val="tx1"/>
            </w14:solidFill>
          </w14:textFill>
        </w:rPr>
        <w:t>约定实施和完成承包工程，修补工程中的任何缺陷。</w:t>
      </w:r>
    </w:p>
    <w:p w14:paraId="03FE6F0C">
      <w:pPr>
        <w:spacing w:before="183" w:line="219" w:lineRule="auto"/>
        <w:ind w:left="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2.我方承诺在招标文件规定的投标有效期内不撤销投标文件。</w:t>
      </w:r>
    </w:p>
    <w:p w14:paraId="2E464401">
      <w:pPr>
        <w:spacing w:before="66" w:line="396" w:lineRule="auto"/>
        <w:ind w:left="494"/>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3.工程质量</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5"/>
          <w:sz w:val="24"/>
          <w:highlight w:val="none"/>
          <w14:textFill>
            <w14:solidFill>
              <w14:schemeClr w14:val="tx1"/>
            </w14:solidFill>
          </w14:textFill>
        </w:rPr>
        <w:t>安全目标</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91"/>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w:t>
      </w:r>
      <w:r>
        <w:rPr>
          <w:rFonts w:ascii="宋体" w:hAnsi="宋体" w:cs="宋体"/>
          <w:color w:val="000000" w:themeColor="text1"/>
          <w:spacing w:val="-5"/>
          <w:sz w:val="24"/>
          <w:highlight w:val="none"/>
          <w14:textFill>
            <w14:solidFill>
              <w14:schemeClr w14:val="tx1"/>
            </w14:solidFill>
          </w14:textFill>
        </w:rPr>
        <w:t>工期</w:t>
      </w:r>
      <w:r>
        <w:rPr>
          <w:rFonts w:ascii="宋体" w:hAnsi="宋体" w:cs="宋体"/>
          <w:color w:val="000000" w:themeColor="text1"/>
          <w:spacing w:val="-5"/>
          <w:sz w:val="24"/>
          <w:highlight w:val="none"/>
          <w:u w:val="single"/>
          <w14:textFill>
            <w14:solidFill>
              <w14:schemeClr w14:val="tx1"/>
            </w14:solidFill>
          </w14:textFill>
        </w:rPr>
        <w:t xml:space="preserve">     </w:t>
      </w:r>
      <w:r>
        <w:rPr>
          <w:rFonts w:ascii="宋体" w:hAnsi="宋体" w:cs="宋体"/>
          <w:color w:val="000000" w:themeColor="text1"/>
          <w:spacing w:val="-70"/>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日历天。</w:t>
      </w:r>
    </w:p>
    <w:p w14:paraId="515040CF">
      <w:pPr>
        <w:spacing w:before="69" w:line="219" w:lineRule="auto"/>
        <w:ind w:left="48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4.如我方中标，我方承诺：</w:t>
      </w:r>
    </w:p>
    <w:p w14:paraId="0E5CCB75">
      <w:pPr>
        <w:spacing w:before="183" w:line="219" w:lineRule="auto"/>
        <w:ind w:left="5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（1）在收到中标通知书后，在规定的期限内与你方签订合同；</w:t>
      </w:r>
    </w:p>
    <w:p w14:paraId="331EE1A9">
      <w:pPr>
        <w:spacing w:before="183" w:line="219" w:lineRule="auto"/>
        <w:ind w:left="5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（2）在签订合同时不向你方提出附件条件；</w:t>
      </w:r>
    </w:p>
    <w:p w14:paraId="229CE39E">
      <w:pPr>
        <w:spacing w:before="184" w:line="219" w:lineRule="auto"/>
        <w:ind w:left="5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（3）按照招标文件要求提交履约保证金；</w:t>
      </w:r>
    </w:p>
    <w:p w14:paraId="3E245187">
      <w:pPr>
        <w:spacing w:before="184" w:line="219" w:lineRule="auto"/>
        <w:ind w:left="5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（4）在合同约定的期限内完成合同规定的全部义务；</w:t>
      </w:r>
    </w:p>
    <w:p w14:paraId="77358DA6">
      <w:pPr>
        <w:spacing w:before="180" w:line="347" w:lineRule="auto"/>
        <w:ind w:left="11" w:right="1" w:firstLine="489"/>
        <w:rPr>
          <w:rFonts w:hint="eastAsia" w:ascii="宋体" w:hAnsi="宋体" w:cs="宋体"/>
          <w:color w:val="000000" w:themeColor="text1"/>
          <w:sz w:val="12"/>
          <w:szCs w:val="12"/>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（5）在你方和我方进行合同谈判之前，我方将按照合同附件提出的最低要求填报</w:t>
      </w:r>
      <w:r>
        <w:rPr>
          <w:rFonts w:ascii="宋体" w:hAnsi="宋体" w:cs="宋体"/>
          <w:color w:val="000000" w:themeColor="text1"/>
          <w:spacing w:val="-2"/>
          <w:sz w:val="24"/>
          <w:highlight w:val="none"/>
          <w14:textFill>
            <w14:solidFill>
              <w14:schemeClr w14:val="tx1"/>
            </w14:solidFill>
          </w14:textFill>
        </w:rPr>
        <w:t>派驻本标段的其他管理和技术人员及主要设备，经你方审批后作为派驻本标段的项目管理机构主要人员和主要设备且不进行更换。如我方拟派的人员和设备不满足合同附件要</w:t>
      </w:r>
      <w:r>
        <w:rPr>
          <w:rFonts w:ascii="宋体" w:hAnsi="宋体" w:cs="宋体"/>
          <w:color w:val="000000" w:themeColor="text1"/>
          <w:spacing w:val="-1"/>
          <w:sz w:val="24"/>
          <w:highlight w:val="none"/>
          <w14:textFill>
            <w14:solidFill>
              <w14:schemeClr w14:val="tx1"/>
            </w14:solidFill>
          </w14:textFill>
        </w:rPr>
        <w:t>求，你方有权取消我方中标资格。</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"bookmark343" </w:instrText>
      </w:r>
      <w:r>
        <w:rPr>
          <w:color w:val="000000" w:themeColor="text1"/>
          <w:highlight w:val="none"/>
          <w14:textFill>
            <w14:solidFill>
              <w14:schemeClr w14:val="tx1"/>
            </w14:solidFill>
          </w14:textFill>
        </w:rPr>
        <w:fldChar w:fldCharType="separate"/>
      </w:r>
      <w:r>
        <w:rPr>
          <w:rFonts w:ascii="宋体" w:hAnsi="宋体" w:cs="宋体"/>
          <w:color w:val="000000" w:themeColor="text1"/>
          <w:spacing w:val="-1"/>
          <w:position w:val="12"/>
          <w:sz w:val="12"/>
          <w:szCs w:val="12"/>
          <w:highlight w:val="none"/>
          <w14:textFill>
            <w14:solidFill>
              <w14:schemeClr w14:val="tx1"/>
            </w14:solidFill>
          </w14:textFill>
        </w:rPr>
        <w:t>②</w:t>
      </w:r>
      <w:r>
        <w:rPr>
          <w:rFonts w:ascii="宋体" w:hAnsi="宋体" w:cs="宋体"/>
          <w:color w:val="000000" w:themeColor="text1"/>
          <w:spacing w:val="-1"/>
          <w:position w:val="12"/>
          <w:sz w:val="12"/>
          <w:szCs w:val="12"/>
          <w:highlight w:val="none"/>
          <w14:textFill>
            <w14:solidFill>
              <w14:schemeClr w14:val="tx1"/>
            </w14:solidFill>
          </w14:textFill>
        </w:rPr>
        <w:fldChar w:fldCharType="end"/>
      </w:r>
    </w:p>
    <w:p w14:paraId="4EB73432">
      <w:pPr>
        <w:spacing w:before="71" w:line="289" w:lineRule="auto"/>
        <w:ind w:left="10"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5.我方在此声明，所递交的投标文件及有关资料内容完整、真实和准确，且不存在</w:t>
      </w:r>
      <w:r>
        <w:rPr>
          <w:rFonts w:ascii="宋体" w:hAnsi="宋体" w:cs="宋体"/>
          <w:color w:val="000000" w:themeColor="text1"/>
          <w:spacing w:val="-3"/>
          <w:sz w:val="24"/>
          <w:highlight w:val="none"/>
          <w14:textFill>
            <w14:solidFill>
              <w14:schemeClr w14:val="tx1"/>
            </w14:solidFill>
          </w14:textFill>
        </w:rPr>
        <w:t>招标文件第二章“投标人须知</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1.4.3</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项和第</w:t>
      </w:r>
      <w:r>
        <w:rPr>
          <w:rFonts w:ascii="宋体" w:hAnsi="宋体" w:cs="宋体"/>
          <w:color w:val="000000" w:themeColor="text1"/>
          <w:spacing w:val="-33"/>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1.4.4</w:t>
      </w:r>
      <w:r>
        <w:rPr>
          <w:rFonts w:ascii="宋体" w:hAnsi="宋体" w:cs="宋体"/>
          <w:color w:val="000000" w:themeColor="text1"/>
          <w:spacing w:val="-47"/>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项规定的</w:t>
      </w:r>
      <w:r>
        <w:rPr>
          <w:rFonts w:ascii="宋体" w:hAnsi="宋体" w:cs="宋体"/>
          <w:color w:val="000000" w:themeColor="text1"/>
          <w:spacing w:val="-4"/>
          <w:sz w:val="24"/>
          <w:highlight w:val="none"/>
          <w14:textFill>
            <w14:solidFill>
              <w14:schemeClr w14:val="tx1"/>
            </w14:solidFill>
          </w14:textFill>
        </w:rPr>
        <w:t>任何一种情形。</w:t>
      </w:r>
    </w:p>
    <w:p w14:paraId="5E1B16AB">
      <w:pPr>
        <w:spacing w:before="184" w:line="312" w:lineRule="auto"/>
        <w:ind w:left="8"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6.我方在此承诺：拟投入本项目的项目经理</w:t>
      </w:r>
      <w:r>
        <w:rPr>
          <w:rFonts w:ascii="宋体" w:hAnsi="宋体" w:cs="宋体"/>
          <w:color w:val="000000" w:themeColor="text1"/>
          <w:spacing w:val="-2"/>
          <w:sz w:val="24"/>
          <w:highlight w:val="none"/>
          <w:u w:val="single"/>
          <w14:textFill>
            <w14:solidFill>
              <w14:schemeClr w14:val="tx1"/>
            </w14:solidFill>
          </w14:textFill>
        </w:rPr>
        <w:t>（以及备选人，如有）</w:t>
      </w:r>
      <w:r>
        <w:rPr>
          <w:rFonts w:ascii="宋体" w:hAnsi="宋体" w:cs="宋体"/>
          <w:color w:val="000000" w:themeColor="text1"/>
          <w:spacing w:val="-2"/>
          <w:sz w:val="24"/>
          <w:highlight w:val="none"/>
          <w14:textFill>
            <w14:solidFill>
              <w14:schemeClr w14:val="tx1"/>
            </w14:solidFill>
          </w14:textFill>
        </w:rPr>
        <w:t>及项目总工</w:t>
      </w:r>
      <w:r>
        <w:rPr>
          <w:rFonts w:ascii="宋体" w:hAnsi="宋体" w:cs="宋体"/>
          <w:color w:val="000000" w:themeColor="text1"/>
          <w:spacing w:val="-2"/>
          <w:sz w:val="24"/>
          <w:highlight w:val="none"/>
          <w:u w:val="single"/>
          <w14:textFill>
            <w14:solidFill>
              <w14:schemeClr w14:val="tx1"/>
            </w14:solidFill>
          </w14:textFill>
        </w:rPr>
        <w:t>（以</w:t>
      </w:r>
      <w:r>
        <w:rPr>
          <w:rFonts w:ascii="宋体" w:hAnsi="宋体" w:cs="宋体"/>
          <w:color w:val="000000" w:themeColor="text1"/>
          <w:spacing w:val="-5"/>
          <w:sz w:val="24"/>
          <w:highlight w:val="none"/>
          <w:u w:val="single"/>
          <w14:textFill>
            <w14:solidFill>
              <w14:schemeClr w14:val="tx1"/>
            </w14:solidFill>
          </w14:textFill>
        </w:rPr>
        <w:t>及备选人，如有）</w:t>
      </w:r>
      <w:r>
        <w:rPr>
          <w:rFonts w:ascii="宋体" w:hAnsi="宋体" w:cs="宋体"/>
          <w:color w:val="000000" w:themeColor="text1"/>
          <w:spacing w:val="-5"/>
          <w:sz w:val="24"/>
          <w:highlight w:val="none"/>
          <w14:textFill>
            <w14:solidFill>
              <w14:schemeClr w14:val="tx1"/>
            </w14:solidFill>
          </w14:textFill>
        </w:rPr>
        <w:t>无在岗项目 (</w:t>
      </w:r>
      <w:r>
        <w:rPr>
          <w:rFonts w:ascii="宋体" w:hAnsi="宋体" w:cs="宋体"/>
          <w:color w:val="000000" w:themeColor="text1"/>
          <w:spacing w:val="-38"/>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w:t>
      </w:r>
      <w:r>
        <w:rPr>
          <w:rFonts w:ascii="宋体" w:hAnsi="宋体" w:cs="宋体"/>
          <w:color w:val="000000" w:themeColor="text1"/>
          <w:spacing w:val="-65"/>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目前未在其他项目上任职，□虽在其他项目上任职但</w:t>
      </w:r>
      <w:r>
        <w:rPr>
          <w:rFonts w:ascii="宋体" w:hAnsi="宋体" w:cs="宋体"/>
          <w:color w:val="000000" w:themeColor="text1"/>
          <w:sz w:val="24"/>
          <w:highlight w:val="none"/>
          <w14:textFill>
            <w14:solidFill>
              <w14:schemeClr w14:val="tx1"/>
            </w14:solidFill>
          </w14:textFill>
        </w:rPr>
        <w:t>本项目中标后能够从该项目撤离）,否则自愿按照招标人</w:t>
      </w:r>
      <w:r>
        <w:rPr>
          <w:rFonts w:ascii="宋体" w:hAnsi="宋体" w:cs="宋体"/>
          <w:color w:val="000000" w:themeColor="text1"/>
          <w:spacing w:val="-1"/>
          <w:sz w:val="24"/>
          <w:highlight w:val="none"/>
          <w14:textFill>
            <w14:solidFill>
              <w14:schemeClr w14:val="tx1"/>
            </w14:solidFill>
          </w14:textFill>
        </w:rPr>
        <w:t>的有关规定接受处理。</w:t>
      </w:r>
    </w:p>
    <w:p w14:paraId="25EEA6A4">
      <w:pPr>
        <w:spacing w:before="187" w:line="219" w:lineRule="auto"/>
        <w:ind w:left="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7.我方在此承诺：权利义务满足招标文件规定。</w:t>
      </w:r>
    </w:p>
    <w:p w14:paraId="79F06F47">
      <w:pPr>
        <w:spacing w:before="182" w:line="290" w:lineRule="auto"/>
        <w:ind w:left="10" w:right="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8.在合同协议书正式签署生效之前，本投标函连同你方的中标通知书将构成我们双</w:t>
      </w:r>
      <w:r>
        <w:rPr>
          <w:rFonts w:ascii="宋体" w:hAnsi="宋体" w:cs="宋体"/>
          <w:color w:val="000000" w:themeColor="text1"/>
          <w:spacing w:val="-1"/>
          <w:sz w:val="24"/>
          <w:highlight w:val="none"/>
          <w14:textFill>
            <w14:solidFill>
              <w14:schemeClr w14:val="tx1"/>
            </w14:solidFill>
          </w14:textFill>
        </w:rPr>
        <w:t>方之间共同遵守的文件，对双方具有约束力。</w:t>
      </w:r>
    </w:p>
    <w:p w14:paraId="5A41C7D6">
      <w:pPr>
        <w:spacing w:before="184" w:line="219" w:lineRule="auto"/>
        <w:ind w:left="490"/>
        <w:rPr>
          <w:rFonts w:hint="eastAsia" w:ascii="宋体" w:hAnsi="宋体" w:cs="宋体"/>
          <w:color w:val="000000" w:themeColor="text1"/>
          <w:sz w:val="24"/>
          <w:highlight w:val="none"/>
          <w14:textFill>
            <w14:solidFill>
              <w14:schemeClr w14:val="tx1"/>
            </w14:solidFill>
          </w14:textFill>
        </w:rPr>
      </w:pPr>
      <w:bookmarkStart w:id="424" w:name="bookmark342"/>
      <w:bookmarkEnd w:id="424"/>
      <w:bookmarkStart w:id="425" w:name="bookmark343"/>
      <w:bookmarkEnd w:id="425"/>
      <w:r>
        <w:rPr>
          <w:rFonts w:ascii="宋体" w:hAnsi="宋体" w:cs="宋体"/>
          <w:color w:val="000000" w:themeColor="text1"/>
          <w:sz w:val="24"/>
          <w:highlight w:val="none"/>
          <w14:textFill>
            <w14:solidFill>
              <w14:schemeClr w14:val="tx1"/>
            </w14:solidFill>
          </w14:textFill>
        </w:rPr>
        <w:t>9.</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（其他补充说明）。</w:t>
      </w:r>
    </w:p>
    <w:p w14:paraId="6FFBB5D5">
      <w:pPr>
        <w:pStyle w:val="3"/>
        <w:spacing w:line="360" w:lineRule="auto"/>
        <w:rPr>
          <w:rFonts w:hint="eastAsia" w:ascii="宋体" w:hAnsi="宋体" w:cs="宋体"/>
          <w:color w:val="000000" w:themeColor="text1"/>
          <w:sz w:val="24"/>
          <w:highlight w:val="none"/>
          <w14:textFill>
            <w14:solidFill>
              <w14:schemeClr w14:val="tx1"/>
            </w14:solidFill>
          </w14:textFill>
        </w:rPr>
      </w:pPr>
    </w:p>
    <w:p w14:paraId="533FFFD1">
      <w:pPr>
        <w:tabs>
          <w:tab w:val="left" w:pos="2977"/>
          <w:tab w:val="left" w:pos="3261"/>
        </w:tabs>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 标 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（盖单位章）</w:t>
      </w:r>
    </w:p>
    <w:p w14:paraId="78439ADA">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法定代表人或其委托代理人：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（签字或盖章）</w:t>
      </w:r>
    </w:p>
    <w:p w14:paraId="2C392AC9">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7EE14034">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网址：</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648C76F8">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电话：</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32B4E42D">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传真：</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557845A6">
      <w:pPr>
        <w:spacing w:line="360" w:lineRule="auto"/>
        <w:ind w:firstLine="3578" w:firstLineChars="149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邮政编码：</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6D071CF9">
      <w:pPr>
        <w:spacing w:line="360" w:lineRule="auto"/>
        <w:ind w:firstLine="5248" w:firstLineChars="2187"/>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4B525D7B">
      <w:pPr>
        <w:spacing w:line="360" w:lineRule="auto"/>
        <w:jc w:val="center"/>
        <w:rPr>
          <w:rStyle w:val="58"/>
          <w:color w:val="000000" w:themeColor="text1"/>
          <w:highlight w:val="none"/>
          <w14:textFill>
            <w14:solidFill>
              <w14:schemeClr w14:val="tx1"/>
            </w14:solidFill>
          </w14:textFill>
        </w:rPr>
      </w:pPr>
      <w:bookmarkStart w:id="426" w:name="_Toc234382959"/>
    </w:p>
    <w:p w14:paraId="1BFF4D1E">
      <w:pPr>
        <w:spacing w:line="360" w:lineRule="auto"/>
        <w:jc w:val="center"/>
        <w:rPr>
          <w:rStyle w:val="58"/>
          <w:color w:val="000000" w:themeColor="text1"/>
          <w:highlight w:val="none"/>
          <w14:textFill>
            <w14:solidFill>
              <w14:schemeClr w14:val="tx1"/>
            </w14:solidFill>
          </w14:textFill>
        </w:rPr>
      </w:pPr>
    </w:p>
    <w:p w14:paraId="3316519A">
      <w:pPr>
        <w:spacing w:line="360" w:lineRule="auto"/>
        <w:jc w:val="center"/>
        <w:rPr>
          <w:rStyle w:val="58"/>
          <w:color w:val="000000" w:themeColor="text1"/>
          <w:highlight w:val="none"/>
          <w14:textFill>
            <w14:solidFill>
              <w14:schemeClr w14:val="tx1"/>
            </w14:solidFill>
          </w14:textFill>
        </w:rPr>
      </w:pPr>
    </w:p>
    <w:p w14:paraId="211017C4">
      <w:pPr>
        <w:spacing w:line="360" w:lineRule="auto"/>
        <w:jc w:val="center"/>
        <w:rPr>
          <w:rStyle w:val="58"/>
          <w:color w:val="000000" w:themeColor="text1"/>
          <w:highlight w:val="none"/>
          <w14:textFill>
            <w14:solidFill>
              <w14:schemeClr w14:val="tx1"/>
            </w14:solidFill>
          </w14:textFill>
        </w:rPr>
      </w:pPr>
    </w:p>
    <w:p w14:paraId="569ADA75">
      <w:pPr>
        <w:spacing w:line="360" w:lineRule="auto"/>
        <w:jc w:val="center"/>
        <w:rPr>
          <w:rStyle w:val="58"/>
          <w:color w:val="000000" w:themeColor="text1"/>
          <w:highlight w:val="none"/>
          <w14:textFill>
            <w14:solidFill>
              <w14:schemeClr w14:val="tx1"/>
            </w14:solidFill>
          </w14:textFill>
        </w:rPr>
      </w:pPr>
    </w:p>
    <w:p w14:paraId="42F36B14">
      <w:pPr>
        <w:spacing w:line="360" w:lineRule="auto"/>
        <w:jc w:val="center"/>
        <w:rPr>
          <w:rStyle w:val="58"/>
          <w:color w:val="000000" w:themeColor="text1"/>
          <w:highlight w:val="none"/>
          <w14:textFill>
            <w14:solidFill>
              <w14:schemeClr w14:val="tx1"/>
            </w14:solidFill>
          </w14:textFill>
        </w:rPr>
      </w:pPr>
    </w:p>
    <w:p w14:paraId="7F11B348">
      <w:pPr>
        <w:spacing w:line="360" w:lineRule="auto"/>
        <w:jc w:val="center"/>
        <w:rPr>
          <w:rStyle w:val="58"/>
          <w:color w:val="000000" w:themeColor="text1"/>
          <w:highlight w:val="none"/>
          <w14:textFill>
            <w14:solidFill>
              <w14:schemeClr w14:val="tx1"/>
            </w14:solidFill>
          </w14:textFill>
        </w:rPr>
      </w:pPr>
    </w:p>
    <w:p w14:paraId="1926AEFD">
      <w:pPr>
        <w:spacing w:line="360" w:lineRule="auto"/>
        <w:jc w:val="center"/>
        <w:rPr>
          <w:rStyle w:val="58"/>
          <w:color w:val="000000" w:themeColor="text1"/>
          <w:highlight w:val="none"/>
          <w14:textFill>
            <w14:solidFill>
              <w14:schemeClr w14:val="tx1"/>
            </w14:solidFill>
          </w14:textFill>
        </w:rPr>
      </w:pPr>
    </w:p>
    <w:p w14:paraId="0BAC39ED">
      <w:pPr>
        <w:spacing w:line="360" w:lineRule="auto"/>
        <w:jc w:val="center"/>
        <w:rPr>
          <w:rStyle w:val="58"/>
          <w:color w:val="000000" w:themeColor="text1"/>
          <w:highlight w:val="none"/>
          <w14:textFill>
            <w14:solidFill>
              <w14:schemeClr w14:val="tx1"/>
            </w14:solidFill>
          </w14:textFill>
        </w:rPr>
      </w:pPr>
    </w:p>
    <w:p w14:paraId="62E1AD46">
      <w:pPr>
        <w:spacing w:line="360" w:lineRule="auto"/>
        <w:jc w:val="center"/>
        <w:rPr>
          <w:rStyle w:val="58"/>
          <w:color w:val="000000" w:themeColor="text1"/>
          <w:highlight w:val="none"/>
          <w14:textFill>
            <w14:solidFill>
              <w14:schemeClr w14:val="tx1"/>
            </w14:solidFill>
          </w14:textFill>
        </w:rPr>
      </w:pPr>
    </w:p>
    <w:p w14:paraId="4F39DAAB">
      <w:pPr>
        <w:spacing w:line="360" w:lineRule="auto"/>
        <w:jc w:val="center"/>
        <w:rPr>
          <w:rStyle w:val="58"/>
          <w:color w:val="000000" w:themeColor="text1"/>
          <w:highlight w:val="none"/>
          <w14:textFill>
            <w14:solidFill>
              <w14:schemeClr w14:val="tx1"/>
            </w14:solidFill>
          </w14:textFill>
        </w:rPr>
      </w:pPr>
    </w:p>
    <w:p w14:paraId="1567128B">
      <w:pPr>
        <w:spacing w:line="360" w:lineRule="auto"/>
        <w:jc w:val="center"/>
        <w:rPr>
          <w:rStyle w:val="58"/>
          <w:color w:val="000000" w:themeColor="text1"/>
          <w:highlight w:val="none"/>
          <w14:textFill>
            <w14:solidFill>
              <w14:schemeClr w14:val="tx1"/>
            </w14:solidFill>
          </w14:textFill>
        </w:rPr>
      </w:pPr>
    </w:p>
    <w:p w14:paraId="359779D2">
      <w:pPr>
        <w:spacing w:line="360" w:lineRule="auto"/>
        <w:jc w:val="center"/>
        <w:rPr>
          <w:rStyle w:val="58"/>
          <w:color w:val="000000" w:themeColor="text1"/>
          <w:highlight w:val="none"/>
          <w14:textFill>
            <w14:solidFill>
              <w14:schemeClr w14:val="tx1"/>
            </w14:solidFill>
          </w14:textFill>
        </w:rPr>
      </w:pPr>
    </w:p>
    <w:p w14:paraId="49F56B70">
      <w:pPr>
        <w:spacing w:line="360" w:lineRule="auto"/>
        <w:jc w:val="center"/>
        <w:rPr>
          <w:rStyle w:val="58"/>
          <w:color w:val="000000" w:themeColor="text1"/>
          <w:highlight w:val="none"/>
          <w14:textFill>
            <w14:solidFill>
              <w14:schemeClr w14:val="tx1"/>
            </w14:solidFill>
          </w14:textFill>
        </w:rPr>
      </w:pPr>
    </w:p>
    <w:p w14:paraId="20374226">
      <w:pPr>
        <w:spacing w:line="360" w:lineRule="auto"/>
        <w:jc w:val="center"/>
        <w:rPr>
          <w:rStyle w:val="58"/>
          <w:color w:val="000000" w:themeColor="text1"/>
          <w:highlight w:val="none"/>
          <w14:textFill>
            <w14:solidFill>
              <w14:schemeClr w14:val="tx1"/>
            </w14:solidFill>
          </w14:textFill>
        </w:rPr>
      </w:pPr>
    </w:p>
    <w:p w14:paraId="4462ABCC">
      <w:pPr>
        <w:spacing w:line="360" w:lineRule="auto"/>
        <w:jc w:val="center"/>
        <w:rPr>
          <w:rStyle w:val="58"/>
          <w:color w:val="000000" w:themeColor="text1"/>
          <w:highlight w:val="none"/>
          <w14:textFill>
            <w14:solidFill>
              <w14:schemeClr w14:val="tx1"/>
            </w14:solidFill>
          </w14:textFill>
        </w:rPr>
      </w:pPr>
    </w:p>
    <w:p w14:paraId="68D9FF3D">
      <w:pPr>
        <w:spacing w:line="360" w:lineRule="auto"/>
        <w:jc w:val="center"/>
        <w:rPr>
          <w:rStyle w:val="58"/>
          <w:color w:val="000000" w:themeColor="text1"/>
          <w:highlight w:val="none"/>
          <w14:textFill>
            <w14:solidFill>
              <w14:schemeClr w14:val="tx1"/>
            </w14:solidFill>
          </w14:textFill>
        </w:rPr>
      </w:pPr>
    </w:p>
    <w:p w14:paraId="2E3BF322">
      <w:pPr>
        <w:spacing w:line="360" w:lineRule="auto"/>
        <w:jc w:val="center"/>
        <w:rPr>
          <w:rStyle w:val="58"/>
          <w:color w:val="000000" w:themeColor="text1"/>
          <w:highlight w:val="none"/>
          <w14:textFill>
            <w14:solidFill>
              <w14:schemeClr w14:val="tx1"/>
            </w14:solidFill>
          </w14:textFill>
        </w:rPr>
      </w:pPr>
    </w:p>
    <w:p w14:paraId="2D3E4522">
      <w:pPr>
        <w:spacing w:line="360" w:lineRule="auto"/>
        <w:jc w:val="center"/>
        <w:rPr>
          <w:rStyle w:val="58"/>
          <w:color w:val="000000" w:themeColor="text1"/>
          <w:highlight w:val="none"/>
          <w14:textFill>
            <w14:solidFill>
              <w14:schemeClr w14:val="tx1"/>
            </w14:solidFill>
          </w14:textFill>
        </w:rPr>
      </w:pPr>
    </w:p>
    <w:p w14:paraId="270685C1">
      <w:pPr>
        <w:spacing w:line="360" w:lineRule="auto"/>
        <w:jc w:val="center"/>
        <w:rPr>
          <w:rStyle w:val="58"/>
          <w:color w:val="000000" w:themeColor="text1"/>
          <w:highlight w:val="none"/>
          <w14:textFill>
            <w14:solidFill>
              <w14:schemeClr w14:val="tx1"/>
            </w14:solidFill>
          </w14:textFill>
        </w:rPr>
      </w:pPr>
    </w:p>
    <w:p w14:paraId="6BD6B267">
      <w:pPr>
        <w:spacing w:line="360" w:lineRule="auto"/>
        <w:jc w:val="center"/>
        <w:rPr>
          <w:rStyle w:val="58"/>
          <w:color w:val="000000" w:themeColor="text1"/>
          <w:highlight w:val="none"/>
          <w14:textFill>
            <w14:solidFill>
              <w14:schemeClr w14:val="tx1"/>
            </w14:solidFill>
          </w14:textFill>
        </w:rPr>
      </w:pPr>
    </w:p>
    <w:p w14:paraId="439DD4D2">
      <w:pPr>
        <w:spacing w:line="360" w:lineRule="auto"/>
        <w:jc w:val="center"/>
        <w:rPr>
          <w:rStyle w:val="58"/>
          <w:color w:val="000000" w:themeColor="text1"/>
          <w:highlight w:val="none"/>
          <w14:textFill>
            <w14:solidFill>
              <w14:schemeClr w14:val="tx1"/>
            </w14:solidFill>
          </w14:textFill>
        </w:rPr>
      </w:pPr>
    </w:p>
    <w:p w14:paraId="18865A19">
      <w:pPr>
        <w:pStyle w:val="6"/>
        <w:numPr>
          <w:ilvl w:val="0"/>
          <w:numId w:val="6"/>
        </w:numPr>
        <w:spacing w:before="218" w:after="156"/>
        <w:jc w:val="center"/>
        <w:rPr>
          <w:color w:val="000000" w:themeColor="text1"/>
          <w:sz w:val="28"/>
          <w:szCs w:val="36"/>
          <w:highlight w:val="none"/>
          <w14:textFill>
            <w14:solidFill>
              <w14:schemeClr w14:val="tx1"/>
            </w14:solidFill>
          </w14:textFill>
        </w:rPr>
      </w:pPr>
      <w:bookmarkStart w:id="427" w:name="_Toc18474"/>
      <w:r>
        <w:rPr>
          <w:rFonts w:hint="eastAsia"/>
          <w:color w:val="000000" w:themeColor="text1"/>
          <w:sz w:val="28"/>
          <w:szCs w:val="36"/>
          <w:highlight w:val="none"/>
          <w14:textFill>
            <w14:solidFill>
              <w14:schemeClr w14:val="tx1"/>
            </w14:solidFill>
          </w14:textFill>
        </w:rPr>
        <w:t>投标函附录</w:t>
      </w:r>
      <w:bookmarkEnd w:id="426"/>
      <w:bookmarkEnd w:id="427"/>
    </w:p>
    <w:p w14:paraId="1BA5E71B">
      <w:pPr>
        <w:rPr>
          <w:color w:val="000000" w:themeColor="text1"/>
          <w:highlight w:val="none"/>
          <w14:textFill>
            <w14:solidFill>
              <w14:schemeClr w14:val="tx1"/>
            </w14:solidFill>
          </w14:textFill>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529"/>
        <w:gridCol w:w="1581"/>
        <w:gridCol w:w="3711"/>
        <w:gridCol w:w="1001"/>
      </w:tblGrid>
      <w:tr w14:paraId="760A89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40A58EC5">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2529" w:type="dxa"/>
            <w:vAlign w:val="center"/>
          </w:tcPr>
          <w:p w14:paraId="1CFA4C14">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条款名称</w:t>
            </w:r>
          </w:p>
        </w:tc>
        <w:tc>
          <w:tcPr>
            <w:tcW w:w="1581" w:type="dxa"/>
            <w:vAlign w:val="center"/>
          </w:tcPr>
          <w:p w14:paraId="289EA790">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合同条目号</w:t>
            </w:r>
          </w:p>
        </w:tc>
        <w:tc>
          <w:tcPr>
            <w:tcW w:w="3711" w:type="dxa"/>
            <w:vAlign w:val="center"/>
          </w:tcPr>
          <w:p w14:paraId="2C91F881">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约定内容</w:t>
            </w:r>
          </w:p>
        </w:tc>
        <w:tc>
          <w:tcPr>
            <w:tcW w:w="1001" w:type="dxa"/>
            <w:vAlign w:val="center"/>
          </w:tcPr>
          <w:p w14:paraId="5841D451">
            <w:pPr>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备注</w:t>
            </w:r>
          </w:p>
        </w:tc>
      </w:tr>
      <w:tr w14:paraId="3EC80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6091ABA7">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529" w:type="dxa"/>
            <w:vAlign w:val="center"/>
          </w:tcPr>
          <w:p w14:paraId="4FD1F0F6">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缺陷责任期</w:t>
            </w:r>
          </w:p>
        </w:tc>
        <w:tc>
          <w:tcPr>
            <w:tcW w:w="1581" w:type="dxa"/>
            <w:vAlign w:val="center"/>
          </w:tcPr>
          <w:p w14:paraId="5370518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1.1.4.5</w:t>
            </w:r>
          </w:p>
        </w:tc>
        <w:tc>
          <w:tcPr>
            <w:tcW w:w="3711" w:type="dxa"/>
            <w:vAlign w:val="center"/>
          </w:tcPr>
          <w:p w14:paraId="3EA6ACD2">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自实际交工日期起计算</w:t>
            </w:r>
            <w:r>
              <w:rPr>
                <w:rFonts w:hint="eastAsia" w:ascii="宋体" w:hAnsi="宋体" w:cs="宋体"/>
                <w:color w:val="000000" w:themeColor="text1"/>
                <w:sz w:val="24"/>
                <w:highlight w:val="none"/>
                <w:u w:val="singl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年</w:t>
            </w:r>
          </w:p>
        </w:tc>
        <w:tc>
          <w:tcPr>
            <w:tcW w:w="1001" w:type="dxa"/>
            <w:vAlign w:val="center"/>
          </w:tcPr>
          <w:p w14:paraId="30ECE2DC">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19A414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643B3E52">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529" w:type="dxa"/>
            <w:vAlign w:val="center"/>
          </w:tcPr>
          <w:p w14:paraId="2DB13A14">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逾期交工违约金</w:t>
            </w:r>
          </w:p>
        </w:tc>
        <w:tc>
          <w:tcPr>
            <w:tcW w:w="1581" w:type="dxa"/>
            <w:vAlign w:val="center"/>
          </w:tcPr>
          <w:p w14:paraId="3013892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11.5（3）</w:t>
            </w:r>
          </w:p>
        </w:tc>
        <w:tc>
          <w:tcPr>
            <w:tcW w:w="3711" w:type="dxa"/>
            <w:vAlign w:val="center"/>
          </w:tcPr>
          <w:p w14:paraId="7EA93C65">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1000</w:t>
            </w:r>
            <w:r>
              <w:rPr>
                <w:rFonts w:hint="eastAsia" w:ascii="宋体" w:hAnsi="宋体" w:cs="宋体"/>
                <w:color w:val="000000" w:themeColor="text1"/>
                <w:sz w:val="24"/>
                <w:highlight w:val="none"/>
                <w14:textFill>
                  <w14:solidFill>
                    <w14:schemeClr w14:val="tx1"/>
                  </w14:solidFill>
                </w14:textFill>
              </w:rPr>
              <w:t>元/天</w:t>
            </w:r>
          </w:p>
        </w:tc>
        <w:tc>
          <w:tcPr>
            <w:tcW w:w="1001" w:type="dxa"/>
            <w:vAlign w:val="center"/>
          </w:tcPr>
          <w:p w14:paraId="5F7A3B01">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8D7B6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7C59679E">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529" w:type="dxa"/>
            <w:vAlign w:val="center"/>
          </w:tcPr>
          <w:p w14:paraId="2B28D928">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逾期交工违约金限额</w:t>
            </w:r>
          </w:p>
        </w:tc>
        <w:tc>
          <w:tcPr>
            <w:tcW w:w="1581" w:type="dxa"/>
            <w:vAlign w:val="center"/>
          </w:tcPr>
          <w:p w14:paraId="127DA96F">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11.5（3）</w:t>
            </w:r>
          </w:p>
        </w:tc>
        <w:tc>
          <w:tcPr>
            <w:tcW w:w="3711" w:type="dxa"/>
            <w:vAlign w:val="center"/>
          </w:tcPr>
          <w:p w14:paraId="14EE0569">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lang w:val="en-US" w:eastAsia="zh-CN"/>
                <w14:textFill>
                  <w14:solidFill>
                    <w14:schemeClr w14:val="tx1"/>
                  </w14:solidFill>
                </w14:textFill>
              </w:rPr>
              <w:t>10</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%签约合同价</w:t>
            </w:r>
          </w:p>
        </w:tc>
        <w:tc>
          <w:tcPr>
            <w:tcW w:w="1001" w:type="dxa"/>
            <w:vAlign w:val="center"/>
          </w:tcPr>
          <w:p w14:paraId="6AB642FA">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DC46B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476333DC">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529" w:type="dxa"/>
            <w:vAlign w:val="center"/>
          </w:tcPr>
          <w:p w14:paraId="31AD92D9">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提前交工的奖金</w:t>
            </w:r>
          </w:p>
        </w:tc>
        <w:tc>
          <w:tcPr>
            <w:tcW w:w="1581" w:type="dxa"/>
            <w:vAlign w:val="center"/>
          </w:tcPr>
          <w:p w14:paraId="69C4504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11.6</w:t>
            </w:r>
          </w:p>
        </w:tc>
        <w:tc>
          <w:tcPr>
            <w:tcW w:w="3711" w:type="dxa"/>
            <w:vAlign w:val="center"/>
          </w:tcPr>
          <w:p w14:paraId="18399C94">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0</w:t>
            </w:r>
            <w:r>
              <w:rPr>
                <w:rFonts w:hint="eastAsia" w:ascii="宋体" w:hAnsi="宋体" w:cs="宋体"/>
                <w:color w:val="000000" w:themeColor="text1"/>
                <w:sz w:val="24"/>
                <w:highlight w:val="none"/>
                <w14:textFill>
                  <w14:solidFill>
                    <w14:schemeClr w14:val="tx1"/>
                  </w14:solidFill>
                </w14:textFill>
              </w:rPr>
              <w:t>元/天</w:t>
            </w:r>
          </w:p>
        </w:tc>
        <w:tc>
          <w:tcPr>
            <w:tcW w:w="1001" w:type="dxa"/>
            <w:vAlign w:val="center"/>
          </w:tcPr>
          <w:p w14:paraId="14D88A3B">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F32B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61799866">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529" w:type="dxa"/>
            <w:vAlign w:val="center"/>
          </w:tcPr>
          <w:p w14:paraId="72AC858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提前交工的奖金限额</w:t>
            </w:r>
          </w:p>
        </w:tc>
        <w:tc>
          <w:tcPr>
            <w:tcW w:w="1581" w:type="dxa"/>
            <w:vAlign w:val="center"/>
          </w:tcPr>
          <w:p w14:paraId="3316CA2B">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11.6</w:t>
            </w:r>
          </w:p>
        </w:tc>
        <w:tc>
          <w:tcPr>
            <w:tcW w:w="3711" w:type="dxa"/>
            <w:vAlign w:val="center"/>
          </w:tcPr>
          <w:p w14:paraId="5908E625">
            <w:pPr>
              <w:spacing w:line="360" w:lineRule="auto"/>
              <w:ind w:firstLine="28" w:firstLineChars="1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0 </w:t>
            </w:r>
            <w:r>
              <w:rPr>
                <w:rFonts w:hint="eastAsia" w:ascii="宋体" w:hAnsi="宋体" w:cs="宋体"/>
                <w:color w:val="000000" w:themeColor="text1"/>
                <w:sz w:val="24"/>
                <w:highlight w:val="none"/>
                <w14:textFill>
                  <w14:solidFill>
                    <w14:schemeClr w14:val="tx1"/>
                  </w14:solidFill>
                </w14:textFill>
              </w:rPr>
              <w:t>%签约合同价</w:t>
            </w:r>
          </w:p>
        </w:tc>
        <w:tc>
          <w:tcPr>
            <w:tcW w:w="1001" w:type="dxa"/>
            <w:vAlign w:val="center"/>
          </w:tcPr>
          <w:p w14:paraId="108996FC">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1749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402E814E">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529" w:type="dxa"/>
            <w:vAlign w:val="center"/>
          </w:tcPr>
          <w:p w14:paraId="4D947FA1">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因物价波动引起的价格调整</w:t>
            </w:r>
          </w:p>
        </w:tc>
        <w:tc>
          <w:tcPr>
            <w:tcW w:w="1581" w:type="dxa"/>
            <w:vAlign w:val="center"/>
          </w:tcPr>
          <w:p w14:paraId="0E3FFBE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w:t>
            </w:r>
          </w:p>
        </w:tc>
        <w:tc>
          <w:tcPr>
            <w:tcW w:w="3711" w:type="dxa"/>
            <w:vAlign w:val="center"/>
          </w:tcPr>
          <w:p w14:paraId="7743C2AF">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 因物价波动引起的价格调整按照</w:t>
            </w:r>
            <w:r>
              <w:rPr>
                <w:rFonts w:hint="eastAsia" w:ascii="宋体" w:hAnsi="宋体" w:cs="宋体"/>
                <w:color w:val="000000" w:themeColor="text1"/>
                <w:sz w:val="24"/>
                <w:highlight w:val="none"/>
                <w:u w:val="single"/>
                <w14:textFill>
                  <w14:solidFill>
                    <w14:schemeClr w14:val="tx1"/>
                  </w14:solidFill>
                </w14:textFill>
              </w:rPr>
              <w:t>第16.1.1项</w:t>
            </w:r>
            <w:r>
              <w:rPr>
                <w:rFonts w:hint="eastAsia" w:ascii="宋体" w:hAnsi="宋体" w:cs="宋体"/>
                <w:color w:val="000000" w:themeColor="text1"/>
                <w:sz w:val="24"/>
                <w:highlight w:val="none"/>
                <w14:textFill>
                  <w14:solidFill>
                    <w14:schemeClr w14:val="tx1"/>
                  </w14:solidFill>
                </w14:textFill>
              </w:rPr>
              <w:t>约定的原则处理</w:t>
            </w:r>
          </w:p>
          <w:p w14:paraId="7A66831B">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 合同期内不调价</w:t>
            </w:r>
          </w:p>
        </w:tc>
        <w:tc>
          <w:tcPr>
            <w:tcW w:w="1001" w:type="dxa"/>
            <w:vAlign w:val="center"/>
          </w:tcPr>
          <w:p w14:paraId="43878637">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60E110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17A1BEE5">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529" w:type="dxa"/>
            <w:vAlign w:val="center"/>
          </w:tcPr>
          <w:p w14:paraId="6CBD6AE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开工预付款金额</w:t>
            </w:r>
          </w:p>
        </w:tc>
        <w:tc>
          <w:tcPr>
            <w:tcW w:w="1581" w:type="dxa"/>
            <w:vAlign w:val="center"/>
          </w:tcPr>
          <w:p w14:paraId="2703EAD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17.2.1（1）</w:t>
            </w:r>
          </w:p>
        </w:tc>
        <w:tc>
          <w:tcPr>
            <w:tcW w:w="3711" w:type="dxa"/>
            <w:vAlign w:val="center"/>
          </w:tcPr>
          <w:p w14:paraId="6C177166">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10 </w:t>
            </w:r>
            <w:r>
              <w:rPr>
                <w:rFonts w:hint="eastAsia" w:ascii="宋体" w:hAnsi="宋体" w:cs="宋体"/>
                <w:color w:val="000000" w:themeColor="text1"/>
                <w:spacing w:val="12"/>
                <w:sz w:val="24"/>
                <w:highlight w:val="none"/>
                <w14:textFill>
                  <w14:solidFill>
                    <w14:schemeClr w14:val="tx1"/>
                  </w14:solidFill>
                </w14:textFill>
              </w:rPr>
              <w:t>%</w:t>
            </w:r>
            <w:r>
              <w:rPr>
                <w:rFonts w:hint="eastAsia" w:ascii="宋体" w:hAnsi="宋体" w:cs="宋体"/>
                <w:color w:val="000000" w:themeColor="text1"/>
                <w:spacing w:val="8"/>
                <w:sz w:val="24"/>
                <w:highlight w:val="none"/>
                <w14:textFill>
                  <w14:solidFill>
                    <w14:schemeClr w14:val="tx1"/>
                  </w14:solidFill>
                </w14:textFill>
              </w:rPr>
              <w:t>签约合同价</w:t>
            </w:r>
          </w:p>
        </w:tc>
        <w:tc>
          <w:tcPr>
            <w:tcW w:w="1001" w:type="dxa"/>
            <w:vAlign w:val="center"/>
          </w:tcPr>
          <w:p w14:paraId="6B42F059">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0A96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031A2074">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529" w:type="dxa"/>
            <w:vAlign w:val="center"/>
          </w:tcPr>
          <w:p w14:paraId="560029A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材料、设备预付款比例</w:t>
            </w:r>
          </w:p>
        </w:tc>
        <w:tc>
          <w:tcPr>
            <w:tcW w:w="1581" w:type="dxa"/>
            <w:vAlign w:val="center"/>
          </w:tcPr>
          <w:p w14:paraId="1F3458F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17.2.1（2）</w:t>
            </w:r>
          </w:p>
        </w:tc>
        <w:tc>
          <w:tcPr>
            <w:tcW w:w="3711" w:type="dxa"/>
            <w:vAlign w:val="center"/>
          </w:tcPr>
          <w:p w14:paraId="29D28601">
            <w:pPr>
              <w:spacing w:line="360" w:lineRule="auto"/>
              <w:ind w:firstLine="28" w:firstLineChars="1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等主要材料、设备单据所列费用的</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 %</w:t>
            </w:r>
          </w:p>
        </w:tc>
        <w:tc>
          <w:tcPr>
            <w:tcW w:w="1001" w:type="dxa"/>
            <w:vAlign w:val="center"/>
          </w:tcPr>
          <w:p w14:paraId="0C04E8FA">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44A015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7C7F87FC">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p>
        </w:tc>
        <w:tc>
          <w:tcPr>
            <w:tcW w:w="2529" w:type="dxa"/>
            <w:vAlign w:val="center"/>
          </w:tcPr>
          <w:p w14:paraId="68E9432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进度付款证书最低限额</w:t>
            </w:r>
          </w:p>
        </w:tc>
        <w:tc>
          <w:tcPr>
            <w:tcW w:w="1581" w:type="dxa"/>
            <w:vAlign w:val="center"/>
          </w:tcPr>
          <w:p w14:paraId="50103E62">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17.3.3(1)</w:t>
            </w:r>
          </w:p>
        </w:tc>
        <w:tc>
          <w:tcPr>
            <w:tcW w:w="3711" w:type="dxa"/>
            <w:vAlign w:val="center"/>
          </w:tcPr>
          <w:p w14:paraId="41D654D6">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50</w:t>
            </w:r>
            <w:r>
              <w:rPr>
                <w:rFonts w:hint="eastAsia" w:ascii="宋体" w:hAnsi="宋体" w:cs="宋体"/>
                <w:color w:val="000000" w:themeColor="text1"/>
                <w:sz w:val="24"/>
                <w:highlight w:val="none"/>
                <w14:textFill>
                  <w14:solidFill>
                    <w14:schemeClr w14:val="tx1"/>
                  </w14:solidFill>
                </w14:textFill>
              </w:rPr>
              <w:t>万元</w:t>
            </w:r>
          </w:p>
        </w:tc>
        <w:tc>
          <w:tcPr>
            <w:tcW w:w="1001" w:type="dxa"/>
            <w:vAlign w:val="center"/>
          </w:tcPr>
          <w:p w14:paraId="142A7002">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0CCC7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30C2BB29">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2529" w:type="dxa"/>
            <w:vAlign w:val="center"/>
          </w:tcPr>
          <w:p w14:paraId="7D4495A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逾期付款违约金的利率</w:t>
            </w:r>
          </w:p>
        </w:tc>
        <w:tc>
          <w:tcPr>
            <w:tcW w:w="1581" w:type="dxa"/>
            <w:vAlign w:val="center"/>
          </w:tcPr>
          <w:p w14:paraId="7DB86B75">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17.3.3(2)</w:t>
            </w:r>
          </w:p>
        </w:tc>
        <w:tc>
          <w:tcPr>
            <w:tcW w:w="3711" w:type="dxa"/>
            <w:vAlign w:val="center"/>
          </w:tcPr>
          <w:p w14:paraId="10EAF847">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szCs w:val="24"/>
                <w:highlight w:val="none"/>
                <w:u w:val="single" w:color="010101"/>
                <w14:textFill>
                  <w14:solidFill>
                    <w14:schemeClr w14:val="tx1"/>
                  </w14:solidFill>
                </w14:textFill>
              </w:rPr>
              <w:t xml:space="preserve"> 0 </w:t>
            </w:r>
            <w:r>
              <w:rPr>
                <w:rFonts w:hint="eastAsia" w:ascii="宋体" w:hAnsi="宋体" w:cs="宋体"/>
                <w:color w:val="000000" w:themeColor="text1"/>
                <w:spacing w:val="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/天</w:t>
            </w:r>
          </w:p>
        </w:tc>
        <w:tc>
          <w:tcPr>
            <w:tcW w:w="1001" w:type="dxa"/>
            <w:vAlign w:val="center"/>
          </w:tcPr>
          <w:p w14:paraId="13587CB9">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0280CF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8" w:hRule="atLeast"/>
          <w:jc w:val="center"/>
        </w:trPr>
        <w:tc>
          <w:tcPr>
            <w:tcW w:w="817" w:type="dxa"/>
            <w:vAlign w:val="center"/>
          </w:tcPr>
          <w:p w14:paraId="0727DBFF">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2529" w:type="dxa"/>
            <w:vAlign w:val="center"/>
          </w:tcPr>
          <w:p w14:paraId="53393EB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质量保证金金额</w:t>
            </w:r>
          </w:p>
        </w:tc>
        <w:tc>
          <w:tcPr>
            <w:tcW w:w="1581" w:type="dxa"/>
            <w:vAlign w:val="center"/>
          </w:tcPr>
          <w:p w14:paraId="52108D35">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17.4.1</w:t>
            </w:r>
          </w:p>
        </w:tc>
        <w:tc>
          <w:tcPr>
            <w:tcW w:w="3711" w:type="dxa"/>
            <w:vAlign w:val="center"/>
          </w:tcPr>
          <w:p w14:paraId="4BE042E5">
            <w:pPr>
              <w:spacing w:line="360" w:lineRule="auto"/>
              <w:ind w:firstLine="28" w:firstLineChars="1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质量保证金限额：</w:t>
            </w:r>
            <w:r>
              <w:rPr>
                <w:rFonts w:hint="eastAsia" w:ascii="宋体" w:hAnsi="宋体" w:cs="宋体"/>
                <w:color w:val="000000" w:themeColor="text1"/>
                <w:sz w:val="24"/>
                <w:highlight w:val="none"/>
                <w:u w:val="single"/>
                <w14:textFill>
                  <w14:solidFill>
                    <w14:schemeClr w14:val="tx1"/>
                  </w14:solidFill>
                </w14:textFill>
              </w:rPr>
              <w:t xml:space="preserve"> 3 </w:t>
            </w:r>
            <w:r>
              <w:rPr>
                <w:rFonts w:hint="eastAsia" w:ascii="宋体" w:hAnsi="宋体" w:cs="宋体"/>
                <w:color w:val="000000" w:themeColor="text1"/>
                <w:sz w:val="24"/>
                <w:highlight w:val="none"/>
                <w14:textFill>
                  <w14:solidFill>
                    <w14:schemeClr w14:val="tx1"/>
                  </w14:solidFill>
                </w14:textFill>
              </w:rPr>
              <w:t>%合同价格</w:t>
            </w:r>
          </w:p>
        </w:tc>
        <w:tc>
          <w:tcPr>
            <w:tcW w:w="1001" w:type="dxa"/>
            <w:vAlign w:val="center"/>
          </w:tcPr>
          <w:p w14:paraId="2193BE08">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4C19A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7DD05AB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2529" w:type="dxa"/>
            <w:vAlign w:val="center"/>
          </w:tcPr>
          <w:p w14:paraId="19B4D5EA">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保修期</w:t>
            </w:r>
          </w:p>
        </w:tc>
        <w:tc>
          <w:tcPr>
            <w:tcW w:w="1581" w:type="dxa"/>
            <w:vAlign w:val="center"/>
          </w:tcPr>
          <w:p w14:paraId="21C4FA3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19.7（1）</w:t>
            </w:r>
          </w:p>
        </w:tc>
        <w:tc>
          <w:tcPr>
            <w:tcW w:w="3711" w:type="dxa"/>
            <w:vAlign w:val="center"/>
          </w:tcPr>
          <w:p w14:paraId="38D3C3F7">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自本项目实际交工日期之日起计算</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5 </w:t>
            </w:r>
            <w:r>
              <w:rPr>
                <w:rFonts w:hint="eastAsia" w:ascii="宋体" w:hAnsi="宋体" w:cs="宋体"/>
                <w:color w:val="000000" w:themeColor="text1"/>
                <w:sz w:val="24"/>
                <w:highlight w:val="none"/>
                <w14:textFill>
                  <w14:solidFill>
                    <w14:schemeClr w14:val="tx1"/>
                  </w14:solidFill>
                </w14:textFill>
              </w:rPr>
              <w:t>年</w:t>
            </w:r>
          </w:p>
        </w:tc>
        <w:tc>
          <w:tcPr>
            <w:tcW w:w="1001" w:type="dxa"/>
            <w:vAlign w:val="center"/>
          </w:tcPr>
          <w:p w14:paraId="4709D581">
            <w:pPr>
              <w:spacing w:line="360" w:lineRule="auto"/>
              <w:jc w:val="center"/>
              <w:rPr>
                <w:rFonts w:hint="eastAsia" w:ascii="宋体" w:hAnsi="宋体" w:cs="宋体"/>
                <w:color w:val="000000" w:themeColor="text1"/>
                <w:sz w:val="24"/>
                <w:highlight w:val="none"/>
                <w14:textFill>
                  <w14:solidFill>
                    <w14:schemeClr w14:val="tx1"/>
                  </w14:solidFill>
                </w14:textFill>
              </w:rPr>
            </w:pPr>
          </w:p>
        </w:tc>
      </w:tr>
    </w:tbl>
    <w:p w14:paraId="5AD951E9">
      <w:pPr>
        <w:spacing w:line="360" w:lineRule="auto"/>
        <w:ind w:right="480" w:firstLine="3480" w:firstLineChars="14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3829125E">
      <w:pPr>
        <w:spacing w:line="360" w:lineRule="auto"/>
        <w:ind w:right="480"/>
        <w:rPr>
          <w:rFonts w:hint="eastAsia" w:ascii="宋体" w:hAnsi="宋体" w:cs="宋体"/>
          <w:color w:val="000000" w:themeColor="text1"/>
          <w:sz w:val="24"/>
          <w:highlight w:val="none"/>
          <w14:textFill>
            <w14:solidFill>
              <w14:schemeClr w14:val="tx1"/>
            </w14:solidFill>
          </w14:textFill>
        </w:rPr>
      </w:pPr>
    </w:p>
    <w:p w14:paraId="15A5FFBA">
      <w:pPr>
        <w:pStyle w:val="70"/>
        <w:rPr>
          <w:rFonts w:hint="eastAsia" w:ascii="宋体" w:hAnsi="宋体" w:cs="宋体"/>
          <w:color w:val="000000" w:themeColor="text1"/>
          <w:sz w:val="24"/>
          <w:highlight w:val="none"/>
          <w14:textFill>
            <w14:solidFill>
              <w14:schemeClr w14:val="tx1"/>
            </w14:solidFill>
          </w14:textFill>
        </w:rPr>
      </w:pPr>
    </w:p>
    <w:p w14:paraId="03936CD9">
      <w:pPr>
        <w:rPr>
          <w:rFonts w:hint="eastAsia" w:ascii="宋体" w:hAnsi="宋体" w:cs="宋体"/>
          <w:color w:val="000000" w:themeColor="text1"/>
          <w:sz w:val="24"/>
          <w:highlight w:val="none"/>
          <w14:textFill>
            <w14:solidFill>
              <w14:schemeClr w14:val="tx1"/>
            </w14:solidFill>
          </w14:textFill>
        </w:rPr>
      </w:pPr>
    </w:p>
    <w:p w14:paraId="23507AF1">
      <w:pPr>
        <w:pStyle w:val="70"/>
        <w:rPr>
          <w:rFonts w:hint="eastAsia" w:ascii="宋体" w:hAnsi="宋体" w:cs="宋体"/>
          <w:color w:val="000000" w:themeColor="text1"/>
          <w:sz w:val="24"/>
          <w:highlight w:val="none"/>
          <w14:textFill>
            <w14:solidFill>
              <w14:schemeClr w14:val="tx1"/>
            </w14:solidFill>
          </w14:textFill>
        </w:rPr>
      </w:pPr>
    </w:p>
    <w:p w14:paraId="4758E6E6">
      <w:pPr>
        <w:rPr>
          <w:rFonts w:hint="eastAsia" w:ascii="宋体" w:hAnsi="宋体" w:cs="宋体"/>
          <w:color w:val="000000" w:themeColor="text1"/>
          <w:sz w:val="24"/>
          <w:highlight w:val="none"/>
          <w14:textFill>
            <w14:solidFill>
              <w14:schemeClr w14:val="tx1"/>
            </w14:solidFill>
          </w14:textFill>
        </w:rPr>
      </w:pPr>
    </w:p>
    <w:p w14:paraId="5F3ACFBE">
      <w:pPr>
        <w:pStyle w:val="70"/>
        <w:rPr>
          <w:rFonts w:hint="eastAsia" w:ascii="宋体" w:hAnsi="宋体" w:cs="宋体"/>
          <w:color w:val="000000" w:themeColor="text1"/>
          <w:sz w:val="24"/>
          <w:highlight w:val="none"/>
          <w14:textFill>
            <w14:solidFill>
              <w14:schemeClr w14:val="tx1"/>
            </w14:solidFill>
          </w14:textFill>
        </w:rPr>
      </w:pPr>
    </w:p>
    <w:p w14:paraId="1CCE4173">
      <w:pPr>
        <w:pStyle w:val="5"/>
        <w:jc w:val="center"/>
        <w:rPr>
          <w:color w:val="000000" w:themeColor="text1"/>
          <w:sz w:val="28"/>
          <w:szCs w:val="36"/>
          <w:highlight w:val="none"/>
          <w14:textFill>
            <w14:solidFill>
              <w14:schemeClr w14:val="tx1"/>
            </w14:solidFill>
          </w14:textFill>
        </w:rPr>
      </w:pPr>
      <w:bookmarkStart w:id="428" w:name="_Toc234382961"/>
      <w:bookmarkStart w:id="429" w:name="_Toc3251"/>
      <w:r>
        <w:rPr>
          <w:rFonts w:hint="eastAsia"/>
          <w:color w:val="000000" w:themeColor="text1"/>
          <w:sz w:val="28"/>
          <w:szCs w:val="36"/>
          <w:highlight w:val="none"/>
          <w14:textFill>
            <w14:solidFill>
              <w14:schemeClr w14:val="tx1"/>
            </w14:solidFill>
          </w14:textFill>
        </w:rPr>
        <w:t>二、授权委托书</w:t>
      </w:r>
      <w:bookmarkEnd w:id="428"/>
      <w:r>
        <w:rPr>
          <w:rFonts w:hint="eastAsia"/>
          <w:color w:val="000000" w:themeColor="text1"/>
          <w:sz w:val="28"/>
          <w:szCs w:val="36"/>
          <w:highlight w:val="none"/>
          <w14:textFill>
            <w14:solidFill>
              <w14:schemeClr w14:val="tx1"/>
            </w14:solidFill>
          </w14:textFill>
        </w:rPr>
        <w:t>或法定代表人身份证明</w:t>
      </w:r>
      <w:bookmarkEnd w:id="429"/>
    </w:p>
    <w:p w14:paraId="2790CF57">
      <w:pPr>
        <w:pStyle w:val="6"/>
        <w:spacing w:before="218" w:after="156"/>
        <w:jc w:val="center"/>
        <w:rPr>
          <w:color w:val="000000" w:themeColor="text1"/>
          <w:sz w:val="28"/>
          <w:szCs w:val="36"/>
          <w:highlight w:val="none"/>
          <w14:textFill>
            <w14:solidFill>
              <w14:schemeClr w14:val="tx1"/>
            </w14:solidFill>
          </w14:textFill>
        </w:rPr>
      </w:pPr>
      <w:bookmarkStart w:id="430" w:name="_Toc30397"/>
      <w:bookmarkStart w:id="431" w:name="_Toc234382962"/>
      <w:r>
        <w:rPr>
          <w:rFonts w:hint="eastAsia"/>
          <w:color w:val="000000" w:themeColor="text1"/>
          <w:sz w:val="28"/>
          <w:szCs w:val="36"/>
          <w:highlight w:val="none"/>
          <w14:textFill>
            <w14:solidFill>
              <w14:schemeClr w14:val="tx1"/>
            </w14:solidFill>
          </w14:textFill>
        </w:rPr>
        <w:t>（一）授权委托书</w:t>
      </w:r>
      <w:bookmarkEnd w:id="430"/>
    </w:p>
    <w:p w14:paraId="54DAC689">
      <w:pPr>
        <w:spacing w:line="500" w:lineRule="exact"/>
        <w:rPr>
          <w:rFonts w:hint="eastAsia" w:ascii="宋体" w:hAnsi="宋体" w:cs="宋体"/>
          <w:color w:val="000000" w:themeColor="text1"/>
          <w:sz w:val="24"/>
          <w:highlight w:val="none"/>
          <w14:textFill>
            <w14:solidFill>
              <w14:schemeClr w14:val="tx1"/>
            </w14:solidFill>
          </w14:textFill>
        </w:rPr>
      </w:pPr>
    </w:p>
    <w:p w14:paraId="4B755641">
      <w:pPr>
        <w:spacing w:before="78" w:line="360" w:lineRule="auto"/>
        <w:ind w:left="8"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本人</w:t>
      </w:r>
      <w:r>
        <w:rPr>
          <w:rFonts w:ascii="宋体" w:hAnsi="宋体" w:cs="宋体"/>
          <w:color w:val="000000" w:themeColor="text1"/>
          <w:spacing w:val="-106"/>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（姓名）系</w:t>
      </w:r>
      <w:r>
        <w:rPr>
          <w:rFonts w:ascii="宋体" w:hAnsi="宋体" w:cs="宋体"/>
          <w:color w:val="000000" w:themeColor="text1"/>
          <w:spacing w:val="-120"/>
          <w:sz w:val="24"/>
          <w:highlight w:val="none"/>
          <w14:textFill>
            <w14:solidFill>
              <w14:schemeClr w14:val="tx1"/>
            </w14:solidFill>
          </w14:textFill>
        </w:rPr>
        <w:t xml:space="preserve"> </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（投标人名称）的法定代表人，现委</w:t>
      </w:r>
      <w:r>
        <w:rPr>
          <w:rFonts w:ascii="宋体" w:hAnsi="宋体" w:cs="宋体"/>
          <w:color w:val="000000" w:themeColor="text1"/>
          <w:spacing w:val="2"/>
          <w:sz w:val="24"/>
          <w:highlight w:val="none"/>
          <w14:textFill>
            <w14:solidFill>
              <w14:schemeClr w14:val="tx1"/>
            </w14:solidFill>
          </w14:textFill>
        </w:rPr>
        <w:t>托</w:t>
      </w:r>
      <w:r>
        <w:rPr>
          <w:rFonts w:ascii="宋体" w:hAnsi="宋体" w:cs="宋体"/>
          <w:color w:val="000000" w:themeColor="text1"/>
          <w:spacing w:val="-118"/>
          <w:sz w:val="24"/>
          <w:highlight w:val="non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（姓名）为我方代理</w:t>
      </w:r>
      <w:r>
        <w:rPr>
          <w:rFonts w:ascii="宋体" w:hAnsi="宋体" w:cs="宋体"/>
          <w:color w:val="000000" w:themeColor="text1"/>
          <w:spacing w:val="1"/>
          <w:sz w:val="24"/>
          <w:highlight w:val="none"/>
          <w14:textFill>
            <w14:solidFill>
              <w14:schemeClr w14:val="tx1"/>
            </w14:solidFill>
          </w14:textFill>
        </w:rPr>
        <w:t>人。代理人根据授权，以我方名义签署、澄清确认、</w:t>
      </w:r>
      <w:r>
        <w:rPr>
          <w:rFonts w:ascii="宋体" w:hAnsi="宋体" w:cs="宋体"/>
          <w:color w:val="000000" w:themeColor="text1"/>
          <w:spacing w:val="2"/>
          <w:sz w:val="24"/>
          <w:highlight w:val="none"/>
          <w14:textFill>
            <w14:solidFill>
              <w14:schemeClr w14:val="tx1"/>
            </w14:solidFill>
          </w14:textFill>
        </w:rPr>
        <w:t>递交、撤回、修改</w:t>
      </w:r>
      <w:r>
        <w:rPr>
          <w:rFonts w:hint="eastAsia"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（项目名称</w:t>
      </w:r>
      <w:r>
        <w:rPr>
          <w:rFonts w:ascii="宋体" w:hAnsi="宋体" w:cs="宋体"/>
          <w:color w:val="000000" w:themeColor="text1"/>
          <w:spacing w:val="-13"/>
          <w:sz w:val="24"/>
          <w:highlight w:val="none"/>
          <w:u w:val="single"/>
          <w14:textFill>
            <w14:solidFill>
              <w14:schemeClr w14:val="tx1"/>
            </w14:solidFill>
          </w14:textFill>
        </w:rPr>
        <w:t>）</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3"/>
          <w:sz w:val="24"/>
          <w:highlight w:val="none"/>
          <w:u w:val="single"/>
          <w14:textFill>
            <w14:solidFill>
              <w14:schemeClr w14:val="tx1"/>
            </w14:solidFill>
          </w14:textFill>
        </w:rPr>
        <w:t>（</w:t>
      </w:r>
      <w:r>
        <w:rPr>
          <w:rFonts w:ascii="宋体" w:hAnsi="宋体" w:cs="宋体"/>
          <w:color w:val="000000" w:themeColor="text1"/>
          <w:spacing w:val="2"/>
          <w:sz w:val="24"/>
          <w:highlight w:val="none"/>
          <w:u w:val="single"/>
          <w14:textFill>
            <w14:solidFill>
              <w14:schemeClr w14:val="tx1"/>
            </w14:solidFill>
          </w14:textFill>
        </w:rPr>
        <w:t>标类或标段）</w:t>
      </w:r>
      <w:r>
        <w:rPr>
          <w:rFonts w:ascii="宋体" w:hAnsi="宋体" w:cs="宋体"/>
          <w:color w:val="000000" w:themeColor="text1"/>
          <w:spacing w:val="2"/>
          <w:sz w:val="24"/>
          <w:highlight w:val="none"/>
          <w14:textFill>
            <w14:solidFill>
              <w14:schemeClr w14:val="tx1"/>
            </w14:solidFill>
          </w14:textFill>
        </w:rPr>
        <w:t>施工投标文件、</w:t>
      </w:r>
      <w:r>
        <w:rPr>
          <w:rFonts w:ascii="宋体" w:hAnsi="宋体" w:cs="宋体"/>
          <w:color w:val="000000" w:themeColor="text1"/>
          <w:spacing w:val="-1"/>
          <w:sz w:val="24"/>
          <w:highlight w:val="none"/>
          <w14:textFill>
            <w14:solidFill>
              <w14:schemeClr w14:val="tx1"/>
            </w14:solidFill>
          </w14:textFill>
        </w:rPr>
        <w:t>签订合同和处理有关事宜，其法律后果由我方承担。</w:t>
      </w:r>
    </w:p>
    <w:p w14:paraId="0D453870">
      <w:pPr>
        <w:spacing w:line="218"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委托期限：</w:t>
      </w:r>
      <w:r>
        <w:rPr>
          <w:rFonts w:ascii="宋体" w:hAnsi="宋体" w:cs="宋体"/>
          <w:color w:val="000000" w:themeColor="text1"/>
          <w:spacing w:val="-5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自本委托书签署之日起至投标有效期期满。</w:t>
      </w:r>
    </w:p>
    <w:p w14:paraId="151ACF25">
      <w:pPr>
        <w:spacing w:before="184" w:line="219"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代理人无转委托权。</w:t>
      </w:r>
    </w:p>
    <w:p w14:paraId="2DC20350">
      <w:pPr>
        <w:pStyle w:val="3"/>
        <w:spacing w:line="284" w:lineRule="auto"/>
        <w:rPr>
          <w:color w:val="000000" w:themeColor="text1"/>
          <w:highlight w:val="none"/>
          <w14:textFill>
            <w14:solidFill>
              <w14:schemeClr w14:val="tx1"/>
            </w14:solidFill>
          </w14:textFill>
        </w:rPr>
      </w:pPr>
    </w:p>
    <w:p w14:paraId="4E09CCD9">
      <w:pPr>
        <w:pStyle w:val="3"/>
        <w:spacing w:line="284" w:lineRule="auto"/>
        <w:rPr>
          <w:color w:val="000000" w:themeColor="text1"/>
          <w:highlight w:val="none"/>
          <w14:textFill>
            <w14:solidFill>
              <w14:schemeClr w14:val="tx1"/>
            </w14:solidFill>
          </w14:textFill>
        </w:rPr>
      </w:pPr>
    </w:p>
    <w:p w14:paraId="3E3DF4C9">
      <w:pPr>
        <w:spacing w:before="79" w:line="219" w:lineRule="auto"/>
        <w:ind w:left="50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附：法定代表人身份证扫描件及委托代理人身份证</w:t>
      </w:r>
      <w:r>
        <w:rPr>
          <w:rFonts w:ascii="宋体" w:hAnsi="宋体" w:cs="宋体"/>
          <w:color w:val="000000" w:themeColor="text1"/>
          <w:spacing w:val="-2"/>
          <w:sz w:val="24"/>
          <w:highlight w:val="none"/>
          <w14:textFill>
            <w14:solidFill>
              <w14:schemeClr w14:val="tx1"/>
            </w14:solidFill>
          </w14:textFill>
        </w:rPr>
        <w:t>扫描件。</w:t>
      </w:r>
    </w:p>
    <w:p w14:paraId="793050AB">
      <w:pPr>
        <w:spacing w:line="500" w:lineRule="exact"/>
        <w:rPr>
          <w:rFonts w:hint="eastAsia" w:ascii="宋体" w:hAnsi="宋体" w:cs="宋体"/>
          <w:color w:val="000000" w:themeColor="text1"/>
          <w:sz w:val="24"/>
          <w:highlight w:val="none"/>
          <w14:textFill>
            <w14:solidFill>
              <w14:schemeClr w14:val="tx1"/>
            </w14:solidFill>
          </w14:textFill>
        </w:rPr>
      </w:pPr>
    </w:p>
    <w:p w14:paraId="186A4F76">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投  标  人</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（盖单位章）</w:t>
      </w:r>
    </w:p>
    <w:p w14:paraId="4284B0B5">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（签字或盖章）</w:t>
      </w:r>
    </w:p>
    <w:p w14:paraId="0F0D4597">
      <w:pPr>
        <w:spacing w:line="500" w:lineRule="exac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身份证号码：</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480347C5">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委托代理人：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（签字或盖章）</w:t>
      </w:r>
    </w:p>
    <w:p w14:paraId="5EB1FBEE">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身份证号码：</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3B5540E6">
      <w:pPr>
        <w:spacing w:line="500" w:lineRule="exact"/>
        <w:rPr>
          <w:rFonts w:hint="eastAsia" w:ascii="宋体" w:hAnsi="宋体" w:cs="宋体"/>
          <w:color w:val="000000" w:themeColor="text1"/>
          <w:sz w:val="24"/>
          <w:highlight w:val="none"/>
          <w14:textFill>
            <w14:solidFill>
              <w14:schemeClr w14:val="tx1"/>
            </w14:solidFill>
          </w14:textFill>
        </w:rPr>
      </w:pPr>
    </w:p>
    <w:p w14:paraId="3B4D6ECE">
      <w:pPr>
        <w:spacing w:line="500" w:lineRule="exact"/>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68E9D446">
      <w:pPr>
        <w:spacing w:line="500" w:lineRule="exact"/>
        <w:rPr>
          <w:rFonts w:hint="eastAsia" w:ascii="宋体" w:hAnsi="宋体" w:cs="宋体"/>
          <w:color w:val="000000" w:themeColor="text1"/>
          <w:sz w:val="24"/>
          <w:highlight w:val="none"/>
          <w14:textFill>
            <w14:solidFill>
              <w14:schemeClr w14:val="tx1"/>
            </w14:solidFill>
          </w14:textFill>
        </w:rPr>
      </w:pPr>
    </w:p>
    <w:p w14:paraId="3944CAF7">
      <w:pPr>
        <w:rPr>
          <w:rFonts w:hint="eastAsia" w:ascii="宋体" w:hAnsi="宋体" w:cs="宋体"/>
          <w:color w:val="000000" w:themeColor="text1"/>
          <w:sz w:val="24"/>
          <w:highlight w:val="none"/>
          <w14:textFill>
            <w14:solidFill>
              <w14:schemeClr w14:val="tx1"/>
            </w14:solidFill>
          </w14:textFill>
        </w:rPr>
      </w:pPr>
    </w:p>
    <w:p w14:paraId="356EE224">
      <w:pPr>
        <w:spacing w:before="66" w:line="232" w:lineRule="auto"/>
        <w:ind w:left="7"/>
        <w:rPr>
          <w:rFonts w:hint="eastAsia" w:ascii="宋体" w:hAnsi="宋体" w:cs="宋体"/>
          <w:color w:val="000000" w:themeColor="text1"/>
          <w:sz w:val="20"/>
          <w:szCs w:val="20"/>
          <w:highlight w:val="none"/>
          <w14:textFill>
            <w14:solidFill>
              <w14:schemeClr w14:val="tx1"/>
            </w14:solidFill>
          </w14:textFill>
        </w:rPr>
      </w:pPr>
      <w:bookmarkStart w:id="432" w:name="_Toc453057211"/>
      <w:r>
        <w:rPr>
          <w:rFonts w:ascii="宋体" w:hAnsi="宋体" w:cs="宋体"/>
          <w:color w:val="000000" w:themeColor="text1"/>
          <w:sz w:val="20"/>
          <w:szCs w:val="20"/>
          <w:highlight w:val="none"/>
          <w14:textFill>
            <w14:solidFill>
              <w14:schemeClr w14:val="tx1"/>
            </w14:solidFill>
          </w14:textFill>
        </w:rPr>
        <w:t>注：</w:t>
      </w:r>
    </w:p>
    <w:p w14:paraId="48B6ADF6">
      <w:pPr>
        <w:spacing w:before="60" w:line="258" w:lineRule="auto"/>
        <w:ind w:left="18" w:right="2" w:firstLine="3"/>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10"/>
          <w:sz w:val="20"/>
          <w:szCs w:val="20"/>
          <w:highlight w:val="none"/>
          <w14:textFill>
            <w14:solidFill>
              <w14:schemeClr w14:val="tx1"/>
            </w14:solidFill>
          </w14:textFill>
        </w:rPr>
        <w:t>1.法定代表人和委托代理人必须在授权书上签名</w:t>
      </w:r>
      <w:r>
        <w:rPr>
          <w:rFonts w:hint="eastAsia" w:ascii="宋体" w:hAnsi="宋体" w:cs="宋体"/>
          <w:color w:val="000000" w:themeColor="text1"/>
          <w:spacing w:val="10"/>
          <w:sz w:val="20"/>
          <w:szCs w:val="20"/>
          <w:highlight w:val="none"/>
          <w:lang w:val="en-US" w:eastAsia="zh-CN"/>
          <w14:textFill>
            <w14:solidFill>
              <w14:schemeClr w14:val="tx1"/>
            </w14:solidFill>
          </w14:textFill>
        </w:rPr>
        <w:t>或盖章</w:t>
      </w:r>
      <w:r>
        <w:rPr>
          <w:rFonts w:ascii="宋体" w:hAnsi="宋体" w:cs="宋体"/>
          <w:color w:val="000000" w:themeColor="text1"/>
          <w:spacing w:val="10"/>
          <w:sz w:val="20"/>
          <w:szCs w:val="20"/>
          <w:highlight w:val="none"/>
          <w14:textFill>
            <w14:solidFill>
              <w14:schemeClr w14:val="tx1"/>
            </w14:solidFill>
          </w14:textFill>
        </w:rPr>
        <w:t>；如果由投标人的委托代理人签署投标文件，则不</w:t>
      </w:r>
      <w:r>
        <w:rPr>
          <w:rFonts w:ascii="宋体" w:hAnsi="宋体" w:cs="宋体"/>
          <w:color w:val="000000" w:themeColor="text1"/>
          <w:spacing w:val="8"/>
          <w:sz w:val="20"/>
          <w:szCs w:val="20"/>
          <w:highlight w:val="none"/>
          <w14:textFill>
            <w14:solidFill>
              <w14:schemeClr w14:val="tx1"/>
            </w14:solidFill>
          </w14:textFill>
        </w:rPr>
        <w:t>需提交（二）法定代表人身份证明。</w:t>
      </w:r>
    </w:p>
    <w:p w14:paraId="379FCB81">
      <w:pPr>
        <w:spacing w:before="65" w:line="227" w:lineRule="auto"/>
        <w:ind w:left="9"/>
        <w:rPr>
          <w:rFonts w:hint="eastAsia" w:ascii="宋体" w:hAnsi="宋体" w:cs="宋体"/>
          <w:color w:val="000000" w:themeColor="text1"/>
          <w:sz w:val="20"/>
          <w:szCs w:val="20"/>
          <w:highlight w:val="none"/>
          <w14:textFill>
            <w14:solidFill>
              <w14:schemeClr w14:val="tx1"/>
            </w14:solidFill>
          </w14:textFill>
        </w:rPr>
      </w:pPr>
      <w:r>
        <w:rPr>
          <w:rFonts w:ascii="宋体" w:hAnsi="宋体" w:cs="宋体"/>
          <w:color w:val="000000" w:themeColor="text1"/>
          <w:spacing w:val="9"/>
          <w:sz w:val="20"/>
          <w:szCs w:val="20"/>
          <w:highlight w:val="none"/>
          <w14:textFill>
            <w14:solidFill>
              <w14:schemeClr w14:val="tx1"/>
            </w14:solidFill>
          </w14:textFill>
        </w:rPr>
        <w:t>2.以联合体形式投标的，本授权委托书应由联合体牵头人的法定代表人按上述规定签署。</w:t>
      </w:r>
    </w:p>
    <w:p w14:paraId="32C3BD59">
      <w:pPr>
        <w:pStyle w:val="55"/>
        <w:jc w:val="center"/>
        <w:rPr>
          <w:rStyle w:val="58"/>
          <w:color w:val="000000" w:themeColor="text1"/>
          <w:highlight w:val="none"/>
          <w14:textFill>
            <w14:solidFill>
              <w14:schemeClr w14:val="tx1"/>
            </w14:solidFill>
          </w14:textFill>
        </w:rPr>
      </w:pPr>
    </w:p>
    <w:p w14:paraId="4E00110C">
      <w:pPr>
        <w:pStyle w:val="55"/>
        <w:jc w:val="center"/>
        <w:rPr>
          <w:rStyle w:val="58"/>
          <w:color w:val="000000" w:themeColor="text1"/>
          <w:highlight w:val="none"/>
          <w14:textFill>
            <w14:solidFill>
              <w14:schemeClr w14:val="tx1"/>
            </w14:solidFill>
          </w14:textFill>
        </w:rPr>
      </w:pPr>
    </w:p>
    <w:p w14:paraId="354F3951">
      <w:pPr>
        <w:pStyle w:val="55"/>
        <w:jc w:val="center"/>
        <w:rPr>
          <w:rStyle w:val="58"/>
          <w:color w:val="000000" w:themeColor="text1"/>
          <w:highlight w:val="none"/>
          <w14:textFill>
            <w14:solidFill>
              <w14:schemeClr w14:val="tx1"/>
            </w14:solidFill>
          </w14:textFill>
        </w:rPr>
      </w:pPr>
    </w:p>
    <w:p w14:paraId="6ABF92D1">
      <w:pPr>
        <w:pStyle w:val="55"/>
        <w:jc w:val="center"/>
        <w:rPr>
          <w:rStyle w:val="58"/>
          <w:color w:val="000000" w:themeColor="text1"/>
          <w:highlight w:val="none"/>
          <w14:textFill>
            <w14:solidFill>
              <w14:schemeClr w14:val="tx1"/>
            </w14:solidFill>
          </w14:textFill>
        </w:rPr>
      </w:pPr>
    </w:p>
    <w:p w14:paraId="1D1BE96D">
      <w:pPr>
        <w:pStyle w:val="55"/>
        <w:jc w:val="center"/>
        <w:rPr>
          <w:rStyle w:val="58"/>
          <w:color w:val="000000" w:themeColor="text1"/>
          <w:highlight w:val="none"/>
          <w14:textFill>
            <w14:solidFill>
              <w14:schemeClr w14:val="tx1"/>
            </w14:solidFill>
          </w14:textFill>
        </w:rPr>
      </w:pPr>
    </w:p>
    <w:p w14:paraId="170D9B6D">
      <w:pPr>
        <w:pStyle w:val="6"/>
        <w:spacing w:before="218" w:after="156"/>
        <w:jc w:val="center"/>
        <w:rPr>
          <w:color w:val="000000" w:themeColor="text1"/>
          <w:sz w:val="28"/>
          <w:szCs w:val="36"/>
          <w:highlight w:val="none"/>
          <w14:textFill>
            <w14:solidFill>
              <w14:schemeClr w14:val="tx1"/>
            </w14:solidFill>
          </w14:textFill>
        </w:rPr>
      </w:pPr>
      <w:bookmarkStart w:id="433" w:name="_Toc18013"/>
      <w:r>
        <w:rPr>
          <w:rFonts w:hint="eastAsia"/>
          <w:color w:val="000000" w:themeColor="text1"/>
          <w:sz w:val="28"/>
          <w:szCs w:val="36"/>
          <w:highlight w:val="none"/>
          <w14:textFill>
            <w14:solidFill>
              <w14:schemeClr w14:val="tx1"/>
            </w14:solidFill>
          </w14:textFill>
        </w:rPr>
        <w:t>（二）</w:t>
      </w:r>
      <w:bookmarkEnd w:id="432"/>
      <w:r>
        <w:rPr>
          <w:rFonts w:hint="eastAsia"/>
          <w:color w:val="000000" w:themeColor="text1"/>
          <w:sz w:val="28"/>
          <w:szCs w:val="36"/>
          <w:highlight w:val="none"/>
          <w14:textFill>
            <w14:solidFill>
              <w14:schemeClr w14:val="tx1"/>
            </w14:solidFill>
          </w14:textFill>
        </w:rPr>
        <w:t>法定代表人身份证明</w:t>
      </w:r>
      <w:bookmarkEnd w:id="433"/>
    </w:p>
    <w:p w14:paraId="36D1D487">
      <w:pPr>
        <w:spacing w:line="500" w:lineRule="exact"/>
        <w:rPr>
          <w:rFonts w:hint="eastAsia" w:ascii="宋体" w:hAnsi="宋体" w:cs="宋体"/>
          <w:color w:val="000000" w:themeColor="text1"/>
          <w:sz w:val="24"/>
          <w:highlight w:val="none"/>
          <w14:textFill>
            <w14:solidFill>
              <w14:schemeClr w14:val="tx1"/>
            </w14:solidFill>
          </w14:textFill>
        </w:rPr>
      </w:pPr>
    </w:p>
    <w:p w14:paraId="103EFB56">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p w14:paraId="2BD75B13">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r>
        <w:rPr>
          <w:rFonts w:hint="eastAsia" w:ascii="宋体" w:hAnsi="宋体" w:cs="宋体"/>
          <w:strike/>
          <w:color w:val="000000" w:themeColor="text1"/>
          <w:sz w:val="24"/>
          <w:highlight w:val="none"/>
          <w:vertAlign w:val="subscript"/>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594F08A7">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（法定代表人签名</w:t>
      </w:r>
      <w:r>
        <w:rPr>
          <w:rFonts w:hint="eastAsia" w:ascii="宋体" w:hAnsi="宋体" w:cs="宋体"/>
          <w:color w:val="000000" w:themeColor="text1"/>
          <w:sz w:val="24"/>
          <w:highlight w:val="none"/>
          <w:lang w:val="en-US" w:eastAsia="zh-CN"/>
          <w14:textFill>
            <w14:solidFill>
              <w14:schemeClr w14:val="tx1"/>
            </w14:solidFill>
          </w14:textFill>
        </w:rPr>
        <w:t>或盖章</w:t>
      </w:r>
      <w:r>
        <w:rPr>
          <w:rFonts w:hint="eastAsia" w:ascii="宋体" w:hAnsi="宋体" w:cs="宋体"/>
          <w:color w:val="000000" w:themeColor="text1"/>
          <w:sz w:val="24"/>
          <w:highlight w:val="none"/>
          <w14:textFill>
            <w14:solidFill>
              <w14:schemeClr w14:val="tx1"/>
            </w14:solidFill>
          </w14:textFill>
        </w:rPr>
        <w:t>）性别：</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年龄：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职务：</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ab/>
      </w:r>
    </w:p>
    <w:p w14:paraId="490EE43E">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（投标人名称）的法定代表人。</w:t>
      </w:r>
    </w:p>
    <w:p w14:paraId="644C8F74">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0D0C3CAD">
      <w:pPr>
        <w:spacing w:line="360" w:lineRule="auto"/>
        <w:rPr>
          <w:rFonts w:hint="eastAsia" w:ascii="宋体" w:hAnsi="宋体" w:cs="宋体"/>
          <w:color w:val="000000" w:themeColor="text1"/>
          <w:sz w:val="24"/>
          <w:highlight w:val="none"/>
          <w14:textFill>
            <w14:solidFill>
              <w14:schemeClr w14:val="tx1"/>
            </w14:solidFill>
          </w14:textFill>
        </w:rPr>
      </w:pPr>
    </w:p>
    <w:p w14:paraId="2FEB2B04">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附：法定代表人身份证扫描件。</w:t>
      </w:r>
    </w:p>
    <w:p w14:paraId="2FC7DA5D">
      <w:pPr>
        <w:pStyle w:val="3"/>
        <w:rPr>
          <w:rFonts w:hint="eastAsia" w:ascii="宋体" w:hAnsi="宋体" w:cs="宋体"/>
          <w:color w:val="000000" w:themeColor="text1"/>
          <w:sz w:val="20"/>
          <w:highlight w:val="none"/>
          <w14:textFill>
            <w14:solidFill>
              <w14:schemeClr w14:val="tx1"/>
            </w14:solidFill>
          </w14:textFill>
        </w:rPr>
      </w:pPr>
    </w:p>
    <w:p w14:paraId="79F2B234">
      <w:pPr>
        <w:pStyle w:val="3"/>
        <w:spacing w:before="3"/>
        <w:rPr>
          <w:rFonts w:hint="eastAsia" w:ascii="宋体" w:hAnsi="宋体" w:cs="宋体"/>
          <w:color w:val="000000" w:themeColor="text1"/>
          <w:sz w:val="28"/>
          <w:highlight w:val="none"/>
          <w14:textFill>
            <w14:solidFill>
              <w14:schemeClr w14:val="tx1"/>
            </w14:solidFill>
          </w14:textFill>
        </w:rPr>
      </w:pPr>
    </w:p>
    <w:p w14:paraId="780E3FAB">
      <w:pPr>
        <w:tabs>
          <w:tab w:val="left" w:pos="6918"/>
        </w:tabs>
        <w:spacing w:before="75"/>
        <w:ind w:left="4398"/>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（盖单位章）</w:t>
      </w:r>
    </w:p>
    <w:p w14:paraId="05D4FA83">
      <w:pPr>
        <w:tabs>
          <w:tab w:val="left" w:pos="6558"/>
          <w:tab w:val="left" w:pos="7278"/>
          <w:tab w:val="left" w:pos="7998"/>
        </w:tabs>
        <w:spacing w:before="113"/>
        <w:ind w:left="5598"/>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日</w:t>
      </w:r>
    </w:p>
    <w:p w14:paraId="1519563D">
      <w:pPr>
        <w:spacing w:line="500" w:lineRule="exact"/>
        <w:rPr>
          <w:rFonts w:hint="eastAsia" w:ascii="宋体" w:hAnsi="宋体" w:cs="宋体"/>
          <w:color w:val="000000" w:themeColor="text1"/>
          <w:sz w:val="24"/>
          <w:highlight w:val="none"/>
          <w14:textFill>
            <w14:solidFill>
              <w14:schemeClr w14:val="tx1"/>
            </w14:solidFill>
          </w14:textFill>
        </w:rPr>
      </w:pPr>
    </w:p>
    <w:p w14:paraId="1541EC56">
      <w:pPr>
        <w:spacing w:line="500" w:lineRule="exact"/>
        <w:rPr>
          <w:rFonts w:hint="eastAsia" w:ascii="宋体" w:hAnsi="宋体" w:cs="宋体"/>
          <w:color w:val="000000" w:themeColor="text1"/>
          <w:sz w:val="24"/>
          <w:highlight w:val="none"/>
          <w14:textFill>
            <w14:solidFill>
              <w14:schemeClr w14:val="tx1"/>
            </w14:solidFill>
          </w14:textFill>
        </w:rPr>
      </w:pPr>
    </w:p>
    <w:p w14:paraId="3B126CB6">
      <w:pPr>
        <w:rPr>
          <w:rFonts w:hint="eastAsia" w:ascii="宋体" w:hAnsi="宋体" w:cs="宋体"/>
          <w:color w:val="000000" w:themeColor="text1"/>
          <w:sz w:val="24"/>
          <w:highlight w:val="none"/>
          <w14:textFill>
            <w14:solidFill>
              <w14:schemeClr w14:val="tx1"/>
            </w14:solidFill>
          </w14:textFill>
        </w:rPr>
      </w:pPr>
    </w:p>
    <w:p w14:paraId="3928A49F">
      <w:pPr>
        <w:spacing w:line="400" w:lineRule="exact"/>
        <w:rPr>
          <w:rFonts w:hint="eastAsia" w:ascii="宋体" w:hAnsi="宋体" w:cs="宋体"/>
          <w:color w:val="000000" w:themeColor="text1"/>
          <w:sz w:val="24"/>
          <w:highlight w:val="none"/>
          <w14:textFill>
            <w14:solidFill>
              <w14:schemeClr w14:val="tx1"/>
            </w14:solidFill>
          </w14:textFill>
        </w:rPr>
      </w:pPr>
    </w:p>
    <w:p w14:paraId="225CA3C5">
      <w:pPr>
        <w:spacing w:line="400" w:lineRule="exact"/>
        <w:rPr>
          <w:rFonts w:hint="eastAsia" w:ascii="宋体" w:hAnsi="宋体" w:cs="宋体"/>
          <w:color w:val="000000" w:themeColor="text1"/>
          <w:sz w:val="24"/>
          <w:highlight w:val="none"/>
          <w14:textFill>
            <w14:solidFill>
              <w14:schemeClr w14:val="tx1"/>
            </w14:solidFill>
          </w14:textFill>
        </w:rPr>
      </w:pPr>
    </w:p>
    <w:p w14:paraId="06CE5D1E">
      <w:pPr>
        <w:spacing w:line="400" w:lineRule="exact"/>
        <w:rPr>
          <w:rFonts w:hint="eastAsia" w:ascii="宋体" w:hAnsi="宋体" w:cs="宋体"/>
          <w:color w:val="000000" w:themeColor="text1"/>
          <w:sz w:val="24"/>
          <w:highlight w:val="none"/>
          <w14:textFill>
            <w14:solidFill>
              <w14:schemeClr w14:val="tx1"/>
            </w14:solidFill>
          </w14:textFill>
        </w:rPr>
      </w:pPr>
    </w:p>
    <w:p w14:paraId="6706DB4D">
      <w:pPr>
        <w:spacing w:line="400" w:lineRule="exact"/>
        <w:rPr>
          <w:rFonts w:hint="eastAsia" w:ascii="宋体" w:hAnsi="宋体" w:cs="宋体"/>
          <w:color w:val="000000" w:themeColor="text1"/>
          <w:sz w:val="24"/>
          <w:highlight w:val="none"/>
          <w14:textFill>
            <w14:solidFill>
              <w14:schemeClr w14:val="tx1"/>
            </w14:solidFill>
          </w14:textFill>
        </w:rPr>
      </w:pPr>
    </w:p>
    <w:p w14:paraId="6B9A058A">
      <w:pPr>
        <w:spacing w:line="400" w:lineRule="exact"/>
        <w:rPr>
          <w:rFonts w:hint="eastAsia" w:ascii="宋体" w:hAnsi="宋体" w:cs="宋体"/>
          <w:color w:val="000000" w:themeColor="text1"/>
          <w:sz w:val="24"/>
          <w:highlight w:val="none"/>
          <w14:textFill>
            <w14:solidFill>
              <w14:schemeClr w14:val="tx1"/>
            </w14:solidFill>
          </w14:textFill>
        </w:rPr>
      </w:pPr>
    </w:p>
    <w:p w14:paraId="226F7632">
      <w:pPr>
        <w:spacing w:line="400" w:lineRule="exact"/>
        <w:rPr>
          <w:rFonts w:hint="eastAsia" w:ascii="宋体" w:hAnsi="宋体" w:cs="宋体"/>
          <w:color w:val="000000" w:themeColor="text1"/>
          <w:sz w:val="24"/>
          <w:highlight w:val="none"/>
          <w14:textFill>
            <w14:solidFill>
              <w14:schemeClr w14:val="tx1"/>
            </w14:solidFill>
          </w14:textFill>
        </w:rPr>
      </w:pPr>
    </w:p>
    <w:p w14:paraId="7BBF0EC9">
      <w:pPr>
        <w:spacing w:line="400" w:lineRule="exact"/>
        <w:rPr>
          <w:rFonts w:hint="eastAsia" w:ascii="宋体" w:hAnsi="宋体" w:cs="宋体"/>
          <w:color w:val="000000" w:themeColor="text1"/>
          <w:sz w:val="24"/>
          <w:highlight w:val="none"/>
          <w14:textFill>
            <w14:solidFill>
              <w14:schemeClr w14:val="tx1"/>
            </w14:solidFill>
          </w14:textFill>
        </w:rPr>
      </w:pPr>
    </w:p>
    <w:p w14:paraId="1A111E3F">
      <w:pPr>
        <w:spacing w:line="360" w:lineRule="auto"/>
        <w:rPr>
          <w:rFonts w:hint="eastAsia"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注：法定代表人必须在法定代表人身份证明上签名</w:t>
      </w:r>
      <w:r>
        <w:rPr>
          <w:rFonts w:hint="eastAsia" w:ascii="宋体" w:hAnsi="宋体" w:cs="宋体"/>
          <w:color w:val="000000" w:themeColor="text1"/>
          <w:sz w:val="22"/>
          <w:szCs w:val="22"/>
          <w:highlight w:val="none"/>
          <w:lang w:val="en-US" w:eastAsia="zh-CN"/>
          <w14:textFill>
            <w14:solidFill>
              <w14:schemeClr w14:val="tx1"/>
            </w14:solidFill>
          </w14:textFill>
        </w:rPr>
        <w:t>或盖章</w:t>
      </w:r>
      <w:r>
        <w:rPr>
          <w:rFonts w:hint="eastAsia" w:ascii="宋体" w:hAnsi="宋体" w:cs="宋体"/>
          <w:color w:val="000000" w:themeColor="text1"/>
          <w:sz w:val="22"/>
          <w:szCs w:val="22"/>
          <w:highlight w:val="none"/>
          <w14:textFill>
            <w14:solidFill>
              <w14:schemeClr w14:val="tx1"/>
            </w14:solidFill>
          </w14:textFill>
        </w:rPr>
        <w:t>。</w:t>
      </w:r>
    </w:p>
    <w:p w14:paraId="101AD0C0">
      <w:pPr>
        <w:spacing w:line="360" w:lineRule="auto"/>
        <w:rPr>
          <w:rFonts w:hint="eastAsia" w:ascii="宋体" w:hAnsi="宋体" w:cs="宋体"/>
          <w:color w:val="000000" w:themeColor="text1"/>
          <w:sz w:val="24"/>
          <w:highlight w:val="none"/>
          <w14:textFill>
            <w14:solidFill>
              <w14:schemeClr w14:val="tx1"/>
            </w14:solidFill>
          </w14:textFill>
        </w:rPr>
      </w:pPr>
    </w:p>
    <w:p w14:paraId="2ECF38A5">
      <w:pPr>
        <w:pStyle w:val="70"/>
        <w:rPr>
          <w:rFonts w:hint="eastAsia" w:ascii="宋体" w:hAnsi="宋体" w:cs="宋体"/>
          <w:color w:val="000000" w:themeColor="text1"/>
          <w:sz w:val="24"/>
          <w:highlight w:val="none"/>
          <w14:textFill>
            <w14:solidFill>
              <w14:schemeClr w14:val="tx1"/>
            </w14:solidFill>
          </w14:textFill>
        </w:rPr>
      </w:pPr>
    </w:p>
    <w:p w14:paraId="089AADF5">
      <w:pPr>
        <w:rPr>
          <w:rFonts w:hint="eastAsia" w:ascii="宋体" w:hAnsi="宋体" w:cs="宋体"/>
          <w:color w:val="000000" w:themeColor="text1"/>
          <w:sz w:val="24"/>
          <w:highlight w:val="none"/>
          <w14:textFill>
            <w14:solidFill>
              <w14:schemeClr w14:val="tx1"/>
            </w14:solidFill>
          </w14:textFill>
        </w:rPr>
      </w:pPr>
    </w:p>
    <w:p w14:paraId="21EDD984">
      <w:pPr>
        <w:pStyle w:val="70"/>
        <w:rPr>
          <w:rFonts w:hint="eastAsia" w:ascii="宋体" w:hAnsi="宋体" w:cs="宋体"/>
          <w:color w:val="000000" w:themeColor="text1"/>
          <w:sz w:val="24"/>
          <w:highlight w:val="none"/>
          <w14:textFill>
            <w14:solidFill>
              <w14:schemeClr w14:val="tx1"/>
            </w14:solidFill>
          </w14:textFill>
        </w:rPr>
      </w:pPr>
    </w:p>
    <w:p w14:paraId="6D7B7408">
      <w:pPr>
        <w:rPr>
          <w:rFonts w:hint="eastAsia" w:ascii="宋体" w:hAnsi="宋体" w:cs="宋体"/>
          <w:color w:val="000000" w:themeColor="text1"/>
          <w:sz w:val="24"/>
          <w:highlight w:val="none"/>
          <w14:textFill>
            <w14:solidFill>
              <w14:schemeClr w14:val="tx1"/>
            </w14:solidFill>
          </w14:textFill>
        </w:rPr>
      </w:pPr>
    </w:p>
    <w:p w14:paraId="68EBC8D2">
      <w:pPr>
        <w:pStyle w:val="70"/>
        <w:rPr>
          <w:rFonts w:hint="eastAsia" w:ascii="宋体" w:hAnsi="宋体" w:cs="宋体"/>
          <w:color w:val="000000" w:themeColor="text1"/>
          <w:sz w:val="24"/>
          <w:highlight w:val="none"/>
          <w14:textFill>
            <w14:solidFill>
              <w14:schemeClr w14:val="tx1"/>
            </w14:solidFill>
          </w14:textFill>
        </w:rPr>
      </w:pPr>
    </w:p>
    <w:p w14:paraId="66139D25">
      <w:pPr>
        <w:rPr>
          <w:rFonts w:hint="eastAsia" w:ascii="宋体" w:hAnsi="宋体" w:cs="宋体"/>
          <w:color w:val="000000" w:themeColor="text1"/>
          <w:sz w:val="24"/>
          <w:highlight w:val="none"/>
          <w14:textFill>
            <w14:solidFill>
              <w14:schemeClr w14:val="tx1"/>
            </w14:solidFill>
          </w14:textFill>
        </w:rPr>
      </w:pPr>
    </w:p>
    <w:p w14:paraId="12A366DC">
      <w:pPr>
        <w:pStyle w:val="70"/>
        <w:rPr>
          <w:rFonts w:hint="eastAsia" w:ascii="宋体" w:hAnsi="宋体" w:cs="宋体"/>
          <w:color w:val="000000" w:themeColor="text1"/>
          <w:sz w:val="24"/>
          <w:highlight w:val="none"/>
          <w14:textFill>
            <w14:solidFill>
              <w14:schemeClr w14:val="tx1"/>
            </w14:solidFill>
          </w14:textFill>
        </w:rPr>
      </w:pPr>
    </w:p>
    <w:p w14:paraId="014B4D63">
      <w:pPr>
        <w:rPr>
          <w:color w:val="000000" w:themeColor="text1"/>
          <w:highlight w:val="none"/>
          <w14:textFill>
            <w14:solidFill>
              <w14:schemeClr w14:val="tx1"/>
            </w14:solidFill>
          </w14:textFill>
        </w:rPr>
      </w:pPr>
    </w:p>
    <w:bookmarkEnd w:id="431"/>
    <w:p w14:paraId="097FA382">
      <w:pPr>
        <w:pStyle w:val="5"/>
        <w:jc w:val="center"/>
        <w:rPr>
          <w:rFonts w:hint="default" w:eastAsia="宋体"/>
          <w:color w:val="000000" w:themeColor="text1"/>
          <w:sz w:val="28"/>
          <w:szCs w:val="36"/>
          <w:highlight w:val="none"/>
          <w:lang w:val="en-US" w:eastAsia="zh-CN"/>
          <w14:textFill>
            <w14:solidFill>
              <w14:schemeClr w14:val="tx1"/>
            </w14:solidFill>
          </w14:textFill>
        </w:rPr>
      </w:pPr>
      <w:bookmarkStart w:id="434" w:name="_Toc20526"/>
      <w:r>
        <w:rPr>
          <w:rFonts w:hint="eastAsia"/>
          <w:color w:val="000000" w:themeColor="text1"/>
          <w:sz w:val="28"/>
          <w:szCs w:val="36"/>
          <w:highlight w:val="none"/>
          <w14:textFill>
            <w14:solidFill>
              <w14:schemeClr w14:val="tx1"/>
            </w14:solidFill>
          </w14:textFill>
        </w:rPr>
        <w:t>三 、联合体协议书</w:t>
      </w:r>
      <w:bookmarkEnd w:id="434"/>
    </w:p>
    <w:p w14:paraId="11939E91">
      <w:pPr>
        <w:rPr>
          <w:color w:val="000000" w:themeColor="text1"/>
          <w:highlight w:val="none"/>
          <w14:textFill>
            <w14:solidFill>
              <w14:schemeClr w14:val="tx1"/>
            </w14:solidFill>
          </w14:textFill>
        </w:rPr>
      </w:pPr>
    </w:p>
    <w:p w14:paraId="2EFEC5D3">
      <w:pPr>
        <w:widowControl/>
        <w:tabs>
          <w:tab w:val="left" w:pos="2637"/>
        </w:tabs>
        <w:kinsoku w:val="0"/>
        <w:autoSpaceDE w:val="0"/>
        <w:autoSpaceDN w:val="0"/>
        <w:adjustRightInd w:val="0"/>
        <w:snapToGrid w:val="0"/>
        <w:spacing w:before="235" w:line="360" w:lineRule="auto"/>
        <w:ind w:left="11" w:right="80" w:firstLine="467"/>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u w:val="single"/>
          <w14:textFill>
            <w14:solidFill>
              <w14:schemeClr w14:val="tx1"/>
            </w14:solidFill>
          </w14:textFill>
        </w:rPr>
        <w:tab/>
      </w:r>
      <w:r>
        <w:rPr>
          <w:rFonts w:ascii="宋体" w:hAnsi="宋体" w:cs="宋体"/>
          <w:snapToGrid w:val="0"/>
          <w:color w:val="000000" w:themeColor="text1"/>
          <w:spacing w:val="-4"/>
          <w:kern w:val="0"/>
          <w:sz w:val="24"/>
          <w:highlight w:val="none"/>
          <w14:textFill>
            <w14:solidFill>
              <w14:schemeClr w14:val="tx1"/>
            </w14:solidFill>
          </w14:textFill>
        </w:rPr>
        <w:t>（所有成员单位名称）</w:t>
      </w:r>
      <w:r>
        <w:rPr>
          <w:rFonts w:ascii="宋体" w:hAnsi="宋体" w:cs="宋体"/>
          <w:snapToGrid w:val="0"/>
          <w:color w:val="000000" w:themeColor="text1"/>
          <w:spacing w:val="-67"/>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自愿组成</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8"/>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(联合体</w:t>
      </w:r>
      <w:r>
        <w:rPr>
          <w:rFonts w:ascii="宋体" w:hAnsi="宋体" w:cs="宋体"/>
          <w:snapToGrid w:val="0"/>
          <w:color w:val="000000" w:themeColor="text1"/>
          <w:kern w:val="0"/>
          <w:sz w:val="24"/>
          <w:highlight w:val="none"/>
          <w14:textFill>
            <w14:solidFill>
              <w14:schemeClr w14:val="tx1"/>
            </w14:solidFill>
          </w14:textFill>
        </w:rPr>
        <w:t>名称）联合体，共同参加</w:t>
      </w:r>
      <w:r>
        <w:rPr>
          <w:rFonts w:ascii="宋体" w:hAnsi="宋体" w:cs="宋体"/>
          <w:snapToGrid w:val="0"/>
          <w:color w:val="000000" w:themeColor="text1"/>
          <w:kern w:val="0"/>
          <w:sz w:val="24"/>
          <w:highlight w:val="none"/>
          <w:u w:val="single"/>
          <w14:textFill>
            <w14:solidFill>
              <w14:schemeClr w14:val="tx1"/>
            </w14:solidFill>
          </w14:textFill>
        </w:rPr>
        <w:t xml:space="preserve">     (项目名称</w:t>
      </w:r>
      <w:r>
        <w:rPr>
          <w:rFonts w:ascii="宋体" w:hAnsi="宋体" w:cs="宋体"/>
          <w:snapToGrid w:val="0"/>
          <w:color w:val="000000" w:themeColor="text1"/>
          <w:spacing w:val="-18"/>
          <w:kern w:val="0"/>
          <w:sz w:val="24"/>
          <w:highlight w:val="none"/>
          <w:u w:val="single"/>
          <w14:textFill>
            <w14:solidFill>
              <w14:schemeClr w14:val="tx1"/>
            </w14:solidFill>
          </w14:textFill>
        </w:rPr>
        <w:t>）</w:t>
      </w:r>
      <w:r>
        <w:rPr>
          <w:rFonts w:ascii="宋体" w:hAnsi="宋体" w:cs="宋体"/>
          <w:snapToGrid w:val="0"/>
          <w:color w:val="000000" w:themeColor="text1"/>
          <w:spacing w:val="3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8"/>
          <w:kern w:val="0"/>
          <w:sz w:val="24"/>
          <w:highlight w:val="none"/>
          <w:u w:val="singl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标类或标段）</w:t>
      </w:r>
      <w:r>
        <w:rPr>
          <w:rFonts w:ascii="宋体" w:hAnsi="宋体" w:cs="宋体"/>
          <w:snapToGrid w:val="0"/>
          <w:color w:val="000000" w:themeColor="text1"/>
          <w:spacing w:val="-1"/>
          <w:kern w:val="0"/>
          <w:sz w:val="24"/>
          <w:highlight w:val="none"/>
          <w14:textFill>
            <w14:solidFill>
              <w14:schemeClr w14:val="tx1"/>
            </w14:solidFill>
          </w14:textFill>
        </w:rPr>
        <w:t>施工投标。现就联合体</w:t>
      </w:r>
      <w:r>
        <w:rPr>
          <w:rFonts w:ascii="宋体" w:hAnsi="宋体" w:cs="宋体"/>
          <w:snapToGrid w:val="0"/>
          <w:color w:val="000000" w:themeColor="text1"/>
          <w:spacing w:val="-2"/>
          <w:kern w:val="0"/>
          <w:sz w:val="24"/>
          <w:highlight w:val="none"/>
          <w14:textFill>
            <w14:solidFill>
              <w14:schemeClr w14:val="tx1"/>
            </w14:solidFill>
          </w14:textFill>
        </w:rPr>
        <w:t>投标事宜订立如下协议。</w:t>
      </w:r>
    </w:p>
    <w:p w14:paraId="767EBA11">
      <w:pPr>
        <w:widowControl/>
        <w:kinsoku w:val="0"/>
        <w:autoSpaceDE w:val="0"/>
        <w:autoSpaceDN w:val="0"/>
        <w:adjustRightInd w:val="0"/>
        <w:snapToGrid w:val="0"/>
        <w:spacing w:line="218" w:lineRule="auto"/>
        <w:ind w:left="50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 xml:space="preserve">1. </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（某成员单位名称）为</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5"/>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(联合体名称）牵头人。</w:t>
      </w:r>
    </w:p>
    <w:p w14:paraId="625FCF99">
      <w:pPr>
        <w:widowControl/>
        <w:kinsoku w:val="0"/>
        <w:autoSpaceDE w:val="0"/>
        <w:autoSpaceDN w:val="0"/>
        <w:adjustRightInd w:val="0"/>
        <w:snapToGrid w:val="0"/>
        <w:spacing w:before="183" w:line="313" w:lineRule="auto"/>
        <w:ind w:left="7" w:right="80"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 联合体各成员授权牵头人代表联合体参加</w:t>
      </w:r>
      <w:r>
        <w:rPr>
          <w:rFonts w:ascii="宋体" w:hAnsi="宋体" w:cs="宋体"/>
          <w:snapToGrid w:val="0"/>
          <w:color w:val="000000" w:themeColor="text1"/>
          <w:spacing w:val="1"/>
          <w:kern w:val="0"/>
          <w:sz w:val="24"/>
          <w:highlight w:val="none"/>
          <w14:textFill>
            <w14:solidFill>
              <w14:schemeClr w14:val="tx1"/>
            </w14:solidFill>
          </w14:textFill>
        </w:rPr>
        <w:t>投标活动，签署文件，提交和接收相</w:t>
      </w:r>
      <w:r>
        <w:rPr>
          <w:rFonts w:ascii="宋体" w:hAnsi="宋体" w:cs="宋体"/>
          <w:snapToGrid w:val="0"/>
          <w:color w:val="000000" w:themeColor="text1"/>
          <w:spacing w:val="-5"/>
          <w:kern w:val="0"/>
          <w:sz w:val="24"/>
          <w:highlight w:val="none"/>
          <w14:textFill>
            <w14:solidFill>
              <w14:schemeClr w14:val="tx1"/>
            </w14:solidFill>
          </w14:textFill>
        </w:rPr>
        <w:t>关的资料、信息及指示，进行合同谈判活动，负责合同实施阶段的组织和协调工作， 以</w:t>
      </w:r>
      <w:r>
        <w:rPr>
          <w:rFonts w:ascii="宋体" w:hAnsi="宋体" w:cs="宋体"/>
          <w:snapToGrid w:val="0"/>
          <w:color w:val="000000" w:themeColor="text1"/>
          <w:spacing w:val="-1"/>
          <w:kern w:val="0"/>
          <w:sz w:val="24"/>
          <w:highlight w:val="none"/>
          <w14:textFill>
            <w14:solidFill>
              <w14:schemeClr w14:val="tx1"/>
            </w14:solidFill>
          </w14:textFill>
        </w:rPr>
        <w:t>及处理与本招标项目有关的一切事宜。</w:t>
      </w:r>
    </w:p>
    <w:p w14:paraId="498B81D8">
      <w:pPr>
        <w:widowControl/>
        <w:kinsoku w:val="0"/>
        <w:autoSpaceDE w:val="0"/>
        <w:autoSpaceDN w:val="0"/>
        <w:adjustRightInd w:val="0"/>
        <w:snapToGrid w:val="0"/>
        <w:spacing w:before="184" w:line="313" w:lineRule="auto"/>
        <w:ind w:left="14" w:right="80" w:firstLine="47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3. 联合体牵头人在本项目中签署的一切</w:t>
      </w:r>
      <w:r>
        <w:rPr>
          <w:rFonts w:ascii="宋体" w:hAnsi="宋体" w:cs="宋体"/>
          <w:snapToGrid w:val="0"/>
          <w:color w:val="000000" w:themeColor="text1"/>
          <w:spacing w:val="1"/>
          <w:kern w:val="0"/>
          <w:sz w:val="24"/>
          <w:highlight w:val="none"/>
          <w14:textFill>
            <w14:solidFill>
              <w14:schemeClr w14:val="tx1"/>
            </w14:solidFill>
          </w14:textFill>
        </w:rPr>
        <w:t>文件和处理的一切事宜，联合体各成员均</w:t>
      </w:r>
      <w:r>
        <w:rPr>
          <w:rFonts w:ascii="宋体" w:hAnsi="宋体" w:cs="宋体"/>
          <w:snapToGrid w:val="0"/>
          <w:color w:val="000000" w:themeColor="text1"/>
          <w:spacing w:val="-2"/>
          <w:kern w:val="0"/>
          <w:sz w:val="24"/>
          <w:highlight w:val="none"/>
          <w14:textFill>
            <w14:solidFill>
              <w14:schemeClr w14:val="tx1"/>
            </w14:solidFill>
          </w14:textFill>
        </w:rPr>
        <w:t>予以承认。联合体各成员将严格按照招标文件、投标文件和合同的要求全面履行义务，并向招标人承担连带责任。</w:t>
      </w:r>
    </w:p>
    <w:p w14:paraId="3F82114A">
      <w:pPr>
        <w:widowControl/>
        <w:kinsoku w:val="0"/>
        <w:autoSpaceDE w:val="0"/>
        <w:autoSpaceDN w:val="0"/>
        <w:adjustRightInd w:val="0"/>
        <w:snapToGrid w:val="0"/>
        <w:spacing w:before="182" w:line="290" w:lineRule="auto"/>
        <w:ind w:left="7"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4.联合体各成员单位内部的职责分工如下</w:t>
      </w:r>
      <w:r>
        <w:rPr>
          <w:rFonts w:ascii="宋体" w:hAnsi="宋体" w:cs="宋体"/>
          <w:snapToGrid w:val="0"/>
          <w:color w:val="000000" w:themeColor="text1"/>
          <w:spacing w:val="-25"/>
          <w:kern w:val="0"/>
          <w:sz w:val="24"/>
          <w:highlight w:val="none"/>
          <w14:textFill>
            <w14:solidFill>
              <w14:schemeClr w14:val="tx1"/>
            </w14:solidFill>
          </w14:textFill>
        </w:rPr>
        <w:t>：</w:t>
      </w:r>
      <w:r>
        <w:rPr>
          <w:rFonts w:ascii="宋体" w:hAnsi="宋体" w:cs="宋体"/>
          <w:snapToGrid w:val="0"/>
          <w:color w:val="000000" w:themeColor="text1"/>
          <w:spacing w:val="5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5"/>
          <w:kern w:val="0"/>
          <w:sz w:val="24"/>
          <w:highlight w:val="none"/>
          <w:u w:val="singl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牵头人名称）</w:t>
      </w:r>
      <w:r>
        <w:rPr>
          <w:rFonts w:ascii="宋体" w:hAnsi="宋体" w:cs="宋体"/>
          <w:snapToGrid w:val="0"/>
          <w:color w:val="000000" w:themeColor="text1"/>
          <w:kern w:val="0"/>
          <w:sz w:val="24"/>
          <w:highlight w:val="none"/>
          <w14:textFill>
            <w14:solidFill>
              <w14:schemeClr w14:val="tx1"/>
            </w14:solidFill>
          </w14:textFill>
        </w:rPr>
        <w:t>承担</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专</w:t>
      </w:r>
      <w:r>
        <w:rPr>
          <w:rFonts w:ascii="宋体" w:hAnsi="宋体" w:cs="宋体"/>
          <w:snapToGrid w:val="0"/>
          <w:color w:val="000000" w:themeColor="text1"/>
          <w:spacing w:val="-1"/>
          <w:kern w:val="0"/>
          <w:sz w:val="24"/>
          <w:highlight w:val="none"/>
          <w14:textFill>
            <w14:solidFill>
              <w14:schemeClr w14:val="tx1"/>
            </w14:solidFill>
          </w14:textFill>
        </w:rPr>
        <w:t>业工</w:t>
      </w:r>
      <w:r>
        <w:rPr>
          <w:rFonts w:ascii="宋体" w:hAnsi="宋体" w:cs="宋体"/>
          <w:snapToGrid w:val="0"/>
          <w:color w:val="000000" w:themeColor="text1"/>
          <w:spacing w:val="-12"/>
          <w:kern w:val="0"/>
          <w:sz w:val="24"/>
          <w:highlight w:val="none"/>
          <w14:textFill>
            <w14:solidFill>
              <w14:schemeClr w14:val="tx1"/>
            </w14:solidFill>
          </w14:textFill>
        </w:rPr>
        <w:t>程，占总工程量的</w:t>
      </w:r>
      <w:r>
        <w:rPr>
          <w:rFonts w:ascii="宋体" w:hAnsi="宋体" w:cs="宋体"/>
          <w:snapToGrid w:val="0"/>
          <w:color w:val="000000" w:themeColor="text1"/>
          <w:spacing w:val="-1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2"/>
          <w:kern w:val="0"/>
          <w:sz w:val="24"/>
          <w:highlight w:val="none"/>
          <w14:textFill>
            <w14:solidFill>
              <w14:schemeClr w14:val="tx1"/>
            </w14:solidFill>
          </w14:textFill>
        </w:rPr>
        <w:t>%</w:t>
      </w:r>
      <w:r>
        <w:rPr>
          <w:rFonts w:hint="eastAsia"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（成员一名称）</w:t>
      </w:r>
      <w:r>
        <w:rPr>
          <w:rFonts w:ascii="宋体" w:hAnsi="宋体" w:cs="宋体"/>
          <w:snapToGrid w:val="0"/>
          <w:color w:val="000000" w:themeColor="text1"/>
          <w:spacing w:val="-12"/>
          <w:kern w:val="0"/>
          <w:sz w:val="24"/>
          <w:highlight w:val="none"/>
          <w14:textFill>
            <w14:solidFill>
              <w14:schemeClr w14:val="tx1"/>
            </w14:solidFill>
          </w14:textFill>
        </w:rPr>
        <w:t>承担</w:t>
      </w:r>
      <w:r>
        <w:rPr>
          <w:rFonts w:ascii="宋体" w:hAnsi="宋体" w:cs="宋体"/>
          <w:snapToGrid w:val="0"/>
          <w:color w:val="000000" w:themeColor="text1"/>
          <w:spacing w:val="20"/>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7"/>
          <w:kern w:val="0"/>
          <w:sz w:val="24"/>
          <w:highlight w:val="none"/>
          <w14:textFill>
            <w14:solidFill>
              <w14:schemeClr w14:val="tx1"/>
            </w14:solidFill>
          </w14:textFill>
        </w:rPr>
        <w:t xml:space="preserve"> </w:t>
      </w:r>
      <w:r>
        <w:rPr>
          <w:rFonts w:ascii="宋体" w:hAnsi="宋体" w:cs="宋体"/>
          <w:snapToGrid w:val="0"/>
          <w:color w:val="000000" w:themeColor="text1"/>
          <w:spacing w:val="-12"/>
          <w:kern w:val="0"/>
          <w:sz w:val="24"/>
          <w:highlight w:val="none"/>
          <w14:textFill>
            <w14:solidFill>
              <w14:schemeClr w14:val="tx1"/>
            </w14:solidFill>
          </w14:textFill>
        </w:rPr>
        <w:t>专业工程，占总工程量的</w:t>
      </w:r>
      <w:r>
        <w:rPr>
          <w:rFonts w:ascii="宋体" w:hAnsi="宋体" w:cs="宋体"/>
          <w:snapToGrid w:val="0"/>
          <w:color w:val="000000" w:themeColor="text1"/>
          <w:spacing w:val="-1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7"/>
          <w:kern w:val="0"/>
          <w:sz w:val="24"/>
          <w:highlight w:val="none"/>
          <w14:textFill>
            <w14:solidFill>
              <w14:schemeClr w14:val="tx1"/>
            </w14:solidFill>
          </w14:textFill>
        </w:rPr>
        <w:t xml:space="preserve"> </w:t>
      </w:r>
      <w:r>
        <w:rPr>
          <w:rFonts w:ascii="宋体" w:hAnsi="宋体" w:cs="宋体"/>
          <w:snapToGrid w:val="0"/>
          <w:color w:val="000000" w:themeColor="text1"/>
          <w:spacing w:val="-12"/>
          <w:kern w:val="0"/>
          <w:sz w:val="24"/>
          <w:highlight w:val="none"/>
          <w14:textFill>
            <w14:solidFill>
              <w14:schemeClr w14:val="tx1"/>
            </w14:solidFill>
          </w14:textFill>
        </w:rPr>
        <w:t>%；……。</w:t>
      </w:r>
    </w:p>
    <w:p w14:paraId="4F25051A">
      <w:pPr>
        <w:widowControl/>
        <w:kinsoku w:val="0"/>
        <w:autoSpaceDE w:val="0"/>
        <w:autoSpaceDN w:val="0"/>
        <w:adjustRightInd w:val="0"/>
        <w:snapToGrid w:val="0"/>
        <w:spacing w:before="181" w:line="290" w:lineRule="auto"/>
        <w:ind w:left="7" w:right="80" w:firstLine="48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5"/>
          <w:kern w:val="0"/>
          <w:sz w:val="24"/>
          <w:highlight w:val="none"/>
          <w14:textFill>
            <w14:solidFill>
              <w14:schemeClr w14:val="tx1"/>
            </w14:solidFill>
          </w14:textFill>
        </w:rPr>
        <w:t>5.投标工作和联合体在中标后工程实施过程中的有关费用按各自承担的</w:t>
      </w:r>
      <w:r>
        <w:rPr>
          <w:rFonts w:ascii="宋体" w:hAnsi="宋体" w:cs="宋体"/>
          <w:snapToGrid w:val="0"/>
          <w:color w:val="000000" w:themeColor="text1"/>
          <w:spacing w:val="4"/>
          <w:kern w:val="0"/>
          <w:sz w:val="24"/>
          <w:highlight w:val="none"/>
          <w14:textFill>
            <w14:solidFill>
              <w14:schemeClr w14:val="tx1"/>
            </w14:solidFill>
          </w14:textFill>
        </w:rPr>
        <w:t>工作量分</w:t>
      </w:r>
      <w:r>
        <w:rPr>
          <w:rFonts w:ascii="宋体" w:hAnsi="宋体" w:cs="宋体"/>
          <w:snapToGrid w:val="0"/>
          <w:color w:val="000000" w:themeColor="text1"/>
          <w:spacing w:val="-5"/>
          <w:kern w:val="0"/>
          <w:sz w:val="24"/>
          <w:highlight w:val="none"/>
          <w14:textFill>
            <w14:solidFill>
              <w14:schemeClr w14:val="tx1"/>
            </w14:solidFill>
          </w14:textFill>
        </w:rPr>
        <w:t>摊。</w:t>
      </w:r>
    </w:p>
    <w:p w14:paraId="7FB5F9C2">
      <w:pPr>
        <w:widowControl/>
        <w:kinsoku w:val="0"/>
        <w:autoSpaceDE w:val="0"/>
        <w:autoSpaceDN w:val="0"/>
        <w:adjustRightInd w:val="0"/>
        <w:snapToGrid w:val="0"/>
        <w:spacing w:before="182" w:line="290" w:lineRule="auto"/>
        <w:ind w:left="10" w:right="80" w:firstLine="48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6. 本协议书自所有成员单位法定代表人签字</w:t>
      </w:r>
      <w:r>
        <w:rPr>
          <w:rFonts w:hint="eastAsia" w:ascii="宋体" w:hAnsi="宋体" w:cs="宋体"/>
          <w:snapToGrid w:val="0"/>
          <w:color w:val="000000" w:themeColor="text1"/>
          <w:spacing w:val="2"/>
          <w:kern w:val="0"/>
          <w:sz w:val="24"/>
          <w:highlight w:val="none"/>
          <w:lang w:val="en-US" w:eastAsia="zh-CN"/>
          <w14:textFill>
            <w14:solidFill>
              <w14:schemeClr w14:val="tx1"/>
            </w14:solidFill>
          </w14:textFill>
        </w:rPr>
        <w:t>或盖章</w:t>
      </w:r>
      <w:r>
        <w:rPr>
          <w:rFonts w:ascii="宋体" w:hAnsi="宋体" w:cs="宋体"/>
          <w:snapToGrid w:val="0"/>
          <w:color w:val="000000" w:themeColor="text1"/>
          <w:spacing w:val="2"/>
          <w:kern w:val="0"/>
          <w:sz w:val="24"/>
          <w:highlight w:val="none"/>
          <w14:textFill>
            <w14:solidFill>
              <w14:schemeClr w14:val="tx1"/>
            </w14:solidFill>
          </w14:textFill>
        </w:rPr>
        <w:t>并</w:t>
      </w:r>
      <w:r>
        <w:rPr>
          <w:rFonts w:ascii="宋体" w:hAnsi="宋体" w:cs="宋体"/>
          <w:snapToGrid w:val="0"/>
          <w:color w:val="000000" w:themeColor="text1"/>
          <w:spacing w:val="1"/>
          <w:kern w:val="0"/>
          <w:sz w:val="24"/>
          <w:highlight w:val="none"/>
          <w14:textFill>
            <w14:solidFill>
              <w14:schemeClr w14:val="tx1"/>
            </w14:solidFill>
          </w14:textFill>
        </w:rPr>
        <w:t>加盖单位章之日起生效，合同履行</w:t>
      </w:r>
      <w:r>
        <w:rPr>
          <w:rFonts w:ascii="宋体" w:hAnsi="宋体" w:cs="宋体"/>
          <w:snapToGrid w:val="0"/>
          <w:color w:val="000000" w:themeColor="text1"/>
          <w:spacing w:val="-2"/>
          <w:kern w:val="0"/>
          <w:sz w:val="24"/>
          <w:highlight w:val="none"/>
          <w14:textFill>
            <w14:solidFill>
              <w14:schemeClr w14:val="tx1"/>
            </w14:solidFill>
          </w14:textFill>
        </w:rPr>
        <w:t>完毕后自动失效。</w:t>
      </w:r>
    </w:p>
    <w:p w14:paraId="44EF7E3A">
      <w:pPr>
        <w:widowControl/>
        <w:kinsoku w:val="0"/>
        <w:autoSpaceDE w:val="0"/>
        <w:autoSpaceDN w:val="0"/>
        <w:adjustRightInd w:val="0"/>
        <w:snapToGrid w:val="0"/>
        <w:spacing w:before="183" w:line="219" w:lineRule="auto"/>
        <w:ind w:left="49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7.本协议书一式</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份，联合体成员和招标人各执一份。</w:t>
      </w:r>
    </w:p>
    <w:p w14:paraId="75383350">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联合体牵头人名称</w:t>
      </w:r>
      <w:r>
        <w:rPr>
          <w:rFonts w:ascii="宋体" w:hAnsi="宋体" w:cs="宋体"/>
          <w:snapToGrid w:val="0"/>
          <w:color w:val="000000" w:themeColor="text1"/>
          <w:spacing w:val="-13"/>
          <w:kern w:val="0"/>
          <w:sz w:val="24"/>
          <w:highlight w:val="none"/>
          <w14:textFill>
            <w14:solidFill>
              <w14:schemeClr w14:val="tx1"/>
            </w14:solidFill>
          </w14:textFill>
        </w:rPr>
        <w:t>：</w:t>
      </w:r>
      <w:r>
        <w:rPr>
          <w:rFonts w:ascii="宋体" w:hAnsi="宋体" w:cs="宋体"/>
          <w:snapToGrid w:val="0"/>
          <w:color w:val="000000" w:themeColor="text1"/>
          <w:spacing w:val="5"/>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3"/>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盖单位章）</w:t>
      </w:r>
    </w:p>
    <w:p w14:paraId="7CADC442">
      <w:pPr>
        <w:widowControl/>
        <w:kinsoku w:val="0"/>
        <w:autoSpaceDE w:val="0"/>
        <w:autoSpaceDN w:val="0"/>
        <w:adjustRightInd w:val="0"/>
        <w:snapToGrid w:val="0"/>
        <w:spacing w:before="184"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法定代表人</w:t>
      </w:r>
      <w:r>
        <w:rPr>
          <w:rFonts w:ascii="宋体" w:hAnsi="宋体" w:cs="宋体"/>
          <w:snapToGrid w:val="0"/>
          <w:color w:val="000000" w:themeColor="text1"/>
          <w:spacing w:val="-18"/>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8"/>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签字</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ascii="宋体" w:hAnsi="宋体" w:cs="宋体"/>
          <w:snapToGrid w:val="0"/>
          <w:color w:val="000000" w:themeColor="text1"/>
          <w:spacing w:val="3"/>
          <w:kern w:val="0"/>
          <w:sz w:val="24"/>
          <w:highlight w:val="none"/>
          <w14:textFill>
            <w14:solidFill>
              <w14:schemeClr w14:val="tx1"/>
            </w14:solidFill>
          </w14:textFill>
        </w:rPr>
        <w:t>）</w:t>
      </w:r>
    </w:p>
    <w:p w14:paraId="3EAFACB7">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A7B6FBF">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1BB3B1">
      <w:pPr>
        <w:widowControl/>
        <w:kinsoku w:val="0"/>
        <w:autoSpaceDE w:val="0"/>
        <w:autoSpaceDN w:val="0"/>
        <w:adjustRightInd w:val="0"/>
        <w:snapToGrid w:val="0"/>
        <w:spacing w:before="79"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联合体成员一名称</w:t>
      </w:r>
      <w:r>
        <w:rPr>
          <w:rFonts w:ascii="宋体" w:hAnsi="宋体" w:cs="宋体"/>
          <w:snapToGrid w:val="0"/>
          <w:color w:val="000000" w:themeColor="text1"/>
          <w:spacing w:val="-13"/>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3"/>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盖单位章）</w:t>
      </w:r>
    </w:p>
    <w:p w14:paraId="5232FA5C">
      <w:pPr>
        <w:widowControl/>
        <w:kinsoku w:val="0"/>
        <w:autoSpaceDE w:val="0"/>
        <w:autoSpaceDN w:val="0"/>
        <w:adjustRightInd w:val="0"/>
        <w:snapToGrid w:val="0"/>
        <w:spacing w:before="184"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法定代表人</w:t>
      </w:r>
      <w:r>
        <w:rPr>
          <w:rFonts w:ascii="宋体" w:hAnsi="宋体" w:cs="宋体"/>
          <w:snapToGrid w:val="0"/>
          <w:color w:val="000000" w:themeColor="text1"/>
          <w:spacing w:val="-18"/>
          <w:kern w:val="0"/>
          <w:sz w:val="24"/>
          <w:highlight w:val="none"/>
          <w14:textFill>
            <w14:solidFill>
              <w14:schemeClr w14:val="tx1"/>
            </w14:solidFill>
          </w14:textFill>
        </w:rPr>
        <w:t>：</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8"/>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签字</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ascii="宋体" w:hAnsi="宋体" w:cs="宋体"/>
          <w:snapToGrid w:val="0"/>
          <w:color w:val="000000" w:themeColor="text1"/>
          <w:spacing w:val="3"/>
          <w:kern w:val="0"/>
          <w:sz w:val="24"/>
          <w:highlight w:val="none"/>
          <w14:textFill>
            <w14:solidFill>
              <w14:schemeClr w14:val="tx1"/>
            </w14:solidFill>
          </w14:textFill>
        </w:rPr>
        <w:t>）</w:t>
      </w:r>
    </w:p>
    <w:p w14:paraId="7E707FCA">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69A81AD">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C255927">
      <w:pPr>
        <w:kinsoku w:val="0"/>
        <w:autoSpaceDE w:val="0"/>
        <w:autoSpaceDN w:val="0"/>
        <w:adjustRightInd w:val="0"/>
        <w:snapToGrid w:val="0"/>
        <w:spacing w:line="28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BD1658A">
      <w:pPr>
        <w:widowControl/>
        <w:kinsoku w:val="0"/>
        <w:autoSpaceDE w:val="0"/>
        <w:autoSpaceDN w:val="0"/>
        <w:adjustRightInd w:val="0"/>
        <w:snapToGrid w:val="0"/>
        <w:spacing w:before="78" w:line="99" w:lineRule="exact"/>
        <w:ind w:left="49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position w:val="1"/>
          <w:sz w:val="24"/>
          <w:highlight w:val="none"/>
          <w14:textFill>
            <w14:solidFill>
              <w14:schemeClr w14:val="tx1"/>
            </w14:solidFill>
          </w14:textFill>
        </w:rPr>
        <w:t>......</w:t>
      </w:r>
    </w:p>
    <w:p w14:paraId="06D6F774">
      <w:pPr>
        <w:widowControl/>
        <w:tabs>
          <w:tab w:val="left" w:pos="6597"/>
        </w:tabs>
        <w:kinsoku w:val="0"/>
        <w:autoSpaceDE w:val="0"/>
        <w:autoSpaceDN w:val="0"/>
        <w:adjustRightInd w:val="0"/>
        <w:snapToGrid w:val="0"/>
        <w:spacing w:before="192" w:line="219" w:lineRule="auto"/>
        <w:ind w:left="599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u w:val="single"/>
          <w14:textFill>
            <w14:solidFill>
              <w14:schemeClr w14:val="tx1"/>
            </w14:solidFill>
          </w14:textFill>
        </w:rPr>
        <w:tab/>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年</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月</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日</w:t>
      </w:r>
    </w:p>
    <w:p w14:paraId="58F6A034">
      <w:pPr>
        <w:spacing w:line="360" w:lineRule="auto"/>
        <w:ind w:firstLine="4620" w:firstLineChars="2200"/>
        <w:rPr>
          <w:color w:val="000000" w:themeColor="text1"/>
          <w:highlight w:val="none"/>
          <w14:textFill>
            <w14:solidFill>
              <w14:schemeClr w14:val="tx1"/>
            </w14:solidFill>
          </w14:textFill>
        </w:rPr>
        <w:sectPr>
          <w:footerReference r:id="rId97" w:type="first"/>
          <w:footerReference r:id="rId96" w:type="default"/>
          <w:pgSz w:w="11906" w:h="16838"/>
          <w:pgMar w:top="1134" w:right="1134" w:bottom="1134" w:left="1134" w:header="624" w:footer="590" w:gutter="0"/>
          <w:cols w:space="720" w:num="1"/>
          <w:docGrid w:type="lines" w:linePitch="312" w:charSpace="0"/>
        </w:sectPr>
      </w:pPr>
    </w:p>
    <w:p w14:paraId="135F967A">
      <w:pPr>
        <w:pStyle w:val="5"/>
        <w:jc w:val="center"/>
        <w:rPr>
          <w:color w:val="000000" w:themeColor="text1"/>
          <w:sz w:val="28"/>
          <w:szCs w:val="36"/>
          <w:highlight w:val="none"/>
          <w14:textFill>
            <w14:solidFill>
              <w14:schemeClr w14:val="tx1"/>
            </w14:solidFill>
          </w14:textFill>
        </w:rPr>
      </w:pPr>
      <w:bookmarkStart w:id="435" w:name="_Toc8921"/>
      <w:r>
        <w:rPr>
          <w:rFonts w:hint="eastAsia"/>
          <w:color w:val="000000" w:themeColor="text1"/>
          <w:sz w:val="28"/>
          <w:szCs w:val="36"/>
          <w:highlight w:val="none"/>
          <w14:textFill>
            <w14:solidFill>
              <w14:schemeClr w14:val="tx1"/>
            </w14:solidFill>
          </w14:textFill>
        </w:rPr>
        <w:t>四、投标保证金</w:t>
      </w:r>
      <w:bookmarkEnd w:id="435"/>
    </w:p>
    <w:p w14:paraId="641151F7">
      <w:pPr>
        <w:spacing w:line="360" w:lineRule="auto"/>
        <w:rPr>
          <w:rFonts w:hint="eastAsia" w:ascii="宋体" w:hAnsi="宋体" w:cs="宋体"/>
          <w:b/>
          <w:color w:val="000000" w:themeColor="text1"/>
          <w:sz w:val="28"/>
          <w:szCs w:val="28"/>
          <w:highlight w:val="none"/>
          <w14:textFill>
            <w14:solidFill>
              <w14:schemeClr w14:val="tx1"/>
            </w14:solidFill>
          </w14:textFill>
        </w:rPr>
      </w:pPr>
    </w:p>
    <w:p w14:paraId="5077DD91">
      <w:pPr>
        <w:spacing w:line="360" w:lineRule="auto"/>
        <w:ind w:firstLine="460" w:firstLineChars="200"/>
        <w:rPr>
          <w:rFonts w:hint="eastAsia" w:ascii="宋体" w:hAnsi="宋体" w:cs="宋体"/>
          <w:color w:val="000000" w:themeColor="text1"/>
          <w:kern w:val="0"/>
          <w:sz w:val="23"/>
          <w:szCs w:val="23"/>
          <w:highlight w:val="none"/>
          <w:lang w:val="zh-CN"/>
          <w14:textFill>
            <w14:solidFill>
              <w14:schemeClr w14:val="tx1"/>
            </w14:solidFill>
          </w14:textFill>
        </w:rPr>
      </w:pPr>
      <w:r>
        <w:rPr>
          <w:rFonts w:hint="eastAsia" w:ascii="宋体" w:hAnsi="宋体" w:cs="宋体"/>
          <w:color w:val="000000" w:themeColor="text1"/>
          <w:kern w:val="0"/>
          <w:sz w:val="23"/>
          <w:szCs w:val="23"/>
          <w:highlight w:val="none"/>
          <w:lang w:val="zh-CN"/>
          <w14:textFill>
            <w14:solidFill>
              <w14:schemeClr w14:val="tx1"/>
            </w14:solidFill>
          </w14:textFill>
        </w:rPr>
        <w:t>如采用银行转账，投标人应在此提供汇款凭证的</w:t>
      </w:r>
      <w:r>
        <w:rPr>
          <w:rFonts w:hint="eastAsia" w:ascii="宋体" w:hAnsi="宋体" w:cs="宋体"/>
          <w:color w:val="000000" w:themeColor="text1"/>
          <w:sz w:val="23"/>
          <w:szCs w:val="23"/>
          <w:highlight w:val="none"/>
          <w14:textFill>
            <w14:solidFill>
              <w14:schemeClr w14:val="tx1"/>
            </w14:solidFill>
          </w14:textFill>
        </w:rPr>
        <w:t>彩色扫描件或截图</w:t>
      </w:r>
      <w:r>
        <w:rPr>
          <w:rFonts w:hint="eastAsia" w:ascii="宋体" w:hAnsi="宋体" w:cs="宋体"/>
          <w:color w:val="000000" w:themeColor="text1"/>
          <w:kern w:val="0"/>
          <w:sz w:val="23"/>
          <w:szCs w:val="23"/>
          <w:highlight w:val="none"/>
          <w:lang w:val="zh-CN"/>
          <w14:textFill>
            <w14:solidFill>
              <w14:schemeClr w14:val="tx1"/>
            </w14:solidFill>
          </w14:textFill>
        </w:rPr>
        <w:t>。</w:t>
      </w:r>
    </w:p>
    <w:p w14:paraId="547C8F91">
      <w:pPr>
        <w:spacing w:line="360" w:lineRule="auto"/>
        <w:ind w:firstLine="460" w:firstLineChars="200"/>
        <w:rPr>
          <w:rFonts w:hint="eastAsia" w:ascii="宋体" w:hAnsi="宋体" w:cs="宋体"/>
          <w:color w:val="000000" w:themeColor="text1"/>
          <w:kern w:val="0"/>
          <w:sz w:val="23"/>
          <w:szCs w:val="23"/>
          <w:highlight w:val="none"/>
          <w:lang w:val="zh-CN"/>
          <w14:textFill>
            <w14:solidFill>
              <w14:schemeClr w14:val="tx1"/>
            </w14:solidFill>
          </w14:textFill>
        </w:rPr>
      </w:pPr>
      <w:r>
        <w:rPr>
          <w:rFonts w:hint="eastAsia" w:ascii="宋体" w:hAnsi="宋体" w:cs="宋体"/>
          <w:color w:val="000000" w:themeColor="text1"/>
          <w:kern w:val="0"/>
          <w:sz w:val="23"/>
          <w:szCs w:val="23"/>
          <w:highlight w:val="none"/>
          <w:lang w:val="zh-CN"/>
          <w14:textFill>
            <w14:solidFill>
              <w14:schemeClr w14:val="tx1"/>
            </w14:solidFill>
          </w14:textFill>
        </w:rPr>
        <w:t>如采用银行保函，投标人应在此提供银行保函</w:t>
      </w:r>
      <w:r>
        <w:rPr>
          <w:rFonts w:hint="eastAsia" w:ascii="宋体" w:hAnsi="宋体" w:cs="宋体"/>
          <w:color w:val="000000" w:themeColor="text1"/>
          <w:sz w:val="23"/>
          <w:szCs w:val="23"/>
          <w:highlight w:val="none"/>
          <w14:textFill>
            <w14:solidFill>
              <w14:schemeClr w14:val="tx1"/>
            </w14:solidFill>
          </w14:textFill>
        </w:rPr>
        <w:t>彩色扫描件或截图</w:t>
      </w:r>
      <w:r>
        <w:rPr>
          <w:rFonts w:hint="eastAsia" w:ascii="宋体" w:hAnsi="宋体" w:cs="宋体"/>
          <w:color w:val="000000" w:themeColor="text1"/>
          <w:kern w:val="0"/>
          <w:sz w:val="23"/>
          <w:szCs w:val="23"/>
          <w:highlight w:val="none"/>
          <w:lang w:val="zh-CN"/>
          <w14:textFill>
            <w14:solidFill>
              <w14:schemeClr w14:val="tx1"/>
            </w14:solidFill>
          </w14:textFill>
        </w:rPr>
        <w:t>。</w:t>
      </w:r>
    </w:p>
    <w:p w14:paraId="11CF9952">
      <w:pPr>
        <w:spacing w:line="360" w:lineRule="auto"/>
        <w:ind w:firstLine="460" w:firstLineChars="200"/>
        <w:rPr>
          <w:rFonts w:hint="eastAsia" w:ascii="宋体" w:hAnsi="宋体" w:cs="宋体"/>
          <w:color w:val="000000" w:themeColor="text1"/>
          <w:kern w:val="0"/>
          <w:sz w:val="23"/>
          <w:szCs w:val="23"/>
          <w:highlight w:val="none"/>
          <w14:textFill>
            <w14:solidFill>
              <w14:schemeClr w14:val="tx1"/>
            </w14:solidFill>
          </w14:textFill>
        </w:rPr>
      </w:pPr>
      <w:r>
        <w:rPr>
          <w:rFonts w:hint="eastAsia" w:ascii="宋体" w:hAnsi="宋体" w:cs="宋体"/>
          <w:color w:val="000000" w:themeColor="text1"/>
          <w:kern w:val="0"/>
          <w:sz w:val="23"/>
          <w:szCs w:val="23"/>
          <w:highlight w:val="none"/>
          <w14:textFill>
            <w14:solidFill>
              <w14:schemeClr w14:val="tx1"/>
            </w14:solidFill>
          </w14:textFill>
        </w:rPr>
        <w:t>如采用投标保证金保险，投标人应在此提供保单</w:t>
      </w:r>
      <w:r>
        <w:rPr>
          <w:rFonts w:hint="eastAsia" w:ascii="宋体" w:hAnsi="宋体" w:cs="宋体"/>
          <w:color w:val="000000" w:themeColor="text1"/>
          <w:sz w:val="23"/>
          <w:szCs w:val="23"/>
          <w:highlight w:val="none"/>
          <w14:textFill>
            <w14:solidFill>
              <w14:schemeClr w14:val="tx1"/>
            </w14:solidFill>
          </w14:textFill>
        </w:rPr>
        <w:t>彩色扫描件或截图</w:t>
      </w:r>
      <w:r>
        <w:rPr>
          <w:rFonts w:hint="eastAsia" w:ascii="宋体" w:hAnsi="宋体" w:cs="宋体"/>
          <w:color w:val="000000" w:themeColor="text1"/>
          <w:kern w:val="0"/>
          <w:sz w:val="23"/>
          <w:szCs w:val="23"/>
          <w:highlight w:val="none"/>
          <w14:textFill>
            <w14:solidFill>
              <w14:schemeClr w14:val="tx1"/>
            </w14:solidFill>
          </w14:textFill>
        </w:rPr>
        <w:t>。</w:t>
      </w:r>
    </w:p>
    <w:p w14:paraId="12CFEFD9">
      <w:pPr>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p>
    <w:p w14:paraId="486DA05E">
      <w:pPr>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投标银行保函格式</w:t>
      </w:r>
    </w:p>
    <w:p w14:paraId="078C6F8B">
      <w:pPr>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p>
    <w:p w14:paraId="5E08CD77">
      <w:pPr>
        <w:tabs>
          <w:tab w:val="left" w:pos="2055"/>
        </w:tabs>
        <w:spacing w:before="75" w:line="228" w:lineRule="auto"/>
        <w:rPr>
          <w:rFonts w:hint="eastAsia" w:ascii="宋体" w:hAnsi="宋体" w:cs="宋体"/>
          <w:color w:val="000000" w:themeColor="text1"/>
          <w:sz w:val="23"/>
          <w:szCs w:val="23"/>
          <w:highlight w:val="none"/>
          <w14:textFill>
            <w14:solidFill>
              <w14:schemeClr w14:val="tx1"/>
            </w14:solidFill>
          </w14:textFill>
        </w:rPr>
      </w:pPr>
      <w:r>
        <w:rPr>
          <w:rFonts w:hint="eastAsia" w:ascii="宋体" w:hAnsi="宋体" w:cs="宋体"/>
          <w:color w:val="000000" w:themeColor="text1"/>
          <w:sz w:val="23"/>
          <w:szCs w:val="23"/>
          <w:highlight w:val="none"/>
          <w:u w:val="single"/>
          <w14:textFill>
            <w14:solidFill>
              <w14:schemeClr w14:val="tx1"/>
            </w14:solidFill>
          </w14:textFill>
        </w:rPr>
        <w:tab/>
      </w:r>
      <w:r>
        <w:rPr>
          <w:rFonts w:hint="eastAsia" w:ascii="宋体" w:hAnsi="宋体" w:cs="宋体"/>
          <w:color w:val="000000" w:themeColor="text1"/>
          <w:spacing w:val="10"/>
          <w:sz w:val="23"/>
          <w:szCs w:val="23"/>
          <w:highlight w:val="none"/>
          <w14:textFill>
            <w14:solidFill>
              <w14:schemeClr w14:val="tx1"/>
            </w14:solidFill>
          </w14:textFill>
        </w:rPr>
        <w:t>(</w:t>
      </w:r>
      <w:r>
        <w:rPr>
          <w:rFonts w:hint="eastAsia" w:ascii="宋体" w:hAnsi="宋体" w:cs="宋体"/>
          <w:color w:val="000000" w:themeColor="text1"/>
          <w:spacing w:val="6"/>
          <w:sz w:val="23"/>
          <w:szCs w:val="23"/>
          <w:highlight w:val="none"/>
          <w14:textFill>
            <w14:solidFill>
              <w14:schemeClr w14:val="tx1"/>
            </w14:solidFill>
          </w14:textFill>
        </w:rPr>
        <w:t>招</w:t>
      </w:r>
      <w:r>
        <w:rPr>
          <w:rFonts w:hint="eastAsia" w:ascii="宋体" w:hAnsi="宋体" w:cs="宋体"/>
          <w:color w:val="000000" w:themeColor="text1"/>
          <w:spacing w:val="5"/>
          <w:sz w:val="23"/>
          <w:szCs w:val="23"/>
          <w:highlight w:val="none"/>
          <w14:textFill>
            <w14:solidFill>
              <w14:schemeClr w14:val="tx1"/>
            </w14:solidFill>
          </w14:textFill>
        </w:rPr>
        <w:t>标人名称) ：</w:t>
      </w:r>
    </w:p>
    <w:p w14:paraId="3AF6666C">
      <w:pPr>
        <w:spacing w:before="182" w:line="360" w:lineRule="auto"/>
        <w:ind w:left="8"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鉴于</w:t>
      </w:r>
      <w:r>
        <w:rPr>
          <w:rFonts w:ascii="宋体" w:hAnsi="宋体" w:cs="宋体"/>
          <w:color w:val="000000" w:themeColor="text1"/>
          <w:spacing w:val="-2"/>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（投标人名称</w:t>
      </w:r>
      <w:r>
        <w:rPr>
          <w:rFonts w:ascii="宋体" w:hAnsi="宋体" w:cs="宋体"/>
          <w:color w:val="000000" w:themeColor="text1"/>
          <w:spacing w:val="-26"/>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以下称“</w:t>
      </w:r>
      <w:r>
        <w:rPr>
          <w:rFonts w:ascii="宋体" w:hAnsi="宋体" w:cs="宋体"/>
          <w:color w:val="000000" w:themeColor="text1"/>
          <w:spacing w:val="-3"/>
          <w:sz w:val="24"/>
          <w:highlight w:val="none"/>
          <w14:textFill>
            <w14:solidFill>
              <w14:schemeClr w14:val="tx1"/>
            </w14:solidFill>
          </w14:textFill>
        </w:rPr>
        <w:t>投标人</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”）于</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pacing w:val="-11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年</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pacing w:val="-104"/>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月</w:t>
      </w:r>
      <w:r>
        <w:rPr>
          <w:rFonts w:ascii="宋体" w:hAnsi="宋体" w:cs="宋体"/>
          <w:color w:val="000000" w:themeColor="text1"/>
          <w:spacing w:val="-3"/>
          <w:sz w:val="24"/>
          <w:highlight w:val="none"/>
          <w:u w:val="single"/>
          <w14:textFill>
            <w14:solidFill>
              <w14:schemeClr w14:val="tx1"/>
            </w14:solidFill>
          </w14:textFill>
        </w:rPr>
        <w:t xml:space="preserve">     </w:t>
      </w:r>
      <w:r>
        <w:rPr>
          <w:rFonts w:ascii="宋体" w:hAnsi="宋体" w:cs="宋体"/>
          <w:color w:val="000000" w:themeColor="text1"/>
          <w:spacing w:val="-70"/>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日</w:t>
      </w:r>
      <w:r>
        <w:rPr>
          <w:rFonts w:ascii="宋体" w:hAnsi="宋体" w:cs="宋体"/>
          <w:color w:val="000000" w:themeColor="text1"/>
          <w:spacing w:val="2"/>
          <w:sz w:val="24"/>
          <w:highlight w:val="none"/>
          <w14:textFill>
            <w14:solidFill>
              <w14:schemeClr w14:val="tx1"/>
            </w14:solidFill>
          </w14:textFill>
        </w:rPr>
        <w:t>参加</w:t>
      </w:r>
      <w:r>
        <w:rPr>
          <w:rFonts w:ascii="宋体" w:hAnsi="宋体" w:cs="宋体"/>
          <w:color w:val="000000" w:themeColor="text1"/>
          <w:spacing w:val="10"/>
          <w:sz w:val="24"/>
          <w:highlight w:val="none"/>
          <w:u w:val="single"/>
          <w14:textFill>
            <w14:solidFill>
              <w14:schemeClr w14:val="tx1"/>
            </w14:solidFill>
          </w14:textFill>
        </w:rPr>
        <w:t xml:space="preserve">           </w:t>
      </w:r>
      <w:r>
        <w:rPr>
          <w:rFonts w:ascii="宋体" w:hAnsi="宋体" w:cs="宋体"/>
          <w:color w:val="000000" w:themeColor="text1"/>
          <w:spacing w:val="2"/>
          <w:sz w:val="24"/>
          <w:highlight w:val="none"/>
          <w:u w:val="single"/>
          <w14:textFill>
            <w14:solidFill>
              <w14:schemeClr w14:val="tx1"/>
            </w14:solidFill>
          </w14:textFill>
        </w:rPr>
        <w:t>（项目名称</w:t>
      </w:r>
      <w:r>
        <w:rPr>
          <w:rFonts w:ascii="宋体" w:hAnsi="宋体" w:cs="宋体"/>
          <w:color w:val="000000" w:themeColor="text1"/>
          <w:spacing w:val="-20"/>
          <w:sz w:val="24"/>
          <w:highlight w:val="none"/>
          <w:u w:val="single"/>
          <w14:textFill>
            <w14:solidFill>
              <w14:schemeClr w14:val="tx1"/>
            </w14:solidFill>
          </w14:textFill>
        </w:rPr>
        <w:t>）</w:t>
      </w:r>
      <w:r>
        <w:rPr>
          <w:rFonts w:ascii="宋体" w:hAnsi="宋体" w:cs="宋体"/>
          <w:color w:val="000000" w:themeColor="text1"/>
          <w:spacing w:val="36"/>
          <w:sz w:val="24"/>
          <w:highlight w:val="none"/>
          <w:u w:val="single"/>
          <w14:textFill>
            <w14:solidFill>
              <w14:schemeClr w14:val="tx1"/>
            </w14:solidFill>
          </w14:textFill>
        </w:rPr>
        <w:t xml:space="preserve">   </w:t>
      </w:r>
      <w:r>
        <w:rPr>
          <w:rFonts w:ascii="宋体" w:hAnsi="宋体" w:cs="宋体"/>
          <w:color w:val="000000" w:themeColor="text1"/>
          <w:spacing w:val="-20"/>
          <w:sz w:val="24"/>
          <w:highlight w:val="none"/>
          <w:u w:val="single"/>
          <w14:textFill>
            <w14:solidFill>
              <w14:schemeClr w14:val="tx1"/>
            </w14:solidFill>
          </w14:textFill>
        </w:rPr>
        <w:t>（</w:t>
      </w:r>
      <w:r>
        <w:rPr>
          <w:rFonts w:ascii="宋体" w:hAnsi="宋体" w:cs="宋体"/>
          <w:color w:val="000000" w:themeColor="text1"/>
          <w:spacing w:val="2"/>
          <w:sz w:val="24"/>
          <w:highlight w:val="none"/>
          <w:u w:val="single"/>
          <w14:textFill>
            <w14:solidFill>
              <w14:schemeClr w14:val="tx1"/>
            </w14:solidFill>
          </w14:textFill>
        </w:rPr>
        <w:t>标类或标段）</w:t>
      </w:r>
      <w:r>
        <w:rPr>
          <w:rFonts w:ascii="宋体" w:hAnsi="宋体" w:cs="宋体"/>
          <w:color w:val="000000" w:themeColor="text1"/>
          <w:spacing w:val="2"/>
          <w:sz w:val="24"/>
          <w:highlight w:val="none"/>
          <w14:textFill>
            <w14:solidFill>
              <w14:schemeClr w14:val="tx1"/>
            </w14:solidFill>
          </w14:textFill>
        </w:rPr>
        <w:t>施工的投标</w:t>
      </w:r>
      <w:r>
        <w:rPr>
          <w:rFonts w:ascii="宋体" w:hAnsi="宋体" w:cs="宋体"/>
          <w:color w:val="000000" w:themeColor="text1"/>
          <w:spacing w:val="-20"/>
          <w:sz w:val="24"/>
          <w:highlight w:val="none"/>
          <w14:textFill>
            <w14:solidFill>
              <w14:schemeClr w14:val="tx1"/>
            </w14:solidFill>
          </w14:textFill>
        </w:rPr>
        <w:t>，</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pacing w:val="-20"/>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担保人名</w:t>
      </w:r>
      <w:r>
        <w:rPr>
          <w:rFonts w:ascii="宋体" w:hAnsi="宋体" w:cs="宋体"/>
          <w:color w:val="000000" w:themeColor="text1"/>
          <w:spacing w:val="-2"/>
          <w:sz w:val="24"/>
          <w:highlight w:val="none"/>
          <w14:textFill>
            <w14:solidFill>
              <w14:schemeClr w14:val="tx1"/>
            </w14:solidFill>
          </w14:textFill>
        </w:rPr>
        <w:t>称，以下简称“我方</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”）无条件地、不可撤销地保证：</w:t>
      </w:r>
      <w:r>
        <w:rPr>
          <w:rFonts w:ascii="宋体" w:hAnsi="宋体" w:cs="宋体"/>
          <w:color w:val="000000" w:themeColor="text1"/>
          <w:spacing w:val="-3"/>
          <w:sz w:val="24"/>
          <w:highlight w:val="none"/>
          <w14:textFill>
            <w14:solidFill>
              <w14:schemeClr w14:val="tx1"/>
            </w14:solidFill>
          </w14:textFill>
        </w:rPr>
        <w:t>若投标人在投标有效期内撤销投</w:t>
      </w:r>
      <w:r>
        <w:rPr>
          <w:rFonts w:ascii="宋体" w:hAnsi="宋体" w:cs="宋体"/>
          <w:color w:val="000000" w:themeColor="text1"/>
          <w:spacing w:val="-6"/>
          <w:sz w:val="24"/>
          <w:highlight w:val="none"/>
          <w14:textFill>
            <w14:solidFill>
              <w14:schemeClr w14:val="tx1"/>
            </w14:solidFill>
          </w14:textFill>
        </w:rPr>
        <w:t>标文件，中标后无正当理由不与招标人订立合同，在签订合同时向招标人提出附加条</w:t>
      </w:r>
      <w:r>
        <w:rPr>
          <w:rFonts w:ascii="宋体" w:hAnsi="宋体" w:cs="宋体"/>
          <w:color w:val="000000" w:themeColor="text1"/>
          <w:spacing w:val="-7"/>
          <w:sz w:val="24"/>
          <w:highlight w:val="none"/>
          <w14:textFill>
            <w14:solidFill>
              <w14:schemeClr w14:val="tx1"/>
            </w14:solidFill>
          </w14:textFill>
        </w:rPr>
        <w:t>件，</w:t>
      </w:r>
      <w:r>
        <w:rPr>
          <w:rFonts w:ascii="宋体" w:hAnsi="宋体" w:cs="宋体"/>
          <w:color w:val="000000" w:themeColor="text1"/>
          <w:spacing w:val="-2"/>
          <w:sz w:val="24"/>
          <w:highlight w:val="none"/>
          <w14:textFill>
            <w14:solidFill>
              <w14:schemeClr w14:val="tx1"/>
            </w14:solidFill>
          </w14:textFill>
        </w:rPr>
        <w:t>不按照招标文件要求提交履约保证金，或者发生招标文件明确规定可以不予退还投标保</w:t>
      </w:r>
      <w:r>
        <w:rPr>
          <w:rFonts w:ascii="宋体" w:hAnsi="宋体" w:cs="宋体"/>
          <w:color w:val="000000" w:themeColor="text1"/>
          <w:spacing w:val="-3"/>
          <w:sz w:val="24"/>
          <w:highlight w:val="none"/>
          <w14:textFill>
            <w14:solidFill>
              <w14:schemeClr w14:val="tx1"/>
            </w14:solidFill>
          </w14:textFill>
        </w:rPr>
        <w:t>证金的其他情形，我方承担保证责任。收到你方书面</w:t>
      </w:r>
      <w:r>
        <w:rPr>
          <w:rFonts w:ascii="宋体" w:hAnsi="宋体" w:cs="宋体"/>
          <w:color w:val="000000" w:themeColor="text1"/>
          <w:spacing w:val="-4"/>
          <w:sz w:val="24"/>
          <w:highlight w:val="none"/>
          <w14:textFill>
            <w14:solidFill>
              <w14:schemeClr w14:val="tx1"/>
            </w14:solidFill>
          </w14:textFill>
        </w:rPr>
        <w:t>通知后，我方在</w:t>
      </w:r>
      <w:r>
        <w:rPr>
          <w:rFonts w:ascii="宋体" w:hAnsi="宋体" w:cs="宋体"/>
          <w:color w:val="000000" w:themeColor="text1"/>
          <w:spacing w:val="-45"/>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7 日内向你方无条</w:t>
      </w:r>
      <w:r>
        <w:rPr>
          <w:rFonts w:ascii="宋体" w:hAnsi="宋体" w:cs="宋体"/>
          <w:color w:val="000000" w:themeColor="text1"/>
          <w:spacing w:val="-1"/>
          <w:sz w:val="24"/>
          <w:highlight w:val="none"/>
          <w14:textFill>
            <w14:solidFill>
              <w14:schemeClr w14:val="tx1"/>
            </w14:solidFill>
          </w14:textFill>
        </w:rPr>
        <w:t>件支付人民币（大写）</w:t>
      </w:r>
      <w:r>
        <w:rPr>
          <w:rFonts w:ascii="宋体" w:hAnsi="宋体" w:cs="宋体"/>
          <w:color w:val="000000" w:themeColor="text1"/>
          <w:spacing w:val="-1"/>
          <w:sz w:val="24"/>
          <w:highlight w:val="none"/>
          <w:u w:val="single"/>
          <w14:textFill>
            <w14:solidFill>
              <w14:schemeClr w14:val="tx1"/>
            </w14:solidFill>
          </w14:textFill>
        </w:rPr>
        <w:t xml:space="preserve">             </w:t>
      </w:r>
      <w:r>
        <w:rPr>
          <w:rFonts w:ascii="宋体" w:hAnsi="宋体" w:cs="宋体"/>
          <w:color w:val="000000" w:themeColor="text1"/>
          <w:spacing w:val="-105"/>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元。</w:t>
      </w:r>
    </w:p>
    <w:p w14:paraId="6551C575">
      <w:pPr>
        <w:spacing w:before="1" w:line="362" w:lineRule="auto"/>
        <w:ind w:left="9" w:right="61"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本保函在投标有效期或经延长的投标有效期内保持有效。要求我方承担保证责任的</w:t>
      </w:r>
      <w:r>
        <w:rPr>
          <w:rFonts w:ascii="宋体" w:hAnsi="宋体" w:cs="宋体"/>
          <w:color w:val="000000" w:themeColor="text1"/>
          <w:sz w:val="24"/>
          <w:highlight w:val="none"/>
          <w14:textFill>
            <w14:solidFill>
              <w14:schemeClr w14:val="tx1"/>
            </w14:solidFill>
          </w14:textFill>
        </w:rPr>
        <w:t>通知应在上述期限内送达我方。你方延长投标有效</w:t>
      </w:r>
      <w:r>
        <w:rPr>
          <w:rFonts w:ascii="宋体" w:hAnsi="宋体" w:cs="宋体"/>
          <w:color w:val="000000" w:themeColor="text1"/>
          <w:spacing w:val="-1"/>
          <w:sz w:val="24"/>
          <w:highlight w:val="none"/>
          <w14:textFill>
            <w14:solidFill>
              <w14:schemeClr w14:val="tx1"/>
            </w14:solidFill>
          </w14:textFill>
        </w:rPr>
        <w:t>期的决定，应通知我方。</w:t>
      </w:r>
    </w:p>
    <w:p w14:paraId="70E92EF1">
      <w:pPr>
        <w:adjustRightInd w:val="0"/>
        <w:snapToGrid w:val="0"/>
        <w:spacing w:line="360" w:lineRule="auto"/>
        <w:rPr>
          <w:rFonts w:hint="eastAsia" w:ascii="宋体" w:hAnsi="宋体" w:cs="宋体"/>
          <w:color w:val="000000" w:themeColor="text1"/>
          <w:sz w:val="24"/>
          <w:highlight w:val="none"/>
          <w14:textFill>
            <w14:solidFill>
              <w14:schemeClr w14:val="tx1"/>
            </w14:solidFill>
          </w14:textFill>
        </w:rPr>
      </w:pPr>
    </w:p>
    <w:p w14:paraId="0A1B7EC2">
      <w:pPr>
        <w:tabs>
          <w:tab w:val="left" w:pos="2977"/>
          <w:tab w:val="left" w:pos="3261"/>
        </w:tabs>
        <w:spacing w:line="360" w:lineRule="exact"/>
        <w:ind w:firstLine="3120" w:firstLineChars="13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担保人名称：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（盖单位章）</w:t>
      </w:r>
    </w:p>
    <w:p w14:paraId="055A624D">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法定代表人或其委托代理人：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（签字</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hint="eastAsia" w:ascii="宋体" w:hAnsi="宋体" w:cs="宋体"/>
          <w:color w:val="000000" w:themeColor="text1"/>
          <w:sz w:val="24"/>
          <w:highlight w:val="none"/>
          <w14:textFill>
            <w14:solidFill>
              <w14:schemeClr w14:val="tx1"/>
            </w14:solidFill>
          </w14:textFill>
        </w:rPr>
        <w:t>）</w:t>
      </w:r>
    </w:p>
    <w:p w14:paraId="453E08FD">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地    址：</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721DC7A8">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邮政编码：</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3415736F">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电    话：</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65E704DF">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传    真：</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0A039899">
      <w:pPr>
        <w:spacing w:line="36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11DFE0C2">
      <w:pPr>
        <w:widowControl/>
        <w:ind w:firstLine="4560" w:firstLineChars="19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4DAB88D1">
      <w:pPr>
        <w:widowControl/>
        <w:ind w:firstLine="4560" w:firstLineChars="1900"/>
        <w:jc w:val="left"/>
        <w:rPr>
          <w:rFonts w:hint="eastAsia" w:ascii="宋体" w:hAnsi="宋体" w:cs="宋体"/>
          <w:color w:val="000000" w:themeColor="text1"/>
          <w:sz w:val="24"/>
          <w:highlight w:val="none"/>
          <w14:textFill>
            <w14:solidFill>
              <w14:schemeClr w14:val="tx1"/>
            </w14:solidFill>
          </w14:textFill>
        </w:rPr>
      </w:pPr>
    </w:p>
    <w:p w14:paraId="02266864">
      <w:pPr>
        <w:widowControl/>
        <w:ind w:firstLine="4560" w:firstLineChars="1900"/>
        <w:jc w:val="left"/>
        <w:rPr>
          <w:rFonts w:hint="eastAsia" w:ascii="宋体" w:hAnsi="宋体" w:cs="宋体"/>
          <w:color w:val="000000" w:themeColor="text1"/>
          <w:sz w:val="24"/>
          <w:highlight w:val="none"/>
          <w14:textFill>
            <w14:solidFill>
              <w14:schemeClr w14:val="tx1"/>
            </w14:solidFill>
          </w14:textFill>
        </w:rPr>
      </w:pPr>
    </w:p>
    <w:p w14:paraId="10371BE6">
      <w:pPr>
        <w:widowControl/>
        <w:jc w:val="left"/>
        <w:rPr>
          <w:rFonts w:hint="eastAsia" w:ascii="宋体" w:hAnsi="宋体" w:cs="宋体"/>
          <w:color w:val="000000" w:themeColor="text1"/>
          <w:sz w:val="24"/>
          <w:highlight w:val="none"/>
          <w14:textFill>
            <w14:solidFill>
              <w14:schemeClr w14:val="tx1"/>
            </w14:solidFill>
          </w14:textFill>
        </w:rPr>
      </w:pPr>
    </w:p>
    <w:p w14:paraId="53690F51">
      <w:pPr>
        <w:adjustRightInd w:val="0"/>
        <w:snapToGrid w:val="0"/>
        <w:spacing w:line="360" w:lineRule="auto"/>
        <w:rPr>
          <w:rFonts w:hint="eastAsia" w:ascii="宋体" w:hAnsi="宋体" w:cs="宋体"/>
          <w:color w:val="000000" w:themeColor="text1"/>
          <w:spacing w:val="8"/>
          <w:sz w:val="20"/>
          <w:szCs w:val="20"/>
          <w:highlight w:val="none"/>
          <w14:textFill>
            <w14:solidFill>
              <w14:schemeClr w14:val="tx1"/>
            </w14:solidFill>
          </w14:textFill>
        </w:rPr>
      </w:pPr>
      <w:r>
        <w:rPr>
          <w:rFonts w:ascii="宋体" w:hAnsi="宋体" w:cs="宋体"/>
          <w:color w:val="000000" w:themeColor="text1"/>
          <w:spacing w:val="11"/>
          <w:sz w:val="20"/>
          <w:szCs w:val="20"/>
          <w:highlight w:val="none"/>
          <w14:textFill>
            <w14:solidFill>
              <w14:schemeClr w14:val="tx1"/>
            </w14:solidFill>
          </w14:textFill>
        </w:rPr>
        <w:t>注：本保函格式只作为参考，投标人可根据当地银行及相关规定的格</w:t>
      </w:r>
      <w:r>
        <w:rPr>
          <w:rFonts w:ascii="宋体" w:hAnsi="宋体" w:cs="宋体"/>
          <w:color w:val="000000" w:themeColor="text1"/>
          <w:spacing w:val="10"/>
          <w:sz w:val="20"/>
          <w:szCs w:val="20"/>
          <w:highlight w:val="none"/>
          <w14:textFill>
            <w14:solidFill>
              <w14:schemeClr w14:val="tx1"/>
            </w14:solidFill>
          </w14:textFill>
        </w:rPr>
        <w:t>式填写，但主要内容须与本保函内容原则上保持一致。如：“本保函在投标有效期或经延长的投标有效期内保持有效</w:t>
      </w:r>
      <w:r>
        <w:rPr>
          <w:rFonts w:ascii="宋体" w:hAnsi="宋体" w:cs="宋体"/>
          <w:color w:val="000000" w:themeColor="text1"/>
          <w:spacing w:val="-68"/>
          <w:sz w:val="20"/>
          <w:szCs w:val="20"/>
          <w:highlight w:val="none"/>
          <w14:textFill>
            <w14:solidFill>
              <w14:schemeClr w14:val="tx1"/>
            </w14:solidFill>
          </w14:textFill>
        </w:rPr>
        <w:t xml:space="preserve"> </w:t>
      </w:r>
      <w:r>
        <w:rPr>
          <w:rFonts w:ascii="宋体" w:hAnsi="宋体" w:cs="宋体"/>
          <w:color w:val="000000" w:themeColor="text1"/>
          <w:spacing w:val="10"/>
          <w:sz w:val="20"/>
          <w:szCs w:val="20"/>
          <w:highlight w:val="none"/>
          <w14:textFill>
            <w14:solidFill>
              <w14:schemeClr w14:val="tx1"/>
            </w14:solidFill>
          </w14:textFill>
        </w:rPr>
        <w:t>”可改为本</w:t>
      </w:r>
      <w:r>
        <w:rPr>
          <w:rFonts w:ascii="宋体" w:hAnsi="宋体" w:cs="宋体"/>
          <w:color w:val="000000" w:themeColor="text1"/>
          <w:spacing w:val="8"/>
          <w:sz w:val="20"/>
          <w:szCs w:val="20"/>
          <w:highlight w:val="none"/>
          <w14:textFill>
            <w14:solidFill>
              <w14:schemeClr w14:val="tx1"/>
            </w14:solidFill>
          </w14:textFill>
        </w:rPr>
        <w:t>保函自</w:t>
      </w:r>
      <w:r>
        <w:rPr>
          <w:rFonts w:ascii="宋体" w:hAnsi="宋体" w:cs="宋体"/>
          <w:color w:val="000000" w:themeColor="text1"/>
          <w:spacing w:val="8"/>
          <w:sz w:val="20"/>
          <w:szCs w:val="20"/>
          <w:highlight w:val="none"/>
          <w:u w:val="single"/>
          <w14:textFill>
            <w14:solidFill>
              <w14:schemeClr w14:val="tx1"/>
            </w14:solidFill>
          </w14:textFill>
        </w:rPr>
        <w:t xml:space="preserve">     （生效日期）</w:t>
      </w:r>
      <w:r>
        <w:rPr>
          <w:rFonts w:ascii="宋体" w:hAnsi="宋体" w:cs="宋体"/>
          <w:color w:val="000000" w:themeColor="text1"/>
          <w:spacing w:val="8"/>
          <w:sz w:val="20"/>
          <w:szCs w:val="20"/>
          <w:highlight w:val="none"/>
          <w14:textFill>
            <w14:solidFill>
              <w14:schemeClr w14:val="tx1"/>
            </w14:solidFill>
          </w14:textFill>
        </w:rPr>
        <w:t>之日起生效，至</w:t>
      </w:r>
      <w:r>
        <w:rPr>
          <w:rFonts w:ascii="宋体" w:hAnsi="宋体" w:cs="宋体"/>
          <w:color w:val="000000" w:themeColor="text1"/>
          <w:spacing w:val="8"/>
          <w:sz w:val="20"/>
          <w:szCs w:val="20"/>
          <w:highlight w:val="none"/>
          <w:u w:val="single"/>
          <w14:textFill>
            <w14:solidFill>
              <w14:schemeClr w14:val="tx1"/>
            </w14:solidFill>
          </w14:textFill>
        </w:rPr>
        <w:t xml:space="preserve">  （失效日期）</w:t>
      </w:r>
      <w:r>
        <w:rPr>
          <w:rFonts w:ascii="宋体" w:hAnsi="宋体" w:cs="宋体"/>
          <w:color w:val="000000" w:themeColor="text1"/>
          <w:spacing w:val="8"/>
          <w:sz w:val="20"/>
          <w:szCs w:val="20"/>
          <w:highlight w:val="none"/>
          <w14:textFill>
            <w14:solidFill>
              <w14:schemeClr w14:val="tx1"/>
            </w14:solidFill>
          </w14:textFill>
        </w:rPr>
        <w:t>之日失效。</w:t>
      </w:r>
    </w:p>
    <w:p w14:paraId="2E025CCA">
      <w:pPr>
        <w:adjustRightInd w:val="0"/>
        <w:snapToGrid w:val="0"/>
        <w:spacing w:line="360" w:lineRule="auto"/>
        <w:rPr>
          <w:rFonts w:hint="eastAsia" w:ascii="宋体" w:hAnsi="宋体" w:cs="宋体"/>
          <w:color w:val="000000" w:themeColor="text1"/>
          <w:spacing w:val="8"/>
          <w:sz w:val="20"/>
          <w:szCs w:val="20"/>
          <w:highlight w:val="none"/>
          <w14:textFill>
            <w14:solidFill>
              <w14:schemeClr w14:val="tx1"/>
            </w14:solidFill>
          </w14:textFill>
        </w:rPr>
      </w:pPr>
    </w:p>
    <w:p w14:paraId="1C8F9DA7">
      <w:pPr>
        <w:adjustRightInd w:val="0"/>
        <w:snapToGrid w:val="0"/>
        <w:spacing w:line="360" w:lineRule="auto"/>
        <w:rPr>
          <w:rFonts w:hint="eastAsia" w:ascii="宋体" w:hAnsi="宋体" w:cs="宋体"/>
          <w:color w:val="000000" w:themeColor="text1"/>
          <w:spacing w:val="8"/>
          <w:sz w:val="20"/>
          <w:szCs w:val="20"/>
          <w:highlight w:val="none"/>
          <w14:textFill>
            <w14:solidFill>
              <w14:schemeClr w14:val="tx1"/>
            </w14:solidFill>
          </w14:textFill>
        </w:rPr>
      </w:pPr>
    </w:p>
    <w:p w14:paraId="54396526">
      <w:pPr>
        <w:pStyle w:val="5"/>
        <w:jc w:val="center"/>
        <w:rPr>
          <w:color w:val="000000" w:themeColor="text1"/>
          <w:highlight w:val="none"/>
          <w14:textFill>
            <w14:solidFill>
              <w14:schemeClr w14:val="tx1"/>
            </w14:solidFill>
          </w14:textFill>
        </w:rPr>
      </w:pPr>
      <w:bookmarkStart w:id="436" w:name="_Toc3055"/>
      <w:r>
        <w:rPr>
          <w:color w:val="000000" w:themeColor="text1"/>
          <w:highlight w:val="none"/>
          <w14:textFill>
            <w14:solidFill>
              <w14:schemeClr w14:val="tx1"/>
            </w14:solidFill>
          </w14:textFill>
        </w:rPr>
        <w:t>五、施工组织设计及承包人项目管理方案</w:t>
      </w:r>
      <w:bookmarkEnd w:id="436"/>
    </w:p>
    <w:p w14:paraId="2A7A9383">
      <w:pPr>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42344B7">
      <w:pPr>
        <w:kinsoku w:val="0"/>
        <w:autoSpaceDE w:val="0"/>
        <w:autoSpaceDN w:val="0"/>
        <w:adjustRightInd w:val="0"/>
        <w:snapToGrid w:val="0"/>
        <w:spacing w:line="25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273B904">
      <w:pPr>
        <w:widowControl/>
        <w:kinsoku w:val="0"/>
        <w:autoSpaceDE w:val="0"/>
        <w:autoSpaceDN w:val="0"/>
        <w:adjustRightInd w:val="0"/>
        <w:snapToGrid w:val="0"/>
        <w:spacing w:before="91" w:line="220" w:lineRule="auto"/>
        <w:ind w:left="3350"/>
        <w:jc w:val="left"/>
        <w:textAlignment w:val="baseline"/>
        <w:rPr>
          <w:rFonts w:hint="eastAsia" w:ascii="宋体" w:hAnsi="宋体" w:cs="宋体"/>
          <w:snapToGrid w:val="0"/>
          <w:color w:val="000000" w:themeColor="text1"/>
          <w:kern w:val="0"/>
          <w:sz w:val="28"/>
          <w:szCs w:val="28"/>
          <w:highlight w:val="none"/>
          <w14:textFill>
            <w14:solidFill>
              <w14:schemeClr w14:val="tx1"/>
            </w14:solidFill>
          </w14:textFill>
        </w:rPr>
      </w:pPr>
      <w:r>
        <w:rPr>
          <w:rFonts w:ascii="宋体" w:hAnsi="宋体" w:cs="宋体"/>
          <w:b/>
          <w:bCs/>
          <w:snapToGrid w:val="0"/>
          <w:color w:val="000000" w:themeColor="text1"/>
          <w:spacing w:val="-3"/>
          <w:kern w:val="0"/>
          <w:sz w:val="28"/>
          <w:szCs w:val="28"/>
          <w:highlight w:val="none"/>
          <w14:textFill>
            <w14:solidFill>
              <w14:schemeClr w14:val="tx1"/>
            </w14:solidFill>
          </w14:textFill>
        </w:rPr>
        <w:t>第一部分</w:t>
      </w:r>
      <w:r>
        <w:rPr>
          <w:rFonts w:ascii="宋体" w:hAnsi="宋体" w:cs="宋体"/>
          <w:snapToGrid w:val="0"/>
          <w:color w:val="000000" w:themeColor="text1"/>
          <w:spacing w:val="-3"/>
          <w:kern w:val="0"/>
          <w:sz w:val="28"/>
          <w:szCs w:val="28"/>
          <w:highlight w:val="none"/>
          <w14:textFill>
            <w14:solidFill>
              <w14:schemeClr w14:val="tx1"/>
            </w14:solidFill>
          </w14:textFill>
        </w:rPr>
        <w:t xml:space="preserve"> </w:t>
      </w:r>
      <w:r>
        <w:rPr>
          <w:rFonts w:ascii="宋体" w:hAnsi="宋体" w:cs="宋体"/>
          <w:b/>
          <w:bCs/>
          <w:snapToGrid w:val="0"/>
          <w:color w:val="000000" w:themeColor="text1"/>
          <w:spacing w:val="-3"/>
          <w:kern w:val="0"/>
          <w:sz w:val="28"/>
          <w:szCs w:val="28"/>
          <w:highlight w:val="none"/>
          <w14:textFill>
            <w14:solidFill>
              <w14:schemeClr w14:val="tx1"/>
            </w14:solidFill>
          </w14:textFill>
        </w:rPr>
        <w:t>施工组织设计</w:t>
      </w:r>
    </w:p>
    <w:p w14:paraId="7E81321D">
      <w:pPr>
        <w:widowControl/>
        <w:kinsoku w:val="0"/>
        <w:autoSpaceDE w:val="0"/>
        <w:autoSpaceDN w:val="0"/>
        <w:adjustRightInd w:val="0"/>
        <w:snapToGrid w:val="0"/>
        <w:spacing w:before="234" w:line="360" w:lineRule="auto"/>
        <w:ind w:left="7" w:right="8" w:firstLine="484"/>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根据《广东省公路工程施工标准化指南》及《公路工程施工安全防护设施技术指南》，投标人应按以下要点编制施工组织设计，契合项目实际，突出重点，抓住关键。</w:t>
      </w:r>
    </w:p>
    <w:p w14:paraId="172147ED">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1、总体施工组织布置及规划</w:t>
      </w:r>
    </w:p>
    <w:p w14:paraId="508D8C53">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2、主要工程项目的施工方案与技术措施</w:t>
      </w:r>
    </w:p>
    <w:p w14:paraId="1805D304">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3、工期保证措施</w:t>
      </w:r>
    </w:p>
    <w:p w14:paraId="4544F4B9">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4、工程质量保证措施</w:t>
      </w:r>
    </w:p>
    <w:p w14:paraId="515C8E76">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5、安全生产保证措施</w:t>
      </w:r>
    </w:p>
    <w:p w14:paraId="789A9664">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6、环境保护、水土保持保证措施</w:t>
      </w:r>
    </w:p>
    <w:p w14:paraId="72BC8B03">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7、文明施工、文物保护保证措施</w:t>
      </w:r>
    </w:p>
    <w:p w14:paraId="3AF1C041">
      <w:pPr>
        <w:spacing w:line="440" w:lineRule="exact"/>
        <w:ind w:firstLine="420" w:firstLineChars="17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8、其他应说明的事项</w:t>
      </w:r>
    </w:p>
    <w:p w14:paraId="7E8ED302">
      <w:pPr>
        <w:pStyle w:val="7"/>
        <w:rPr>
          <w:color w:val="000000" w:themeColor="text1"/>
          <w:highlight w:val="none"/>
          <w14:textFill>
            <w14:solidFill>
              <w14:schemeClr w14:val="tx1"/>
            </w14:solidFill>
          </w14:textFill>
        </w:rPr>
        <w:sectPr>
          <w:headerReference r:id="rId98" w:type="default"/>
          <w:footerReference r:id="rId99" w:type="default"/>
          <w:pgSz w:w="11906" w:h="16839"/>
          <w:pgMar w:top="1182" w:right="1416" w:bottom="1168" w:left="1417" w:header="849" w:footer="934" w:gutter="0"/>
          <w:cols w:space="720" w:num="1"/>
        </w:sectPr>
      </w:pPr>
    </w:p>
    <w:p w14:paraId="544F5427">
      <w:pPr>
        <w:widowControl/>
        <w:kinsoku w:val="0"/>
        <w:autoSpaceDE w:val="0"/>
        <w:autoSpaceDN w:val="0"/>
        <w:adjustRightInd w:val="0"/>
        <w:snapToGrid w:val="0"/>
        <w:spacing w:before="91" w:line="235" w:lineRule="auto"/>
        <w:ind w:left="2862"/>
        <w:jc w:val="left"/>
        <w:textAlignment w:val="baseline"/>
        <w:rPr>
          <w:rFonts w:hint="eastAsia" w:ascii="宋体" w:hAnsi="宋体" w:cs="宋体"/>
          <w:snapToGrid w:val="0"/>
          <w:color w:val="000000" w:themeColor="text1"/>
          <w:kern w:val="0"/>
          <w:sz w:val="13"/>
          <w:szCs w:val="13"/>
          <w:highlight w:val="none"/>
          <w14:textFill>
            <w14:solidFill>
              <w14:schemeClr w14:val="tx1"/>
            </w14:solidFill>
          </w14:textFill>
        </w:rPr>
      </w:pPr>
      <w:r>
        <w:rPr>
          <w:rFonts w:ascii="宋体" w:hAnsi="宋体" w:cs="宋体"/>
          <w:b/>
          <w:bCs/>
          <w:snapToGrid w:val="0"/>
          <w:color w:val="000000" w:themeColor="text1"/>
          <w:spacing w:val="-2"/>
          <w:kern w:val="0"/>
          <w:sz w:val="28"/>
          <w:szCs w:val="28"/>
          <w:highlight w:val="none"/>
          <w14:textFill>
            <w14:solidFill>
              <w14:schemeClr w14:val="tx1"/>
            </w14:solidFill>
          </w14:textFill>
        </w:rPr>
        <w:t>第二部分</w:t>
      </w:r>
      <w:r>
        <w:rPr>
          <w:rFonts w:ascii="宋体" w:hAnsi="宋体" w:cs="宋体"/>
          <w:snapToGrid w:val="0"/>
          <w:color w:val="000000" w:themeColor="text1"/>
          <w:spacing w:val="-2"/>
          <w:kern w:val="0"/>
          <w:sz w:val="28"/>
          <w:szCs w:val="28"/>
          <w:highlight w:val="none"/>
          <w14:textFill>
            <w14:solidFill>
              <w14:schemeClr w14:val="tx1"/>
            </w14:solidFill>
          </w14:textFill>
        </w:rPr>
        <w:t xml:space="preserve"> </w:t>
      </w:r>
      <w:r>
        <w:rPr>
          <w:rFonts w:ascii="宋体" w:hAnsi="宋体" w:cs="宋体"/>
          <w:b/>
          <w:bCs/>
          <w:snapToGrid w:val="0"/>
          <w:color w:val="000000" w:themeColor="text1"/>
          <w:spacing w:val="-2"/>
          <w:kern w:val="0"/>
          <w:sz w:val="28"/>
          <w:szCs w:val="28"/>
          <w:highlight w:val="none"/>
          <w14:textFill>
            <w14:solidFill>
              <w14:schemeClr w14:val="tx1"/>
            </w14:solidFill>
          </w14:textFill>
        </w:rPr>
        <w:t>承包人项目管理方案</w:t>
      </w:r>
    </w:p>
    <w:p w14:paraId="13D9C010">
      <w:pPr>
        <w:widowControl/>
        <w:kinsoku w:val="0"/>
        <w:autoSpaceDE w:val="0"/>
        <w:autoSpaceDN w:val="0"/>
        <w:adjustRightInd w:val="0"/>
        <w:snapToGrid w:val="0"/>
        <w:spacing w:line="360" w:lineRule="auto"/>
        <w:ind w:left="14" w:right="101" w:firstLine="480"/>
        <w:textAlignment w:val="baseline"/>
        <w:rPr>
          <w:rFonts w:hint="eastAsia" w:ascii="宋体" w:hAnsi="宋体" w:cs="宋体"/>
          <w:snapToGrid w:val="0"/>
          <w:color w:val="000000" w:themeColor="text1"/>
          <w:spacing w:val="-2"/>
          <w:kern w:val="0"/>
          <w:sz w:val="24"/>
          <w:highlight w:val="none"/>
          <w14:textFill>
            <w14:solidFill>
              <w14:schemeClr w14:val="tx1"/>
            </w14:solidFill>
          </w14:textFill>
        </w:rPr>
      </w:pPr>
    </w:p>
    <w:p w14:paraId="507D85CC">
      <w:pPr>
        <w:widowControl/>
        <w:kinsoku w:val="0"/>
        <w:autoSpaceDE w:val="0"/>
        <w:autoSpaceDN w:val="0"/>
        <w:adjustRightInd w:val="0"/>
        <w:snapToGrid w:val="0"/>
        <w:spacing w:line="360" w:lineRule="auto"/>
        <w:ind w:left="14" w:right="101" w:firstLine="480"/>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根据《广东省交通运输厅关于印发《关于推进公路建设项目管理改革的指导意</w:t>
      </w:r>
      <w:r>
        <w:rPr>
          <w:rFonts w:ascii="宋体" w:hAnsi="宋体" w:cs="宋体"/>
          <w:snapToGrid w:val="0"/>
          <w:color w:val="000000" w:themeColor="text1"/>
          <w:spacing w:val="-6"/>
          <w:kern w:val="0"/>
          <w:sz w:val="24"/>
          <w:highlight w:val="none"/>
          <w14:textFill>
            <w14:solidFill>
              <w14:schemeClr w14:val="tx1"/>
            </w14:solidFill>
          </w14:textFill>
        </w:rPr>
        <w:t>见（试行）》的通知》的精神和《广东省公路工程施工项目部管理指南(试行)》的要求，投标人应按以下要点编制项目管理方案。</w:t>
      </w:r>
    </w:p>
    <w:p w14:paraId="436724FA">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1、项目管理总体策划</w:t>
      </w:r>
    </w:p>
    <w:p w14:paraId="04D52674">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2、构建多层级项目组织管理架构</w:t>
      </w:r>
    </w:p>
    <w:p w14:paraId="34751BF2">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3、强化施工过程管理</w:t>
      </w:r>
    </w:p>
    <w:p w14:paraId="6E9C7D0B">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4、强化施工组织设计和施工方案管理</w:t>
      </w:r>
    </w:p>
    <w:p w14:paraId="216C7FE8">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5、强化设备管理</w:t>
      </w:r>
    </w:p>
    <w:p w14:paraId="1DF27952">
      <w:pPr>
        <w:spacing w:line="361" w:lineRule="auto"/>
        <w:rPr>
          <w:rFonts w:hint="eastAsia" w:ascii="宋体" w:hAnsi="宋体" w:cs="宋体"/>
          <w:color w:val="000000" w:themeColor="text1"/>
          <w:sz w:val="24"/>
          <w:highlight w:val="none"/>
          <w14:textFill>
            <w14:solidFill>
              <w14:schemeClr w14:val="tx1"/>
            </w14:solidFill>
          </w14:textFill>
        </w:rPr>
      </w:pPr>
    </w:p>
    <w:p w14:paraId="643C7BE1">
      <w:pPr>
        <w:spacing w:line="361" w:lineRule="auto"/>
        <w:rPr>
          <w:rFonts w:hint="eastAsia" w:ascii="宋体" w:hAnsi="宋体" w:cs="宋体"/>
          <w:color w:val="000000" w:themeColor="text1"/>
          <w:sz w:val="24"/>
          <w:highlight w:val="none"/>
          <w14:textFill>
            <w14:solidFill>
              <w14:schemeClr w14:val="tx1"/>
            </w14:solidFill>
          </w14:textFill>
        </w:rPr>
      </w:pPr>
    </w:p>
    <w:p w14:paraId="568D1C1A">
      <w:pPr>
        <w:spacing w:line="361" w:lineRule="auto"/>
        <w:rPr>
          <w:rFonts w:hint="eastAsia" w:ascii="宋体" w:hAnsi="宋体" w:cs="宋体"/>
          <w:color w:val="000000" w:themeColor="text1"/>
          <w:sz w:val="24"/>
          <w:highlight w:val="none"/>
          <w14:textFill>
            <w14:solidFill>
              <w14:schemeClr w14:val="tx1"/>
            </w14:solidFill>
          </w14:textFill>
        </w:rPr>
      </w:pPr>
    </w:p>
    <w:p w14:paraId="6940C8DA">
      <w:pPr>
        <w:spacing w:line="361" w:lineRule="auto"/>
        <w:rPr>
          <w:rFonts w:hint="eastAsia" w:ascii="宋体" w:hAnsi="宋体" w:cs="宋体"/>
          <w:color w:val="000000" w:themeColor="text1"/>
          <w:sz w:val="24"/>
          <w:highlight w:val="none"/>
          <w14:textFill>
            <w14:solidFill>
              <w14:schemeClr w14:val="tx1"/>
            </w14:solidFill>
          </w14:textFill>
        </w:rPr>
      </w:pPr>
    </w:p>
    <w:p w14:paraId="6D9AAB6D">
      <w:pPr>
        <w:spacing w:line="361" w:lineRule="auto"/>
        <w:rPr>
          <w:rFonts w:hint="eastAsia" w:ascii="宋体" w:hAnsi="宋体" w:cs="宋体"/>
          <w:color w:val="000000" w:themeColor="text1"/>
          <w:sz w:val="24"/>
          <w:highlight w:val="none"/>
          <w14:textFill>
            <w14:solidFill>
              <w14:schemeClr w14:val="tx1"/>
            </w14:solidFill>
          </w14:textFill>
        </w:rPr>
      </w:pPr>
    </w:p>
    <w:p w14:paraId="4AFC6C83">
      <w:pPr>
        <w:spacing w:line="361" w:lineRule="auto"/>
        <w:rPr>
          <w:rFonts w:hint="eastAsia" w:ascii="宋体" w:hAnsi="宋体" w:cs="宋体"/>
          <w:color w:val="000000" w:themeColor="text1"/>
          <w:sz w:val="24"/>
          <w:highlight w:val="none"/>
          <w14:textFill>
            <w14:solidFill>
              <w14:schemeClr w14:val="tx1"/>
            </w14:solidFill>
          </w14:textFill>
        </w:rPr>
      </w:pPr>
    </w:p>
    <w:p w14:paraId="30BC15D9">
      <w:pPr>
        <w:spacing w:line="361" w:lineRule="auto"/>
        <w:rPr>
          <w:rFonts w:hint="eastAsia" w:ascii="宋体" w:hAnsi="宋体" w:cs="宋体"/>
          <w:color w:val="000000" w:themeColor="text1"/>
          <w:sz w:val="24"/>
          <w:highlight w:val="none"/>
          <w14:textFill>
            <w14:solidFill>
              <w14:schemeClr w14:val="tx1"/>
            </w14:solidFill>
          </w14:textFill>
        </w:rPr>
      </w:pPr>
    </w:p>
    <w:p w14:paraId="25AC764E">
      <w:pPr>
        <w:spacing w:line="361" w:lineRule="auto"/>
        <w:rPr>
          <w:rFonts w:hint="eastAsia" w:ascii="宋体" w:hAnsi="宋体" w:cs="宋体"/>
          <w:color w:val="000000" w:themeColor="text1"/>
          <w:sz w:val="24"/>
          <w:highlight w:val="none"/>
          <w14:textFill>
            <w14:solidFill>
              <w14:schemeClr w14:val="tx1"/>
            </w14:solidFill>
          </w14:textFill>
        </w:rPr>
      </w:pPr>
    </w:p>
    <w:p w14:paraId="3E38C4E0">
      <w:pPr>
        <w:spacing w:line="361" w:lineRule="auto"/>
        <w:rPr>
          <w:rFonts w:hint="eastAsia" w:ascii="宋体" w:hAnsi="宋体" w:cs="宋体"/>
          <w:color w:val="000000" w:themeColor="text1"/>
          <w:sz w:val="24"/>
          <w:highlight w:val="none"/>
          <w14:textFill>
            <w14:solidFill>
              <w14:schemeClr w14:val="tx1"/>
            </w14:solidFill>
          </w14:textFill>
        </w:rPr>
      </w:pPr>
    </w:p>
    <w:p w14:paraId="7F91A816">
      <w:pPr>
        <w:spacing w:line="361"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r>
    </w:p>
    <w:p w14:paraId="0A23FACF">
      <w:pPr>
        <w:pStyle w:val="5"/>
        <w:jc w:val="center"/>
        <w:rPr>
          <w:color w:val="000000" w:themeColor="text1"/>
          <w:sz w:val="28"/>
          <w:szCs w:val="36"/>
          <w:highlight w:val="none"/>
          <w14:textFill>
            <w14:solidFill>
              <w14:schemeClr w14:val="tx1"/>
            </w14:solidFill>
          </w14:textFill>
        </w:rPr>
      </w:pPr>
      <w:bookmarkStart w:id="437" w:name="_Toc22808"/>
      <w:r>
        <w:rPr>
          <w:color w:val="000000" w:themeColor="text1"/>
          <w:sz w:val="28"/>
          <w:szCs w:val="36"/>
          <w:highlight w:val="none"/>
          <w14:textFill>
            <w14:solidFill>
              <w14:schemeClr w14:val="tx1"/>
            </w14:solidFill>
          </w14:textFill>
        </w:rPr>
        <w:t>六、项目管理机构</w:t>
      </w:r>
      <w:bookmarkEnd w:id="437"/>
    </w:p>
    <w:p w14:paraId="2F0B9F65">
      <w:pPr>
        <w:spacing w:before="190"/>
        <w:rPr>
          <w:color w:val="000000" w:themeColor="text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65EFD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8" w:hRule="atLeast"/>
        </w:trPr>
        <w:tc>
          <w:tcPr>
            <w:tcW w:w="9292" w:type="dxa"/>
          </w:tcPr>
          <w:p w14:paraId="0AB57A74">
            <w:pPr>
              <w:pStyle w:val="124"/>
              <w:spacing w:before="198" w:line="219" w:lineRule="auto"/>
              <w:ind w:left="116"/>
              <w:rPr>
                <w:rFonts w:hint="eastAsia"/>
                <w:color w:val="000000" w:themeColor="text1"/>
                <w:highlight w:val="none"/>
                <w:lang w:eastAsia="zh-CN"/>
                <w14:textFill>
                  <w14:solidFill>
                    <w14:schemeClr w14:val="tx1"/>
                  </w14:solidFill>
                </w14:textFill>
              </w:rPr>
            </w:pPr>
            <w:r>
              <w:rPr>
                <w:color w:val="000000" w:themeColor="text1"/>
                <w:spacing w:val="-1"/>
                <w:highlight w:val="none"/>
                <w:lang w:eastAsia="zh-CN"/>
                <w14:textFill>
                  <w14:solidFill>
                    <w14:schemeClr w14:val="tx1"/>
                  </w14:solidFill>
                </w14:textFill>
              </w:rPr>
              <w:t>拟为承包本标段工程设立的组织机构以框图方式表示。</w:t>
            </w:r>
          </w:p>
        </w:tc>
      </w:tr>
      <w:tr w14:paraId="74A98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0" w:hRule="atLeast"/>
        </w:trPr>
        <w:tc>
          <w:tcPr>
            <w:tcW w:w="9292" w:type="dxa"/>
          </w:tcPr>
          <w:p w14:paraId="2E7A6A6E">
            <w:pPr>
              <w:pStyle w:val="124"/>
              <w:spacing w:before="199" w:line="219" w:lineRule="auto"/>
              <w:ind w:left="119"/>
              <w:rPr>
                <w:rFonts w:hint="eastAsia"/>
                <w:color w:val="000000" w:themeColor="text1"/>
                <w:highlight w:val="none"/>
                <w14:textFill>
                  <w14:solidFill>
                    <w14:schemeClr w14:val="tx1"/>
                  </w14:solidFill>
                </w14:textFill>
              </w:rPr>
            </w:pPr>
            <w:r>
              <w:rPr>
                <w:color w:val="000000" w:themeColor="text1"/>
                <w:spacing w:val="-7"/>
                <w:highlight w:val="none"/>
                <w14:textFill>
                  <w14:solidFill>
                    <w14:schemeClr w14:val="tx1"/>
                  </w14:solidFill>
                </w14:textFill>
              </w:rPr>
              <w:t>说明</w:t>
            </w:r>
          </w:p>
        </w:tc>
      </w:tr>
    </w:tbl>
    <w:p w14:paraId="3DF05015">
      <w:pPr>
        <w:spacing w:line="361" w:lineRule="auto"/>
        <w:rPr>
          <w:rFonts w:hint="eastAsia" w:ascii="宋体" w:hAnsi="宋体" w:cs="宋体"/>
          <w:color w:val="000000" w:themeColor="text1"/>
          <w:sz w:val="24"/>
          <w:highlight w:val="none"/>
          <w14:textFill>
            <w14:solidFill>
              <w14:schemeClr w14:val="tx1"/>
            </w14:solidFill>
          </w14:textFill>
        </w:rPr>
        <w:sectPr>
          <w:headerReference r:id="rId100" w:type="default"/>
          <w:footerReference r:id="rId101" w:type="default"/>
          <w:pgSz w:w="11906" w:h="16839"/>
          <w:pgMar w:top="1182" w:right="1384" w:bottom="1168" w:left="1417" w:header="849" w:footer="934" w:gutter="0"/>
          <w:cols w:space="720" w:num="1"/>
        </w:sectPr>
      </w:pPr>
    </w:p>
    <w:p w14:paraId="19657C79">
      <w:pPr>
        <w:adjustRightInd w:val="0"/>
        <w:snapToGrid w:val="0"/>
        <w:spacing w:line="360" w:lineRule="auto"/>
        <w:rPr>
          <w:rFonts w:hint="eastAsia" w:ascii="宋体" w:hAnsi="宋体" w:cs="宋体"/>
          <w:color w:val="000000" w:themeColor="text1"/>
          <w:spacing w:val="8"/>
          <w:sz w:val="20"/>
          <w:szCs w:val="20"/>
          <w:highlight w:val="none"/>
          <w14:textFill>
            <w14:solidFill>
              <w14:schemeClr w14:val="tx1"/>
            </w14:solidFill>
          </w14:textFill>
        </w:rPr>
      </w:pPr>
    </w:p>
    <w:p w14:paraId="273EC00F">
      <w:pPr>
        <w:pStyle w:val="5"/>
        <w:jc w:val="center"/>
        <w:rPr>
          <w:color w:val="000000" w:themeColor="text1"/>
          <w:sz w:val="28"/>
          <w:szCs w:val="36"/>
          <w:highlight w:val="none"/>
          <w14:textFill>
            <w14:solidFill>
              <w14:schemeClr w14:val="tx1"/>
            </w14:solidFill>
          </w14:textFill>
        </w:rPr>
      </w:pPr>
      <w:bookmarkStart w:id="438" w:name="_Toc5453"/>
      <w:bookmarkStart w:id="439" w:name="_Toc234382976"/>
      <w:r>
        <w:rPr>
          <w:rFonts w:hint="eastAsia"/>
          <w:color w:val="000000" w:themeColor="text1"/>
          <w:sz w:val="28"/>
          <w:szCs w:val="36"/>
          <w:highlight w:val="none"/>
          <w14:textFill>
            <w14:solidFill>
              <w14:schemeClr w14:val="tx1"/>
            </w14:solidFill>
          </w14:textFill>
        </w:rPr>
        <w:t>七、资格审查资料（适用于未进行资格预审的）</w:t>
      </w:r>
      <w:bookmarkEnd w:id="438"/>
    </w:p>
    <w:p w14:paraId="51AA95BB">
      <w:pPr>
        <w:spacing w:before="79" w:line="219" w:lineRule="auto"/>
        <w:ind w:left="19"/>
        <w:rPr>
          <w:rFonts w:hint="eastAsia" w:ascii="宋体" w:hAnsi="宋体" w:cs="宋体"/>
          <w:color w:val="000000" w:themeColor="text1"/>
          <w:spacing w:val="-2"/>
          <w:sz w:val="24"/>
          <w:highlight w:val="none"/>
          <w14:textFill>
            <w14:solidFill>
              <w14:schemeClr w14:val="tx1"/>
            </w14:solidFill>
          </w14:textFill>
        </w:rPr>
      </w:pPr>
    </w:p>
    <w:p w14:paraId="66DF8974">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（一）投标人基本情况表</w:t>
      </w:r>
    </w:p>
    <w:p w14:paraId="001772DF">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（二）投标人企业组织机构框图</w:t>
      </w:r>
    </w:p>
    <w:p w14:paraId="42DE6460">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（三）近年财务状况表</w:t>
      </w:r>
    </w:p>
    <w:p w14:paraId="49FD4058">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（四）近年完成的类似项目情况表</w:t>
      </w:r>
    </w:p>
    <w:p w14:paraId="5E222130">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（四）-1完成的类似项目情况表</w:t>
      </w:r>
    </w:p>
    <w:p w14:paraId="6EF8797B">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（四）-2</w:t>
      </w:r>
      <w:r>
        <w:rPr>
          <w:rFonts w:ascii="宋体" w:hAnsi="宋体" w:cs="宋体"/>
          <w:color w:val="000000" w:themeColor="text1"/>
          <w:spacing w:val="-4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完成的类似项目情况汇总表</w:t>
      </w:r>
    </w:p>
    <w:p w14:paraId="4194424B">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（五）投标人的信誉情况表</w:t>
      </w:r>
    </w:p>
    <w:p w14:paraId="780EBF5E">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（六）拟委任的项目经理和项目总工等主要管理人员情况表</w:t>
      </w:r>
    </w:p>
    <w:p w14:paraId="62B821DA">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（六）-1拟委任的项目经理和项目总工等主要管理人员汇总表</w:t>
      </w:r>
    </w:p>
    <w:p w14:paraId="72B2F23E">
      <w:pPr>
        <w:spacing w:line="432"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（六）-2</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拟委任的项目经理和项目总工等主要管理人</w:t>
      </w:r>
      <w:r>
        <w:rPr>
          <w:rFonts w:ascii="宋体" w:hAnsi="宋体" w:cs="宋体"/>
          <w:color w:val="000000" w:themeColor="text1"/>
          <w:spacing w:val="-2"/>
          <w:sz w:val="24"/>
          <w:highlight w:val="none"/>
          <w14:textFill>
            <w14:solidFill>
              <w14:schemeClr w14:val="tx1"/>
            </w14:solidFill>
          </w14:textFill>
        </w:rPr>
        <w:t>员资历表</w:t>
      </w:r>
    </w:p>
    <w:p w14:paraId="4CFBB3AE">
      <w:pPr>
        <w:pStyle w:val="70"/>
        <w:rPr>
          <w:rFonts w:hint="eastAsia" w:ascii="宋体" w:hAnsi="宋体" w:cs="宋体"/>
          <w:color w:val="000000" w:themeColor="text1"/>
          <w:sz w:val="24"/>
          <w:highlight w:val="none"/>
          <w14:textFill>
            <w14:solidFill>
              <w14:schemeClr w14:val="tx1"/>
            </w14:solidFill>
          </w14:textFill>
        </w:rPr>
      </w:pPr>
    </w:p>
    <w:p w14:paraId="5850768D">
      <w:pPr>
        <w:rPr>
          <w:rFonts w:hint="eastAsia" w:ascii="宋体" w:hAnsi="宋体" w:cs="宋体"/>
          <w:b/>
          <w:color w:val="000000" w:themeColor="text1"/>
          <w:sz w:val="24"/>
          <w:highlight w:val="none"/>
          <w14:textFill>
            <w14:solidFill>
              <w14:schemeClr w14:val="tx1"/>
            </w14:solidFill>
          </w14:textFill>
        </w:rPr>
      </w:pPr>
    </w:p>
    <w:p w14:paraId="41D078B1">
      <w:pPr>
        <w:rPr>
          <w:rFonts w:hint="eastAsia" w:ascii="宋体" w:hAnsi="宋体" w:cs="宋体"/>
          <w:b/>
          <w:color w:val="000000" w:themeColor="text1"/>
          <w:sz w:val="24"/>
          <w:highlight w:val="none"/>
          <w14:textFill>
            <w14:solidFill>
              <w14:schemeClr w14:val="tx1"/>
            </w14:solidFill>
          </w14:textFill>
        </w:rPr>
      </w:pPr>
    </w:p>
    <w:p w14:paraId="5107D240">
      <w:pPr>
        <w:rPr>
          <w:rFonts w:hint="eastAsia" w:ascii="宋体" w:hAnsi="宋体" w:cs="宋体"/>
          <w:b/>
          <w:color w:val="000000" w:themeColor="text1"/>
          <w:sz w:val="24"/>
          <w:highlight w:val="none"/>
          <w14:textFill>
            <w14:solidFill>
              <w14:schemeClr w14:val="tx1"/>
            </w14:solidFill>
          </w14:textFill>
        </w:rPr>
      </w:pPr>
    </w:p>
    <w:p w14:paraId="09813A1B">
      <w:pPr>
        <w:rPr>
          <w:rFonts w:hint="eastAsia" w:ascii="宋体" w:hAnsi="宋体" w:cs="宋体"/>
          <w:b/>
          <w:color w:val="000000" w:themeColor="text1"/>
          <w:sz w:val="24"/>
          <w:highlight w:val="none"/>
          <w14:textFill>
            <w14:solidFill>
              <w14:schemeClr w14:val="tx1"/>
            </w14:solidFill>
          </w14:textFill>
        </w:rPr>
      </w:pPr>
    </w:p>
    <w:p w14:paraId="0519706D">
      <w:pPr>
        <w:pStyle w:val="70"/>
        <w:rPr>
          <w:rFonts w:hint="eastAsia" w:ascii="宋体" w:hAnsi="宋体" w:cs="宋体"/>
          <w:color w:val="000000" w:themeColor="text1"/>
          <w:sz w:val="24"/>
          <w:highlight w:val="none"/>
          <w14:textFill>
            <w14:solidFill>
              <w14:schemeClr w14:val="tx1"/>
            </w14:solidFill>
          </w14:textFill>
        </w:rPr>
      </w:pPr>
    </w:p>
    <w:p w14:paraId="2F276BA7">
      <w:pPr>
        <w:rPr>
          <w:rFonts w:hint="eastAsia" w:ascii="宋体" w:hAnsi="宋体" w:cs="宋体"/>
          <w:b/>
          <w:color w:val="000000" w:themeColor="text1"/>
          <w:sz w:val="24"/>
          <w:highlight w:val="none"/>
          <w14:textFill>
            <w14:solidFill>
              <w14:schemeClr w14:val="tx1"/>
            </w14:solidFill>
          </w14:textFill>
        </w:rPr>
      </w:pPr>
    </w:p>
    <w:p w14:paraId="33B428E4">
      <w:pPr>
        <w:pStyle w:val="70"/>
        <w:rPr>
          <w:rFonts w:hint="eastAsia" w:ascii="宋体" w:hAnsi="宋体" w:cs="宋体"/>
          <w:color w:val="000000" w:themeColor="text1"/>
          <w:sz w:val="24"/>
          <w:highlight w:val="none"/>
          <w14:textFill>
            <w14:solidFill>
              <w14:schemeClr w14:val="tx1"/>
            </w14:solidFill>
          </w14:textFill>
        </w:rPr>
      </w:pPr>
    </w:p>
    <w:p w14:paraId="463762D0">
      <w:pPr>
        <w:rPr>
          <w:rFonts w:hint="eastAsia" w:ascii="宋体" w:hAnsi="宋体" w:cs="宋体"/>
          <w:b/>
          <w:color w:val="000000" w:themeColor="text1"/>
          <w:sz w:val="24"/>
          <w:highlight w:val="none"/>
          <w14:textFill>
            <w14:solidFill>
              <w14:schemeClr w14:val="tx1"/>
            </w14:solidFill>
          </w14:textFill>
        </w:rPr>
      </w:pPr>
    </w:p>
    <w:p w14:paraId="18BA2FF9">
      <w:pPr>
        <w:pStyle w:val="70"/>
        <w:rPr>
          <w:rFonts w:hint="eastAsia" w:ascii="宋体" w:hAnsi="宋体" w:cs="宋体"/>
          <w:color w:val="000000" w:themeColor="text1"/>
          <w:sz w:val="24"/>
          <w:highlight w:val="none"/>
          <w14:textFill>
            <w14:solidFill>
              <w14:schemeClr w14:val="tx1"/>
            </w14:solidFill>
          </w14:textFill>
        </w:rPr>
      </w:pPr>
    </w:p>
    <w:p w14:paraId="33DF4EB6">
      <w:pPr>
        <w:rPr>
          <w:rFonts w:hint="eastAsia" w:ascii="宋体" w:hAnsi="宋体" w:cs="宋体"/>
          <w:b/>
          <w:color w:val="000000" w:themeColor="text1"/>
          <w:sz w:val="24"/>
          <w:highlight w:val="none"/>
          <w14:textFill>
            <w14:solidFill>
              <w14:schemeClr w14:val="tx1"/>
            </w14:solidFill>
          </w14:textFill>
        </w:rPr>
      </w:pPr>
    </w:p>
    <w:p w14:paraId="69FFEEFB">
      <w:pPr>
        <w:pStyle w:val="70"/>
        <w:rPr>
          <w:rFonts w:hint="eastAsia" w:ascii="宋体" w:hAnsi="宋体" w:cs="宋体"/>
          <w:color w:val="000000" w:themeColor="text1"/>
          <w:sz w:val="24"/>
          <w:highlight w:val="none"/>
          <w14:textFill>
            <w14:solidFill>
              <w14:schemeClr w14:val="tx1"/>
            </w14:solidFill>
          </w14:textFill>
        </w:rPr>
      </w:pPr>
    </w:p>
    <w:p w14:paraId="69AC5855">
      <w:pPr>
        <w:rPr>
          <w:rFonts w:hint="eastAsia" w:ascii="宋体" w:hAnsi="宋体" w:cs="宋体"/>
          <w:b/>
          <w:color w:val="000000" w:themeColor="text1"/>
          <w:sz w:val="24"/>
          <w:highlight w:val="none"/>
          <w14:textFill>
            <w14:solidFill>
              <w14:schemeClr w14:val="tx1"/>
            </w14:solidFill>
          </w14:textFill>
        </w:rPr>
      </w:pPr>
    </w:p>
    <w:p w14:paraId="085B1487">
      <w:pPr>
        <w:pStyle w:val="70"/>
        <w:rPr>
          <w:rFonts w:hint="eastAsia" w:ascii="宋体" w:hAnsi="宋体" w:cs="宋体"/>
          <w:color w:val="000000" w:themeColor="text1"/>
          <w:sz w:val="24"/>
          <w:highlight w:val="none"/>
          <w14:textFill>
            <w14:solidFill>
              <w14:schemeClr w14:val="tx1"/>
            </w14:solidFill>
          </w14:textFill>
        </w:rPr>
      </w:pPr>
    </w:p>
    <w:p w14:paraId="6A2AA5CD">
      <w:pPr>
        <w:rPr>
          <w:rFonts w:hint="eastAsia" w:ascii="宋体" w:hAnsi="宋体" w:cs="宋体"/>
          <w:b/>
          <w:color w:val="000000" w:themeColor="text1"/>
          <w:sz w:val="24"/>
          <w:highlight w:val="none"/>
          <w14:textFill>
            <w14:solidFill>
              <w14:schemeClr w14:val="tx1"/>
            </w14:solidFill>
          </w14:textFill>
        </w:rPr>
      </w:pPr>
    </w:p>
    <w:p w14:paraId="62174029">
      <w:pPr>
        <w:pStyle w:val="70"/>
        <w:rPr>
          <w:rFonts w:hint="eastAsia" w:ascii="宋体" w:hAnsi="宋体" w:cs="宋体"/>
          <w:color w:val="000000" w:themeColor="text1"/>
          <w:sz w:val="24"/>
          <w:highlight w:val="none"/>
          <w14:textFill>
            <w14:solidFill>
              <w14:schemeClr w14:val="tx1"/>
            </w14:solidFill>
          </w14:textFill>
        </w:rPr>
      </w:pPr>
    </w:p>
    <w:p w14:paraId="406D9C19">
      <w:pPr>
        <w:rPr>
          <w:rFonts w:hint="eastAsia" w:ascii="宋体" w:hAnsi="宋体" w:cs="宋体"/>
          <w:b/>
          <w:color w:val="000000" w:themeColor="text1"/>
          <w:sz w:val="24"/>
          <w:highlight w:val="none"/>
          <w14:textFill>
            <w14:solidFill>
              <w14:schemeClr w14:val="tx1"/>
            </w14:solidFill>
          </w14:textFill>
        </w:rPr>
      </w:pPr>
    </w:p>
    <w:p w14:paraId="7C2F4478">
      <w:pPr>
        <w:pStyle w:val="70"/>
        <w:rPr>
          <w:rFonts w:hint="eastAsia" w:ascii="宋体" w:hAnsi="宋体" w:cs="宋体"/>
          <w:color w:val="000000" w:themeColor="text1"/>
          <w:sz w:val="24"/>
          <w:highlight w:val="none"/>
          <w14:textFill>
            <w14:solidFill>
              <w14:schemeClr w14:val="tx1"/>
            </w14:solidFill>
          </w14:textFill>
        </w:rPr>
      </w:pPr>
    </w:p>
    <w:p w14:paraId="0D7FAD24">
      <w:pPr>
        <w:rPr>
          <w:rFonts w:hint="eastAsia" w:ascii="宋体" w:hAnsi="宋体" w:cs="宋体"/>
          <w:b/>
          <w:color w:val="000000" w:themeColor="text1"/>
          <w:sz w:val="24"/>
          <w:highlight w:val="none"/>
          <w14:textFill>
            <w14:solidFill>
              <w14:schemeClr w14:val="tx1"/>
            </w14:solidFill>
          </w14:textFill>
        </w:rPr>
      </w:pPr>
    </w:p>
    <w:p w14:paraId="3D066489">
      <w:pPr>
        <w:rPr>
          <w:color w:val="000000" w:themeColor="text1"/>
          <w:highlight w:val="none"/>
          <w14:textFill>
            <w14:solidFill>
              <w14:schemeClr w14:val="tx1"/>
            </w14:solidFill>
          </w14:textFill>
        </w:rPr>
      </w:pPr>
    </w:p>
    <w:p w14:paraId="610825B4">
      <w:pPr>
        <w:rPr>
          <w:rFonts w:hint="eastAsia" w:ascii="宋体" w:hAnsi="宋体" w:cs="宋体"/>
          <w:b/>
          <w:color w:val="000000" w:themeColor="text1"/>
          <w:sz w:val="24"/>
          <w:highlight w:val="none"/>
          <w14:textFill>
            <w14:solidFill>
              <w14:schemeClr w14:val="tx1"/>
            </w14:solidFill>
          </w14:textFill>
        </w:rPr>
      </w:pPr>
    </w:p>
    <w:p w14:paraId="5A836C13">
      <w:pPr>
        <w:pStyle w:val="6"/>
        <w:spacing w:before="168" w:after="120"/>
        <w:jc w:val="center"/>
        <w:rPr>
          <w:color w:val="000000" w:themeColor="text1"/>
          <w:highlight w:val="none"/>
          <w14:textFill>
            <w14:solidFill>
              <w14:schemeClr w14:val="tx1"/>
            </w14:solidFill>
          </w14:textFill>
        </w:rPr>
      </w:pPr>
      <w:bookmarkStart w:id="440" w:name="_Toc32461"/>
      <w:r>
        <w:rPr>
          <w:color w:val="000000" w:themeColor="text1"/>
          <w:highlight w:val="none"/>
          <w14:textFill>
            <w14:solidFill>
              <w14:schemeClr w14:val="tx1"/>
            </w14:solidFill>
          </w14:textFill>
        </w:rPr>
        <w:t>（一）投标人基本情况表</w:t>
      </w:r>
      <w:bookmarkEnd w:id="440"/>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5"/>
        <w:gridCol w:w="1123"/>
        <w:gridCol w:w="1458"/>
        <w:gridCol w:w="809"/>
        <w:gridCol w:w="300"/>
        <w:gridCol w:w="1513"/>
        <w:gridCol w:w="795"/>
        <w:gridCol w:w="1699"/>
      </w:tblGrid>
      <w:tr w14:paraId="04796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95" w:type="dxa"/>
          </w:tcPr>
          <w:p w14:paraId="0A205BBE">
            <w:pPr>
              <w:kinsoku w:val="0"/>
              <w:autoSpaceDE w:val="0"/>
              <w:autoSpaceDN w:val="0"/>
              <w:adjustRightInd w:val="0"/>
              <w:snapToGrid w:val="0"/>
              <w:spacing w:before="228" w:line="228" w:lineRule="auto"/>
              <w:ind w:left="28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投标人名称</w:t>
            </w:r>
          </w:p>
        </w:tc>
        <w:tc>
          <w:tcPr>
            <w:tcW w:w="7697" w:type="dxa"/>
            <w:gridSpan w:val="7"/>
            <w:vAlign w:val="center"/>
          </w:tcPr>
          <w:p w14:paraId="2DED0610">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DAB6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31D633E5">
            <w:pPr>
              <w:kinsoku w:val="0"/>
              <w:autoSpaceDE w:val="0"/>
              <w:autoSpaceDN w:val="0"/>
              <w:adjustRightInd w:val="0"/>
              <w:snapToGrid w:val="0"/>
              <w:spacing w:before="223" w:line="229" w:lineRule="auto"/>
              <w:ind w:left="3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注册地址</w:t>
            </w:r>
          </w:p>
        </w:tc>
        <w:tc>
          <w:tcPr>
            <w:tcW w:w="3690" w:type="dxa"/>
            <w:gridSpan w:val="4"/>
            <w:vAlign w:val="center"/>
          </w:tcPr>
          <w:p w14:paraId="1B1815E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513" w:type="dxa"/>
          </w:tcPr>
          <w:p w14:paraId="0278D3FD">
            <w:pPr>
              <w:kinsoku w:val="0"/>
              <w:autoSpaceDE w:val="0"/>
              <w:autoSpaceDN w:val="0"/>
              <w:adjustRightInd w:val="0"/>
              <w:snapToGrid w:val="0"/>
              <w:spacing w:before="222" w:line="228" w:lineRule="auto"/>
              <w:ind w:left="35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邮政编码</w:t>
            </w:r>
          </w:p>
        </w:tc>
        <w:tc>
          <w:tcPr>
            <w:tcW w:w="2494" w:type="dxa"/>
            <w:gridSpan w:val="2"/>
            <w:vAlign w:val="center"/>
          </w:tcPr>
          <w:p w14:paraId="57EC3CE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02C5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vMerge w:val="restart"/>
            <w:tcBorders>
              <w:bottom w:val="nil"/>
            </w:tcBorders>
          </w:tcPr>
          <w:p w14:paraId="600F6F09">
            <w:pPr>
              <w:widowControl/>
              <w:kinsoku w:val="0"/>
              <w:autoSpaceDE w:val="0"/>
              <w:autoSpaceDN w:val="0"/>
              <w:adjustRightInd w:val="0"/>
              <w:snapToGrid w:val="0"/>
              <w:spacing w:line="44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34B4D1E">
            <w:pPr>
              <w:kinsoku w:val="0"/>
              <w:autoSpaceDE w:val="0"/>
              <w:autoSpaceDN w:val="0"/>
              <w:adjustRightInd w:val="0"/>
              <w:snapToGrid w:val="0"/>
              <w:spacing w:before="65" w:line="229" w:lineRule="auto"/>
              <w:ind w:left="3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联系方式</w:t>
            </w:r>
          </w:p>
        </w:tc>
        <w:tc>
          <w:tcPr>
            <w:tcW w:w="1123" w:type="dxa"/>
          </w:tcPr>
          <w:p w14:paraId="229953AB">
            <w:pPr>
              <w:kinsoku w:val="0"/>
              <w:autoSpaceDE w:val="0"/>
              <w:autoSpaceDN w:val="0"/>
              <w:adjustRightInd w:val="0"/>
              <w:snapToGrid w:val="0"/>
              <w:spacing w:before="224" w:line="230" w:lineRule="auto"/>
              <w:ind w:left="25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联系人</w:t>
            </w:r>
          </w:p>
        </w:tc>
        <w:tc>
          <w:tcPr>
            <w:tcW w:w="2567" w:type="dxa"/>
            <w:gridSpan w:val="3"/>
            <w:vAlign w:val="center"/>
          </w:tcPr>
          <w:p w14:paraId="41F16FD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513" w:type="dxa"/>
          </w:tcPr>
          <w:p w14:paraId="1533B8AB">
            <w:pPr>
              <w:kinsoku w:val="0"/>
              <w:autoSpaceDE w:val="0"/>
              <w:autoSpaceDN w:val="0"/>
              <w:adjustRightInd w:val="0"/>
              <w:snapToGrid w:val="0"/>
              <w:spacing w:before="224" w:line="230" w:lineRule="auto"/>
              <w:ind w:left="57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电话</w:t>
            </w:r>
          </w:p>
        </w:tc>
        <w:tc>
          <w:tcPr>
            <w:tcW w:w="2494" w:type="dxa"/>
            <w:gridSpan w:val="2"/>
            <w:vAlign w:val="center"/>
          </w:tcPr>
          <w:p w14:paraId="0BC2D14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B72B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vMerge w:val="continue"/>
            <w:tcBorders>
              <w:top w:val="nil"/>
            </w:tcBorders>
          </w:tcPr>
          <w:p w14:paraId="043D8D77">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23" w:type="dxa"/>
          </w:tcPr>
          <w:p w14:paraId="671528BD">
            <w:pPr>
              <w:kinsoku w:val="0"/>
              <w:autoSpaceDE w:val="0"/>
              <w:autoSpaceDN w:val="0"/>
              <w:adjustRightInd w:val="0"/>
              <w:snapToGrid w:val="0"/>
              <w:spacing w:before="223" w:line="227" w:lineRule="auto"/>
              <w:ind w:left="35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传真</w:t>
            </w:r>
          </w:p>
        </w:tc>
        <w:tc>
          <w:tcPr>
            <w:tcW w:w="2567" w:type="dxa"/>
            <w:gridSpan w:val="3"/>
            <w:vAlign w:val="center"/>
          </w:tcPr>
          <w:p w14:paraId="7F282E0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513" w:type="dxa"/>
          </w:tcPr>
          <w:p w14:paraId="2DECB768">
            <w:pPr>
              <w:kinsoku w:val="0"/>
              <w:autoSpaceDE w:val="0"/>
              <w:autoSpaceDN w:val="0"/>
              <w:adjustRightInd w:val="0"/>
              <w:snapToGrid w:val="0"/>
              <w:spacing w:before="223"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电子邮件</w:t>
            </w:r>
          </w:p>
        </w:tc>
        <w:tc>
          <w:tcPr>
            <w:tcW w:w="2494" w:type="dxa"/>
            <w:gridSpan w:val="2"/>
            <w:vAlign w:val="center"/>
          </w:tcPr>
          <w:p w14:paraId="2942816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C363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2F9CFB22">
            <w:pPr>
              <w:kinsoku w:val="0"/>
              <w:autoSpaceDE w:val="0"/>
              <w:autoSpaceDN w:val="0"/>
              <w:adjustRightInd w:val="0"/>
              <w:snapToGrid w:val="0"/>
              <w:spacing w:before="224" w:line="228" w:lineRule="auto"/>
              <w:ind w:left="27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法定代表人</w:t>
            </w:r>
          </w:p>
        </w:tc>
        <w:tc>
          <w:tcPr>
            <w:tcW w:w="1123" w:type="dxa"/>
          </w:tcPr>
          <w:p w14:paraId="62F95684">
            <w:pPr>
              <w:kinsoku w:val="0"/>
              <w:autoSpaceDE w:val="0"/>
              <w:autoSpaceDN w:val="0"/>
              <w:adjustRightInd w:val="0"/>
              <w:snapToGrid w:val="0"/>
              <w:spacing w:before="224" w:line="228" w:lineRule="auto"/>
              <w:ind w:left="35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姓名</w:t>
            </w:r>
          </w:p>
        </w:tc>
        <w:tc>
          <w:tcPr>
            <w:tcW w:w="1458" w:type="dxa"/>
            <w:vAlign w:val="center"/>
          </w:tcPr>
          <w:p w14:paraId="6FCDE81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09" w:type="dxa"/>
            <w:gridSpan w:val="2"/>
          </w:tcPr>
          <w:p w14:paraId="42A0CB80">
            <w:pPr>
              <w:kinsoku w:val="0"/>
              <w:autoSpaceDE w:val="0"/>
              <w:autoSpaceDN w:val="0"/>
              <w:adjustRightInd w:val="0"/>
              <w:snapToGrid w:val="0"/>
              <w:spacing w:before="224" w:line="228" w:lineRule="auto"/>
              <w:ind w:left="14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技术职称</w:t>
            </w:r>
          </w:p>
        </w:tc>
        <w:tc>
          <w:tcPr>
            <w:tcW w:w="1513" w:type="dxa"/>
          </w:tcPr>
          <w:p w14:paraId="5B3EBC9E">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95" w:type="dxa"/>
          </w:tcPr>
          <w:p w14:paraId="6E97E447">
            <w:pPr>
              <w:kinsoku w:val="0"/>
              <w:autoSpaceDE w:val="0"/>
              <w:autoSpaceDN w:val="0"/>
              <w:adjustRightInd w:val="0"/>
              <w:snapToGrid w:val="0"/>
              <w:spacing w:before="224" w:line="230" w:lineRule="auto"/>
              <w:ind w:left="2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电话</w:t>
            </w:r>
          </w:p>
        </w:tc>
        <w:tc>
          <w:tcPr>
            <w:tcW w:w="1699" w:type="dxa"/>
            <w:vAlign w:val="center"/>
          </w:tcPr>
          <w:p w14:paraId="6DAFA71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547D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09F4EC6A">
            <w:pPr>
              <w:kinsoku w:val="0"/>
              <w:autoSpaceDE w:val="0"/>
              <w:autoSpaceDN w:val="0"/>
              <w:adjustRightInd w:val="0"/>
              <w:snapToGrid w:val="0"/>
              <w:spacing w:before="223" w:line="228" w:lineRule="auto"/>
              <w:ind w:left="27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技术负责人</w:t>
            </w:r>
          </w:p>
        </w:tc>
        <w:tc>
          <w:tcPr>
            <w:tcW w:w="1123" w:type="dxa"/>
          </w:tcPr>
          <w:p w14:paraId="224873D7">
            <w:pPr>
              <w:kinsoku w:val="0"/>
              <w:autoSpaceDE w:val="0"/>
              <w:autoSpaceDN w:val="0"/>
              <w:adjustRightInd w:val="0"/>
              <w:snapToGrid w:val="0"/>
              <w:spacing w:before="223" w:line="228" w:lineRule="auto"/>
              <w:ind w:left="35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姓名</w:t>
            </w:r>
          </w:p>
        </w:tc>
        <w:tc>
          <w:tcPr>
            <w:tcW w:w="1458" w:type="dxa"/>
            <w:vAlign w:val="center"/>
          </w:tcPr>
          <w:p w14:paraId="4616F9E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09" w:type="dxa"/>
            <w:gridSpan w:val="2"/>
          </w:tcPr>
          <w:p w14:paraId="724A4939">
            <w:pPr>
              <w:kinsoku w:val="0"/>
              <w:autoSpaceDE w:val="0"/>
              <w:autoSpaceDN w:val="0"/>
              <w:adjustRightInd w:val="0"/>
              <w:snapToGrid w:val="0"/>
              <w:spacing w:before="223" w:line="228" w:lineRule="auto"/>
              <w:ind w:left="14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技术职称</w:t>
            </w:r>
          </w:p>
        </w:tc>
        <w:tc>
          <w:tcPr>
            <w:tcW w:w="1513" w:type="dxa"/>
          </w:tcPr>
          <w:p w14:paraId="51B51A9D">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95" w:type="dxa"/>
          </w:tcPr>
          <w:p w14:paraId="7E8E4BEC">
            <w:pPr>
              <w:kinsoku w:val="0"/>
              <w:autoSpaceDE w:val="0"/>
              <w:autoSpaceDN w:val="0"/>
              <w:adjustRightInd w:val="0"/>
              <w:snapToGrid w:val="0"/>
              <w:spacing w:before="223" w:line="230" w:lineRule="auto"/>
              <w:ind w:left="2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电话</w:t>
            </w:r>
          </w:p>
        </w:tc>
        <w:tc>
          <w:tcPr>
            <w:tcW w:w="1699" w:type="dxa"/>
            <w:vAlign w:val="center"/>
          </w:tcPr>
          <w:p w14:paraId="1B2C0F7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C1F6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368FE5E9">
            <w:pPr>
              <w:kinsoku w:val="0"/>
              <w:autoSpaceDE w:val="0"/>
              <w:autoSpaceDN w:val="0"/>
              <w:adjustRightInd w:val="0"/>
              <w:snapToGrid w:val="0"/>
              <w:spacing w:before="225" w:line="228" w:lineRule="auto"/>
              <w:ind w:left="2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营业执照号</w:t>
            </w:r>
          </w:p>
        </w:tc>
        <w:tc>
          <w:tcPr>
            <w:tcW w:w="2581" w:type="dxa"/>
            <w:gridSpan w:val="2"/>
            <w:vAlign w:val="center"/>
          </w:tcPr>
          <w:p w14:paraId="57F9A91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2622" w:type="dxa"/>
            <w:gridSpan w:val="3"/>
          </w:tcPr>
          <w:p w14:paraId="4AF07B32">
            <w:pPr>
              <w:kinsoku w:val="0"/>
              <w:autoSpaceDE w:val="0"/>
              <w:autoSpaceDN w:val="0"/>
              <w:adjustRightInd w:val="0"/>
              <w:snapToGrid w:val="0"/>
              <w:spacing w:before="225" w:line="228" w:lineRule="auto"/>
              <w:ind w:left="74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员工总人数</w:t>
            </w:r>
            <w:r>
              <w:rPr>
                <w:rFonts w:hint="eastAsia" w:ascii="宋体" w:hAnsi="宋体" w:cs="宋体"/>
                <w:snapToGrid w:val="0"/>
                <w:color w:val="000000" w:themeColor="text1"/>
                <w:spacing w:val="-57"/>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w:t>
            </w:r>
          </w:p>
        </w:tc>
        <w:tc>
          <w:tcPr>
            <w:tcW w:w="2494" w:type="dxa"/>
            <w:gridSpan w:val="2"/>
            <w:vAlign w:val="center"/>
          </w:tcPr>
          <w:p w14:paraId="480D27F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4396B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95" w:type="dxa"/>
          </w:tcPr>
          <w:p w14:paraId="313F7D8A">
            <w:pPr>
              <w:kinsoku w:val="0"/>
              <w:autoSpaceDE w:val="0"/>
              <w:autoSpaceDN w:val="0"/>
              <w:adjustRightInd w:val="0"/>
              <w:snapToGrid w:val="0"/>
              <w:spacing w:before="139" w:line="302" w:lineRule="auto"/>
              <w:ind w:left="118" w:right="32" w:firstLine="57"/>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7"/>
                <w:kern w:val="0"/>
                <w:szCs w:val="21"/>
                <w:highlight w:val="none"/>
                <w14:textFill>
                  <w14:solidFill>
                    <w14:schemeClr w14:val="tx1"/>
                  </w14:solidFill>
                </w14:textFill>
              </w:rPr>
              <w:t>企业资质（等</w:t>
            </w:r>
            <w:r>
              <w:rPr>
                <w:rFonts w:hint="eastAsia" w:ascii="宋体" w:hAnsi="宋体" w:cs="宋体"/>
                <w:snapToGrid w:val="0"/>
                <w:color w:val="000000" w:themeColor="text1"/>
                <w:spacing w:val="5"/>
                <w:kern w:val="0"/>
                <w:szCs w:val="21"/>
                <w:highlight w:val="none"/>
                <w14:textFill>
                  <w14:solidFill>
                    <w14:schemeClr w14:val="tx1"/>
                  </w14:solidFill>
                </w14:textFill>
              </w:rPr>
              <w:t>级、发证机关）</w:t>
            </w:r>
          </w:p>
        </w:tc>
        <w:tc>
          <w:tcPr>
            <w:tcW w:w="2581" w:type="dxa"/>
            <w:gridSpan w:val="2"/>
            <w:vAlign w:val="center"/>
          </w:tcPr>
          <w:p w14:paraId="41C19FE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14:textFill>
                  <w14:solidFill>
                    <w14:schemeClr w14:val="tx1"/>
                  </w14:solidFill>
                </w14:textFill>
              </w:rPr>
            </w:pPr>
          </w:p>
        </w:tc>
        <w:tc>
          <w:tcPr>
            <w:tcW w:w="809" w:type="dxa"/>
            <w:vMerge w:val="restart"/>
            <w:tcBorders>
              <w:bottom w:val="nil"/>
            </w:tcBorders>
          </w:tcPr>
          <w:p w14:paraId="18FF57BA">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6844FC6D">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50F6DEEC">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1ECB4F72">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36CB2DEF">
            <w:pPr>
              <w:widowControl/>
              <w:kinsoku w:val="0"/>
              <w:autoSpaceDE w:val="0"/>
              <w:autoSpaceDN w:val="0"/>
              <w:adjustRightInd w:val="0"/>
              <w:snapToGrid w:val="0"/>
              <w:spacing w:line="252"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44C66A09">
            <w:pPr>
              <w:widowControl/>
              <w:kinsoku w:val="0"/>
              <w:autoSpaceDE w:val="0"/>
              <w:autoSpaceDN w:val="0"/>
              <w:adjustRightInd w:val="0"/>
              <w:snapToGrid w:val="0"/>
              <w:spacing w:line="253"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7DAB656E">
            <w:pPr>
              <w:widowControl/>
              <w:kinsoku w:val="0"/>
              <w:autoSpaceDE w:val="0"/>
              <w:autoSpaceDN w:val="0"/>
              <w:adjustRightInd w:val="0"/>
              <w:snapToGrid w:val="0"/>
              <w:spacing w:line="253"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631B812F">
            <w:pPr>
              <w:kinsoku w:val="0"/>
              <w:autoSpaceDE w:val="0"/>
              <w:autoSpaceDN w:val="0"/>
              <w:adjustRightInd w:val="0"/>
              <w:snapToGrid w:val="0"/>
              <w:spacing w:before="65" w:line="228" w:lineRule="auto"/>
              <w:ind w:left="20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其中</w:t>
            </w:r>
          </w:p>
        </w:tc>
        <w:tc>
          <w:tcPr>
            <w:tcW w:w="1813" w:type="dxa"/>
            <w:gridSpan w:val="2"/>
          </w:tcPr>
          <w:p w14:paraId="23F22329">
            <w:pPr>
              <w:widowControl/>
              <w:kinsoku w:val="0"/>
              <w:autoSpaceDE w:val="0"/>
              <w:autoSpaceDN w:val="0"/>
              <w:adjustRightInd w:val="0"/>
              <w:snapToGrid w:val="0"/>
              <w:spacing w:line="27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55CD44BF">
            <w:pPr>
              <w:kinsoku w:val="0"/>
              <w:autoSpaceDE w:val="0"/>
              <w:autoSpaceDN w:val="0"/>
              <w:adjustRightInd w:val="0"/>
              <w:snapToGrid w:val="0"/>
              <w:spacing w:before="65" w:line="228" w:lineRule="auto"/>
              <w:ind w:left="49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项目经理</w:t>
            </w:r>
          </w:p>
        </w:tc>
        <w:tc>
          <w:tcPr>
            <w:tcW w:w="2494" w:type="dxa"/>
            <w:gridSpan w:val="2"/>
            <w:vAlign w:val="center"/>
          </w:tcPr>
          <w:p w14:paraId="534C5AA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475A9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595" w:type="dxa"/>
          </w:tcPr>
          <w:p w14:paraId="44D9F698">
            <w:pPr>
              <w:kinsoku w:val="0"/>
              <w:autoSpaceDE w:val="0"/>
              <w:autoSpaceDN w:val="0"/>
              <w:adjustRightInd w:val="0"/>
              <w:snapToGrid w:val="0"/>
              <w:spacing w:before="281" w:line="227" w:lineRule="auto"/>
              <w:ind w:left="3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注册资本</w:t>
            </w:r>
          </w:p>
        </w:tc>
        <w:tc>
          <w:tcPr>
            <w:tcW w:w="2581" w:type="dxa"/>
            <w:gridSpan w:val="2"/>
            <w:vAlign w:val="center"/>
          </w:tcPr>
          <w:p w14:paraId="57B0321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09" w:type="dxa"/>
            <w:vMerge w:val="continue"/>
            <w:tcBorders>
              <w:top w:val="nil"/>
              <w:bottom w:val="nil"/>
            </w:tcBorders>
          </w:tcPr>
          <w:p w14:paraId="4F186741">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13" w:type="dxa"/>
            <w:gridSpan w:val="2"/>
          </w:tcPr>
          <w:p w14:paraId="5BCA676D">
            <w:pPr>
              <w:kinsoku w:val="0"/>
              <w:autoSpaceDE w:val="0"/>
              <w:autoSpaceDN w:val="0"/>
              <w:adjustRightInd w:val="0"/>
              <w:snapToGrid w:val="0"/>
              <w:spacing w:before="281" w:line="228" w:lineRule="auto"/>
              <w:ind w:left="28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高级职称人员</w:t>
            </w:r>
          </w:p>
        </w:tc>
        <w:tc>
          <w:tcPr>
            <w:tcW w:w="2494" w:type="dxa"/>
            <w:gridSpan w:val="2"/>
            <w:vAlign w:val="center"/>
          </w:tcPr>
          <w:p w14:paraId="5C3D12F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1067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595" w:type="dxa"/>
          </w:tcPr>
          <w:p w14:paraId="1C0F7385">
            <w:pPr>
              <w:kinsoku w:val="0"/>
              <w:autoSpaceDE w:val="0"/>
              <w:autoSpaceDN w:val="0"/>
              <w:adjustRightInd w:val="0"/>
              <w:snapToGrid w:val="0"/>
              <w:spacing w:before="283" w:line="228" w:lineRule="auto"/>
              <w:ind w:left="38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成立日期</w:t>
            </w:r>
          </w:p>
        </w:tc>
        <w:tc>
          <w:tcPr>
            <w:tcW w:w="2581" w:type="dxa"/>
            <w:gridSpan w:val="2"/>
            <w:vAlign w:val="center"/>
          </w:tcPr>
          <w:p w14:paraId="7EB0E27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09" w:type="dxa"/>
            <w:vMerge w:val="continue"/>
            <w:tcBorders>
              <w:top w:val="nil"/>
              <w:bottom w:val="nil"/>
            </w:tcBorders>
          </w:tcPr>
          <w:p w14:paraId="15ABE9E8">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13" w:type="dxa"/>
            <w:gridSpan w:val="2"/>
          </w:tcPr>
          <w:p w14:paraId="1D05837F">
            <w:pPr>
              <w:kinsoku w:val="0"/>
              <w:autoSpaceDE w:val="0"/>
              <w:autoSpaceDN w:val="0"/>
              <w:adjustRightInd w:val="0"/>
              <w:snapToGrid w:val="0"/>
              <w:spacing w:before="283" w:line="228" w:lineRule="auto"/>
              <w:ind w:left="30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中级职称人员</w:t>
            </w:r>
          </w:p>
        </w:tc>
        <w:tc>
          <w:tcPr>
            <w:tcW w:w="2494" w:type="dxa"/>
            <w:gridSpan w:val="2"/>
            <w:vAlign w:val="center"/>
          </w:tcPr>
          <w:p w14:paraId="7050E64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E24B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95" w:type="dxa"/>
          </w:tcPr>
          <w:p w14:paraId="2EFF5C7D">
            <w:pPr>
              <w:kinsoku w:val="0"/>
              <w:autoSpaceDE w:val="0"/>
              <w:autoSpaceDN w:val="0"/>
              <w:adjustRightInd w:val="0"/>
              <w:snapToGrid w:val="0"/>
              <w:spacing w:before="142" w:line="227" w:lineRule="auto"/>
              <w:ind w:left="3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基本账户</w:t>
            </w:r>
          </w:p>
          <w:p w14:paraId="458A3771">
            <w:pPr>
              <w:kinsoku w:val="0"/>
              <w:autoSpaceDE w:val="0"/>
              <w:autoSpaceDN w:val="0"/>
              <w:adjustRightInd w:val="0"/>
              <w:snapToGrid w:val="0"/>
              <w:spacing w:before="155" w:line="228" w:lineRule="auto"/>
              <w:ind w:left="3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开户银行</w:t>
            </w:r>
          </w:p>
        </w:tc>
        <w:tc>
          <w:tcPr>
            <w:tcW w:w="2581" w:type="dxa"/>
            <w:gridSpan w:val="2"/>
            <w:vAlign w:val="center"/>
          </w:tcPr>
          <w:p w14:paraId="351852A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09" w:type="dxa"/>
            <w:vMerge w:val="continue"/>
            <w:tcBorders>
              <w:top w:val="nil"/>
              <w:bottom w:val="nil"/>
            </w:tcBorders>
          </w:tcPr>
          <w:p w14:paraId="3D9FC13F">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13" w:type="dxa"/>
            <w:gridSpan w:val="2"/>
          </w:tcPr>
          <w:p w14:paraId="249B2FAC">
            <w:pPr>
              <w:widowControl/>
              <w:kinsoku w:val="0"/>
              <w:autoSpaceDE w:val="0"/>
              <w:autoSpaceDN w:val="0"/>
              <w:adjustRightInd w:val="0"/>
              <w:snapToGrid w:val="0"/>
              <w:spacing w:line="27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4B30B1FE">
            <w:pPr>
              <w:kinsoku w:val="0"/>
              <w:autoSpaceDE w:val="0"/>
              <w:autoSpaceDN w:val="0"/>
              <w:adjustRightInd w:val="0"/>
              <w:snapToGrid w:val="0"/>
              <w:spacing w:before="65" w:line="229" w:lineRule="auto"/>
              <w:ind w:left="28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初级职称人员</w:t>
            </w:r>
          </w:p>
        </w:tc>
        <w:tc>
          <w:tcPr>
            <w:tcW w:w="2494" w:type="dxa"/>
            <w:gridSpan w:val="2"/>
            <w:vAlign w:val="center"/>
          </w:tcPr>
          <w:p w14:paraId="61AA1D1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7CDC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595" w:type="dxa"/>
          </w:tcPr>
          <w:p w14:paraId="525DDF2F">
            <w:pPr>
              <w:kinsoku w:val="0"/>
              <w:autoSpaceDE w:val="0"/>
              <w:autoSpaceDN w:val="0"/>
              <w:adjustRightInd w:val="0"/>
              <w:snapToGrid w:val="0"/>
              <w:spacing w:before="142" w:line="227" w:lineRule="auto"/>
              <w:ind w:left="3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基本账户</w:t>
            </w:r>
          </w:p>
          <w:p w14:paraId="4A80DE6F">
            <w:pPr>
              <w:kinsoku w:val="0"/>
              <w:autoSpaceDE w:val="0"/>
              <w:autoSpaceDN w:val="0"/>
              <w:adjustRightInd w:val="0"/>
              <w:snapToGrid w:val="0"/>
              <w:spacing w:before="155" w:line="228" w:lineRule="auto"/>
              <w:ind w:left="3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银行账号</w:t>
            </w:r>
          </w:p>
        </w:tc>
        <w:tc>
          <w:tcPr>
            <w:tcW w:w="2581" w:type="dxa"/>
            <w:gridSpan w:val="2"/>
            <w:vAlign w:val="center"/>
          </w:tcPr>
          <w:p w14:paraId="3A6AD6B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09" w:type="dxa"/>
            <w:vMerge w:val="continue"/>
            <w:tcBorders>
              <w:top w:val="nil"/>
            </w:tcBorders>
          </w:tcPr>
          <w:p w14:paraId="75D4095C">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13" w:type="dxa"/>
            <w:gridSpan w:val="2"/>
          </w:tcPr>
          <w:p w14:paraId="69F3F47B">
            <w:pPr>
              <w:widowControl/>
              <w:kinsoku w:val="0"/>
              <w:autoSpaceDE w:val="0"/>
              <w:autoSpaceDN w:val="0"/>
              <w:adjustRightInd w:val="0"/>
              <w:snapToGrid w:val="0"/>
              <w:spacing w:line="277"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520D701">
            <w:pPr>
              <w:kinsoku w:val="0"/>
              <w:autoSpaceDE w:val="0"/>
              <w:autoSpaceDN w:val="0"/>
              <w:adjustRightInd w:val="0"/>
              <w:snapToGrid w:val="0"/>
              <w:spacing w:before="65" w:line="229" w:lineRule="auto"/>
              <w:ind w:left="70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技工</w:t>
            </w:r>
          </w:p>
        </w:tc>
        <w:tc>
          <w:tcPr>
            <w:tcW w:w="2494" w:type="dxa"/>
            <w:gridSpan w:val="2"/>
            <w:vAlign w:val="center"/>
          </w:tcPr>
          <w:p w14:paraId="7CAADA7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DFAA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595" w:type="dxa"/>
          </w:tcPr>
          <w:p w14:paraId="2FB03A86">
            <w:pPr>
              <w:widowControl/>
              <w:kinsoku w:val="0"/>
              <w:autoSpaceDE w:val="0"/>
              <w:autoSpaceDN w:val="0"/>
              <w:adjustRightInd w:val="0"/>
              <w:snapToGrid w:val="0"/>
              <w:spacing w:line="42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2C0CB9A9">
            <w:pPr>
              <w:kinsoku w:val="0"/>
              <w:autoSpaceDE w:val="0"/>
              <w:autoSpaceDN w:val="0"/>
              <w:adjustRightInd w:val="0"/>
              <w:snapToGrid w:val="0"/>
              <w:spacing w:before="65" w:line="228" w:lineRule="auto"/>
              <w:ind w:left="38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经营范围</w:t>
            </w:r>
          </w:p>
        </w:tc>
        <w:tc>
          <w:tcPr>
            <w:tcW w:w="7697" w:type="dxa"/>
            <w:gridSpan w:val="7"/>
            <w:vAlign w:val="center"/>
          </w:tcPr>
          <w:p w14:paraId="1A1C36F3">
            <w:pPr>
              <w:widowControl/>
              <w:kinsoku w:val="0"/>
              <w:autoSpaceDE w:val="0"/>
              <w:autoSpaceDN w:val="0"/>
              <w:adjustRightInd w:val="0"/>
              <w:snapToGrid w:val="0"/>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445DE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595" w:type="dxa"/>
          </w:tcPr>
          <w:p w14:paraId="28CE014A">
            <w:pPr>
              <w:widowControl/>
              <w:kinsoku w:val="0"/>
              <w:autoSpaceDE w:val="0"/>
              <w:autoSpaceDN w:val="0"/>
              <w:adjustRightInd w:val="0"/>
              <w:snapToGrid w:val="0"/>
              <w:spacing w:line="337"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62C59D11">
            <w:pPr>
              <w:widowControl/>
              <w:kinsoku w:val="0"/>
              <w:autoSpaceDE w:val="0"/>
              <w:autoSpaceDN w:val="0"/>
              <w:adjustRightInd w:val="0"/>
              <w:snapToGrid w:val="0"/>
              <w:spacing w:line="337"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56CB75A1">
            <w:pPr>
              <w:kinsoku w:val="0"/>
              <w:autoSpaceDE w:val="0"/>
              <w:autoSpaceDN w:val="0"/>
              <w:adjustRightInd w:val="0"/>
              <w:snapToGrid w:val="0"/>
              <w:spacing w:before="65" w:line="372" w:lineRule="auto"/>
              <w:ind w:left="486" w:right="167" w:hanging="31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投标人关联企业情况</w:t>
            </w:r>
          </w:p>
        </w:tc>
        <w:tc>
          <w:tcPr>
            <w:tcW w:w="7697" w:type="dxa"/>
            <w:gridSpan w:val="7"/>
          </w:tcPr>
          <w:p w14:paraId="2531A22E">
            <w:pPr>
              <w:kinsoku w:val="0"/>
              <w:autoSpaceDE w:val="0"/>
              <w:autoSpaceDN w:val="0"/>
              <w:adjustRightInd w:val="0"/>
              <w:snapToGrid w:val="0"/>
              <w:spacing w:before="143" w:line="227" w:lineRule="auto"/>
              <w:ind w:left="113"/>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8"/>
                <w:kern w:val="0"/>
                <w:szCs w:val="21"/>
                <w:highlight w:val="none"/>
                <w14:textFill>
                  <w14:solidFill>
                    <w14:schemeClr w14:val="tx1"/>
                  </w14:solidFill>
                </w14:textFill>
              </w:rPr>
              <w:t>投标人应提供关联企业情况，包括：</w:t>
            </w:r>
          </w:p>
          <w:p w14:paraId="2E6832A3">
            <w:pPr>
              <w:kinsoku w:val="0"/>
              <w:autoSpaceDE w:val="0"/>
              <w:autoSpaceDN w:val="0"/>
              <w:adjustRightInd w:val="0"/>
              <w:snapToGrid w:val="0"/>
              <w:spacing w:before="155" w:line="297" w:lineRule="auto"/>
              <w:ind w:left="113" w:right="159" w:firstLine="7"/>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7"/>
                <w:kern w:val="0"/>
                <w:szCs w:val="21"/>
                <w:highlight w:val="none"/>
                <w14:textFill>
                  <w14:solidFill>
                    <w14:schemeClr w14:val="tx1"/>
                  </w14:solidFill>
                </w14:textFill>
              </w:rPr>
              <w:t>（1）投标人的所有股东名称及相应股权（出资额）</w:t>
            </w:r>
            <w:r>
              <w:rPr>
                <w:rFonts w:hint="eastAsia" w:ascii="宋体" w:hAnsi="宋体" w:cs="宋体"/>
                <w:snapToGrid w:val="0"/>
                <w:color w:val="000000" w:themeColor="text1"/>
                <w:spacing w:val="-42"/>
                <w:kern w:val="0"/>
                <w:szCs w:val="21"/>
                <w:highlight w:val="none"/>
                <w14:textFill>
                  <w14:solidFill>
                    <w14:schemeClr w14:val="tx1"/>
                  </w14:solidFill>
                </w14:textFill>
              </w:rPr>
              <w:t xml:space="preserve"> </w:t>
            </w:r>
            <w:r>
              <w:rPr>
                <w:rFonts w:hint="eastAsia" w:ascii="宋体" w:hAnsi="宋体" w:cs="宋体"/>
                <w:snapToGrid w:val="0"/>
                <w:color w:val="000000" w:themeColor="text1"/>
                <w:spacing w:val="7"/>
                <w:kern w:val="0"/>
                <w:szCs w:val="21"/>
                <w:highlight w:val="none"/>
                <w14:textFill>
                  <w14:solidFill>
                    <w14:schemeClr w14:val="tx1"/>
                  </w14:solidFill>
                </w14:textFill>
              </w:rPr>
              <w:t>比例；如投标人为上市公司，</w:t>
            </w:r>
            <w:r>
              <w:rPr>
                <w:rFonts w:hint="eastAsia" w:ascii="宋体" w:hAnsi="宋体" w:cs="宋体"/>
                <w:snapToGrid w:val="0"/>
                <w:color w:val="000000" w:themeColor="text1"/>
                <w:spacing w:val="9"/>
                <w:kern w:val="0"/>
                <w:szCs w:val="21"/>
                <w:highlight w:val="none"/>
                <w14:textFill>
                  <w14:solidFill>
                    <w14:schemeClr w14:val="tx1"/>
                  </w14:solidFill>
                </w14:textFill>
              </w:rPr>
              <w:t>投标人应提供股权占公司股份总数</w:t>
            </w:r>
            <w:r>
              <w:rPr>
                <w:rFonts w:hint="eastAsia" w:ascii="宋体" w:hAnsi="宋体" w:cs="宋体"/>
                <w:snapToGrid w:val="0"/>
                <w:color w:val="000000" w:themeColor="text1"/>
                <w:spacing w:val="9"/>
                <w:kern w:val="0"/>
                <w:szCs w:val="21"/>
                <w:highlight w:val="none"/>
                <w:u w:val="single"/>
                <w14:textFill>
                  <w14:solidFill>
                    <w14:schemeClr w14:val="tx1"/>
                  </w14:solidFill>
                </w14:textFill>
              </w:rPr>
              <w:t xml:space="preserve"> 5 </w:t>
            </w:r>
            <w:r>
              <w:rPr>
                <w:rFonts w:hint="eastAsia" w:ascii="宋体" w:hAnsi="宋体" w:cs="宋体"/>
                <w:snapToGrid w:val="0"/>
                <w:color w:val="000000" w:themeColor="text1"/>
                <w:spacing w:val="9"/>
                <w:kern w:val="0"/>
                <w:szCs w:val="21"/>
                <w:highlight w:val="none"/>
                <w14:textFill>
                  <w14:solidFill>
                    <w14:schemeClr w14:val="tx1"/>
                  </w14:solidFill>
                </w14:textFill>
              </w:rPr>
              <w:t>%以上的所有股东名称及</w:t>
            </w:r>
            <w:r>
              <w:rPr>
                <w:rFonts w:hint="eastAsia" w:ascii="宋体" w:hAnsi="宋体" w:cs="宋体"/>
                <w:snapToGrid w:val="0"/>
                <w:color w:val="000000" w:themeColor="text1"/>
                <w:spacing w:val="8"/>
                <w:kern w:val="0"/>
                <w:szCs w:val="21"/>
                <w:highlight w:val="none"/>
                <w14:textFill>
                  <w14:solidFill>
                    <w14:schemeClr w14:val="tx1"/>
                  </w14:solidFill>
                </w14:textFill>
              </w:rPr>
              <w:t>相应股权比例；</w:t>
            </w:r>
          </w:p>
          <w:p w14:paraId="004D7E86">
            <w:pPr>
              <w:kinsoku w:val="0"/>
              <w:autoSpaceDE w:val="0"/>
              <w:autoSpaceDN w:val="0"/>
              <w:adjustRightInd w:val="0"/>
              <w:snapToGrid w:val="0"/>
              <w:spacing w:before="154" w:line="228" w:lineRule="auto"/>
              <w:ind w:left="121"/>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8"/>
                <w:kern w:val="0"/>
                <w:szCs w:val="21"/>
                <w:highlight w:val="none"/>
                <w14:textFill>
                  <w14:solidFill>
                    <w14:schemeClr w14:val="tx1"/>
                  </w14:solidFill>
                </w14:textFill>
              </w:rPr>
              <w:t>（2）投标人投资（控股）或管理的下属企业名称、持有股权（</w:t>
            </w:r>
            <w:r>
              <w:rPr>
                <w:rFonts w:hint="eastAsia" w:ascii="宋体" w:hAnsi="宋体" w:cs="宋体"/>
                <w:snapToGrid w:val="0"/>
                <w:color w:val="000000" w:themeColor="text1"/>
                <w:spacing w:val="7"/>
                <w:kern w:val="0"/>
                <w:szCs w:val="21"/>
                <w:highlight w:val="none"/>
                <w14:textFill>
                  <w14:solidFill>
                    <w14:schemeClr w14:val="tx1"/>
                  </w14:solidFill>
                </w14:textFill>
              </w:rPr>
              <w:t>出资额）</w:t>
            </w:r>
            <w:r>
              <w:rPr>
                <w:rFonts w:hint="eastAsia" w:ascii="宋体" w:hAnsi="宋体" w:cs="宋体"/>
                <w:snapToGrid w:val="0"/>
                <w:color w:val="000000" w:themeColor="text1"/>
                <w:spacing w:val="-58"/>
                <w:kern w:val="0"/>
                <w:szCs w:val="21"/>
                <w:highlight w:val="none"/>
                <w14:textFill>
                  <w14:solidFill>
                    <w14:schemeClr w14:val="tx1"/>
                  </w14:solidFill>
                </w14:textFill>
              </w:rPr>
              <w:t xml:space="preserve"> </w:t>
            </w:r>
            <w:r>
              <w:rPr>
                <w:rFonts w:hint="eastAsia" w:ascii="宋体" w:hAnsi="宋体" w:cs="宋体"/>
                <w:snapToGrid w:val="0"/>
                <w:color w:val="000000" w:themeColor="text1"/>
                <w:spacing w:val="7"/>
                <w:kern w:val="0"/>
                <w:szCs w:val="21"/>
                <w:highlight w:val="none"/>
                <w14:textFill>
                  <w14:solidFill>
                    <w14:schemeClr w14:val="tx1"/>
                  </w14:solidFill>
                </w14:textFill>
              </w:rPr>
              <w:t>比例；</w:t>
            </w:r>
          </w:p>
          <w:p w14:paraId="5E34057C">
            <w:pPr>
              <w:kinsoku w:val="0"/>
              <w:autoSpaceDE w:val="0"/>
              <w:autoSpaceDN w:val="0"/>
              <w:adjustRightInd w:val="0"/>
              <w:snapToGrid w:val="0"/>
              <w:spacing w:before="154" w:line="228" w:lineRule="auto"/>
              <w:ind w:left="121"/>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9"/>
                <w:kern w:val="0"/>
                <w:szCs w:val="21"/>
                <w:highlight w:val="none"/>
                <w14:textFill>
                  <w14:solidFill>
                    <w14:schemeClr w14:val="tx1"/>
                  </w14:solidFill>
                </w14:textFill>
              </w:rPr>
              <w:t>（3）与投标人单位负责人（即法定代表人）为同一人的其他单位名</w:t>
            </w:r>
            <w:r>
              <w:rPr>
                <w:rFonts w:hint="eastAsia" w:ascii="宋体" w:hAnsi="宋体" w:cs="宋体"/>
                <w:snapToGrid w:val="0"/>
                <w:color w:val="000000" w:themeColor="text1"/>
                <w:spacing w:val="8"/>
                <w:kern w:val="0"/>
                <w:szCs w:val="21"/>
                <w:highlight w:val="none"/>
                <w14:textFill>
                  <w14:solidFill>
                    <w14:schemeClr w14:val="tx1"/>
                  </w14:solidFill>
                </w14:textFill>
              </w:rPr>
              <w:t>称。</w:t>
            </w:r>
          </w:p>
        </w:tc>
      </w:tr>
      <w:tr w14:paraId="3DA58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95" w:type="dxa"/>
          </w:tcPr>
          <w:p w14:paraId="249F6E95">
            <w:pPr>
              <w:kinsoku w:val="0"/>
              <w:autoSpaceDE w:val="0"/>
              <w:autoSpaceDN w:val="0"/>
              <w:adjustRightInd w:val="0"/>
              <w:snapToGrid w:val="0"/>
              <w:spacing w:before="227" w:line="229" w:lineRule="auto"/>
              <w:ind w:left="59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备注</w:t>
            </w:r>
          </w:p>
        </w:tc>
        <w:tc>
          <w:tcPr>
            <w:tcW w:w="7697" w:type="dxa"/>
            <w:gridSpan w:val="7"/>
            <w:vAlign w:val="center"/>
          </w:tcPr>
          <w:p w14:paraId="52F372FE">
            <w:pPr>
              <w:widowControl/>
              <w:kinsoku w:val="0"/>
              <w:autoSpaceDE w:val="0"/>
              <w:autoSpaceDN w:val="0"/>
              <w:adjustRightInd w:val="0"/>
              <w:snapToGrid w:val="0"/>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bl>
    <w:p w14:paraId="72CA67CB">
      <w:pPr>
        <w:widowControl/>
        <w:kinsoku w:val="0"/>
        <w:autoSpaceDE w:val="0"/>
        <w:autoSpaceDN w:val="0"/>
        <w:adjustRightInd w:val="0"/>
        <w:snapToGrid w:val="0"/>
        <w:spacing w:before="51" w:line="232" w:lineRule="auto"/>
        <w:ind w:left="11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0292887C">
      <w:pPr>
        <w:widowControl/>
        <w:kinsoku w:val="0"/>
        <w:autoSpaceDE w:val="0"/>
        <w:autoSpaceDN w:val="0"/>
        <w:adjustRightInd w:val="0"/>
        <w:snapToGrid w:val="0"/>
        <w:spacing w:before="60" w:line="227" w:lineRule="auto"/>
        <w:ind w:left="13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 投标人应根据招标文件第二章“投标人须知</w:t>
      </w:r>
      <w:r>
        <w:rPr>
          <w:rFonts w:ascii="宋体" w:hAnsi="宋体" w:cs="宋体"/>
          <w:snapToGrid w:val="0"/>
          <w:color w:val="000000" w:themeColor="text1"/>
          <w:spacing w:val="-6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3.5.1</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75874E91">
      <w:pPr>
        <w:widowControl/>
        <w:kinsoku w:val="0"/>
        <w:autoSpaceDE w:val="0"/>
        <w:autoSpaceDN w:val="0"/>
        <w:adjustRightInd w:val="0"/>
        <w:snapToGrid w:val="0"/>
        <w:spacing w:before="67" w:line="228" w:lineRule="auto"/>
        <w:ind w:left="1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w:t>
      </w:r>
      <w:r>
        <w:rPr>
          <w:rFonts w:hint="eastAsia" w:ascii="宋体" w:hAnsi="宋体" w:cs="宋体"/>
          <w:snapToGrid w:val="0"/>
          <w:color w:val="000000" w:themeColor="text1"/>
          <w:spacing w:val="8"/>
          <w:kern w:val="0"/>
          <w:sz w:val="20"/>
          <w:szCs w:val="20"/>
          <w:highlight w:val="none"/>
          <w:lang w:eastAsia="zh-CN"/>
          <w14:textFill>
            <w14:solidFill>
              <w14:schemeClr w14:val="tx1"/>
            </w14:solidFill>
          </w14:textFill>
        </w:rPr>
        <w:t>（</w:t>
      </w:r>
      <w:r>
        <w:rPr>
          <w:rFonts w:hint="eastAsia" w:ascii="宋体" w:hAnsi="宋体" w:cs="宋体"/>
          <w:snapToGrid w:val="0"/>
          <w:color w:val="000000" w:themeColor="text1"/>
          <w:spacing w:val="8"/>
          <w:kern w:val="0"/>
          <w:sz w:val="20"/>
          <w:szCs w:val="20"/>
          <w:highlight w:val="none"/>
          <w:lang w:val="en-US" w:eastAsia="zh-CN"/>
          <w14:textFill>
            <w14:solidFill>
              <w14:schemeClr w14:val="tx1"/>
            </w14:solidFill>
          </w14:textFill>
        </w:rPr>
        <w:t>若）</w:t>
      </w:r>
      <w:r>
        <w:rPr>
          <w:rFonts w:ascii="宋体" w:hAnsi="宋体" w:cs="宋体"/>
          <w:snapToGrid w:val="0"/>
          <w:color w:val="000000" w:themeColor="text1"/>
          <w:spacing w:val="8"/>
          <w:kern w:val="0"/>
          <w:sz w:val="20"/>
          <w:szCs w:val="20"/>
          <w:highlight w:val="none"/>
          <w14:textFill>
            <w14:solidFill>
              <w14:schemeClr w14:val="tx1"/>
            </w14:solidFill>
          </w14:textFill>
        </w:rPr>
        <w:t>以联合体形式投标的，联合体各成员应分别填写。</w:t>
      </w:r>
    </w:p>
    <w:p w14:paraId="565CEF85">
      <w:pPr>
        <w:widowControl/>
        <w:kinsoku w:val="0"/>
        <w:autoSpaceDE w:val="0"/>
        <w:autoSpaceDN w:val="0"/>
        <w:adjustRightInd w:val="0"/>
        <w:snapToGrid w:val="0"/>
        <w:spacing w:before="64" w:line="227" w:lineRule="auto"/>
        <w:ind w:left="12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3.上述信息如经调查核实未如实填写的，按提供虚</w:t>
      </w:r>
      <w:r>
        <w:rPr>
          <w:rFonts w:ascii="宋体" w:hAnsi="宋体" w:cs="宋体"/>
          <w:snapToGrid w:val="0"/>
          <w:color w:val="000000" w:themeColor="text1"/>
          <w:spacing w:val="8"/>
          <w:kern w:val="0"/>
          <w:sz w:val="20"/>
          <w:szCs w:val="20"/>
          <w:highlight w:val="none"/>
          <w14:textFill>
            <w14:solidFill>
              <w14:schemeClr w14:val="tx1"/>
            </w14:solidFill>
          </w14:textFill>
        </w:rPr>
        <w:t>假材料对待。</w:t>
      </w:r>
    </w:p>
    <w:p w14:paraId="5AB374A2">
      <w:pPr>
        <w:spacing w:line="227" w:lineRule="auto"/>
        <w:rPr>
          <w:rFonts w:hint="eastAsia" w:ascii="宋体" w:hAnsi="宋体" w:cs="宋体"/>
          <w:color w:val="000000" w:themeColor="text1"/>
          <w:sz w:val="20"/>
          <w:szCs w:val="20"/>
          <w:highlight w:val="none"/>
          <w14:textFill>
            <w14:solidFill>
              <w14:schemeClr w14:val="tx1"/>
            </w14:solidFill>
          </w14:textFill>
        </w:rPr>
        <w:sectPr>
          <w:headerReference r:id="rId102" w:type="default"/>
          <w:footerReference r:id="rId103" w:type="default"/>
          <w:pgSz w:w="11906" w:h="16839"/>
          <w:pgMar w:top="1182" w:right="1304" w:bottom="1168" w:left="1304" w:header="849" w:footer="934" w:gutter="0"/>
          <w:cols w:space="720" w:num="1"/>
        </w:sectPr>
      </w:pPr>
    </w:p>
    <w:p w14:paraId="760135AE">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059A8F6">
      <w:pPr>
        <w:pStyle w:val="6"/>
        <w:spacing w:before="168" w:after="120"/>
        <w:jc w:val="center"/>
        <w:rPr>
          <w:rFonts w:hint="eastAsia" w:ascii="宋体" w:hAnsi="宋体" w:cs="宋体"/>
          <w:snapToGrid w:val="0"/>
          <w:color w:val="000000" w:themeColor="text1"/>
          <w:kern w:val="0"/>
          <w:szCs w:val="28"/>
          <w:highlight w:val="none"/>
          <w14:textFill>
            <w14:solidFill>
              <w14:schemeClr w14:val="tx1"/>
            </w14:solidFill>
          </w14:textFill>
        </w:rPr>
      </w:pPr>
      <w:bookmarkStart w:id="441" w:name="_Toc3171"/>
      <w:r>
        <w:rPr>
          <w:color w:val="000000" w:themeColor="text1"/>
          <w:highlight w:val="none"/>
          <w14:textFill>
            <w14:solidFill>
              <w14:schemeClr w14:val="tx1"/>
            </w14:solidFill>
          </w14:textFill>
        </w:rPr>
        <w:t>（二）投标人企业组织机构框图</w:t>
      </w:r>
      <w:bookmarkEnd w:id="441"/>
    </w:p>
    <w:p w14:paraId="4BCC7BF3">
      <w:pPr>
        <w:widowControl/>
        <w:kinsoku w:val="0"/>
        <w:autoSpaceDE w:val="0"/>
        <w:autoSpaceDN w:val="0"/>
        <w:adjustRightInd w:val="0"/>
        <w:snapToGrid w:val="0"/>
        <w:spacing w:before="3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72022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8" w:hRule="atLeast"/>
        </w:trPr>
        <w:tc>
          <w:tcPr>
            <w:tcW w:w="9292" w:type="dxa"/>
          </w:tcPr>
          <w:p w14:paraId="3E226A0D">
            <w:pPr>
              <w:kinsoku w:val="0"/>
              <w:autoSpaceDE w:val="0"/>
              <w:autoSpaceDN w:val="0"/>
              <w:adjustRightInd w:val="0"/>
              <w:snapToGrid w:val="0"/>
              <w:spacing w:before="199" w:line="219" w:lineRule="auto"/>
              <w:ind w:left="143"/>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5"/>
                <w:kern w:val="0"/>
                <w:sz w:val="24"/>
                <w:highlight w:val="none"/>
                <w:lang w:eastAsia="en-US"/>
                <w14:textFill>
                  <w14:solidFill>
                    <w14:schemeClr w14:val="tx1"/>
                  </w14:solidFill>
                </w14:textFill>
              </w:rPr>
              <w:t>以框图方式表示。</w:t>
            </w:r>
          </w:p>
        </w:tc>
      </w:tr>
      <w:tr w14:paraId="5DBE7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0" w:hRule="atLeast"/>
        </w:trPr>
        <w:tc>
          <w:tcPr>
            <w:tcW w:w="9292" w:type="dxa"/>
          </w:tcPr>
          <w:p w14:paraId="19DB381C">
            <w:pPr>
              <w:kinsoku w:val="0"/>
              <w:autoSpaceDE w:val="0"/>
              <w:autoSpaceDN w:val="0"/>
              <w:adjustRightInd w:val="0"/>
              <w:snapToGrid w:val="0"/>
              <w:spacing w:before="199" w:line="219" w:lineRule="auto"/>
              <w:ind w:left="119"/>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7"/>
                <w:kern w:val="0"/>
                <w:sz w:val="24"/>
                <w:highlight w:val="none"/>
                <w:lang w:eastAsia="en-US"/>
                <w14:textFill>
                  <w14:solidFill>
                    <w14:schemeClr w14:val="tx1"/>
                  </w14:solidFill>
                </w14:textFill>
              </w:rPr>
              <w:t>说明</w:t>
            </w:r>
          </w:p>
        </w:tc>
      </w:tr>
    </w:tbl>
    <w:p w14:paraId="3DF34E17">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480A095">
      <w:pPr>
        <w:rPr>
          <w:color w:val="000000" w:themeColor="text1"/>
          <w:highlight w:val="none"/>
          <w14:textFill>
            <w14:solidFill>
              <w14:schemeClr w14:val="tx1"/>
            </w14:solidFill>
          </w14:textFill>
        </w:rPr>
        <w:sectPr>
          <w:footerReference r:id="rId104" w:type="default"/>
          <w:pgSz w:w="11906" w:h="16839"/>
          <w:pgMar w:top="1182" w:right="1304" w:bottom="1168" w:left="1304" w:header="849" w:footer="934" w:gutter="0"/>
          <w:cols w:space="720" w:num="1"/>
        </w:sectPr>
      </w:pPr>
    </w:p>
    <w:p w14:paraId="6920DEBC">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C56743B">
      <w:pPr>
        <w:pStyle w:val="6"/>
        <w:spacing w:before="168" w:after="120"/>
        <w:jc w:val="center"/>
        <w:rPr>
          <w:color w:val="000000" w:themeColor="text1"/>
          <w:highlight w:val="none"/>
          <w:lang w:eastAsia="en-US"/>
          <w14:textFill>
            <w14:solidFill>
              <w14:schemeClr w14:val="tx1"/>
            </w14:solidFill>
          </w14:textFill>
        </w:rPr>
      </w:pPr>
      <w:bookmarkStart w:id="442" w:name="_Toc22547"/>
      <w:r>
        <w:rPr>
          <w:color w:val="000000" w:themeColor="text1"/>
          <w:highlight w:val="none"/>
          <w:lang w:eastAsia="en-US"/>
          <w14:textFill>
            <w14:solidFill>
              <w14:schemeClr w14:val="tx1"/>
            </w14:solidFill>
          </w14:textFill>
        </w:rPr>
        <w:t>（三）近年财务状况表</w:t>
      </w:r>
      <w:bookmarkEnd w:id="442"/>
    </w:p>
    <w:p w14:paraId="64267F6E">
      <w:pPr>
        <w:widowControl/>
        <w:kinsoku w:val="0"/>
        <w:autoSpaceDE w:val="0"/>
        <w:autoSpaceDN w:val="0"/>
        <w:adjustRightInd w:val="0"/>
        <w:snapToGrid w:val="0"/>
        <w:spacing w:before="33"/>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8915" w:type="dxa"/>
        <w:tblInd w:w="2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76"/>
        <w:gridCol w:w="1136"/>
        <w:gridCol w:w="1214"/>
        <w:gridCol w:w="1172"/>
        <w:gridCol w:w="1217"/>
      </w:tblGrid>
      <w:tr w14:paraId="5162F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4176" w:type="dxa"/>
          </w:tcPr>
          <w:p w14:paraId="74379928">
            <w:pPr>
              <w:kinsoku w:val="0"/>
              <w:autoSpaceDE w:val="0"/>
              <w:autoSpaceDN w:val="0"/>
              <w:adjustRightInd w:val="0"/>
              <w:snapToGrid w:val="0"/>
              <w:spacing w:before="228" w:line="228" w:lineRule="auto"/>
              <w:ind w:left="157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项目或指标</w:t>
            </w:r>
          </w:p>
        </w:tc>
        <w:tc>
          <w:tcPr>
            <w:tcW w:w="1136" w:type="dxa"/>
          </w:tcPr>
          <w:p w14:paraId="258A84A4">
            <w:pPr>
              <w:kinsoku w:val="0"/>
              <w:autoSpaceDE w:val="0"/>
              <w:autoSpaceDN w:val="0"/>
              <w:adjustRightInd w:val="0"/>
              <w:snapToGrid w:val="0"/>
              <w:spacing w:before="228" w:line="228" w:lineRule="auto"/>
              <w:ind w:left="36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单位</w:t>
            </w:r>
          </w:p>
        </w:tc>
        <w:tc>
          <w:tcPr>
            <w:tcW w:w="1214" w:type="dxa"/>
          </w:tcPr>
          <w:p w14:paraId="230A53BC">
            <w:pPr>
              <w:tabs>
                <w:tab w:val="left" w:pos="708"/>
              </w:tabs>
              <w:kinsoku w:val="0"/>
              <w:autoSpaceDE w:val="0"/>
              <w:autoSpaceDN w:val="0"/>
              <w:adjustRightInd w:val="0"/>
              <w:snapToGrid w:val="0"/>
              <w:spacing w:before="227" w:line="228" w:lineRule="auto"/>
              <w:ind w:left="28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szCs w:val="21"/>
                <w:highlight w:val="none"/>
                <w:u w:val="single"/>
                <w:lang w:eastAsia="en-US"/>
                <w14:textFill>
                  <w14:solidFill>
                    <w14:schemeClr w14:val="tx1"/>
                  </w14:solidFill>
                </w14:textFill>
              </w:rPr>
              <w:tab/>
            </w:r>
            <w:r>
              <w:rPr>
                <w:rFonts w:hint="eastAsia" w:ascii="宋体" w:hAnsi="宋体" w:cs="宋体"/>
                <w:snapToGrid w:val="0"/>
                <w:color w:val="000000" w:themeColor="text1"/>
                <w:spacing w:val="-91"/>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kern w:val="0"/>
                <w:szCs w:val="21"/>
                <w:highlight w:val="none"/>
                <w:lang w:eastAsia="en-US"/>
                <w14:textFill>
                  <w14:solidFill>
                    <w14:schemeClr w14:val="tx1"/>
                  </w14:solidFill>
                </w14:textFill>
              </w:rPr>
              <w:t>年</w:t>
            </w:r>
          </w:p>
        </w:tc>
        <w:tc>
          <w:tcPr>
            <w:tcW w:w="1172" w:type="dxa"/>
          </w:tcPr>
          <w:p w14:paraId="6F476A43">
            <w:pPr>
              <w:tabs>
                <w:tab w:val="left" w:pos="689"/>
              </w:tabs>
              <w:kinsoku w:val="0"/>
              <w:autoSpaceDE w:val="0"/>
              <w:autoSpaceDN w:val="0"/>
              <w:adjustRightInd w:val="0"/>
              <w:snapToGrid w:val="0"/>
              <w:spacing w:before="227" w:line="228" w:lineRule="auto"/>
              <w:ind w:left="26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szCs w:val="21"/>
                <w:highlight w:val="none"/>
                <w:u w:val="single"/>
                <w:lang w:eastAsia="en-US"/>
                <w14:textFill>
                  <w14:solidFill>
                    <w14:schemeClr w14:val="tx1"/>
                  </w14:solidFill>
                </w14:textFill>
              </w:rPr>
              <w:tab/>
            </w:r>
            <w:r>
              <w:rPr>
                <w:rFonts w:hint="eastAsia" w:ascii="宋体" w:hAnsi="宋体" w:cs="宋体"/>
                <w:snapToGrid w:val="0"/>
                <w:color w:val="000000" w:themeColor="text1"/>
                <w:spacing w:val="-91"/>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kern w:val="0"/>
                <w:szCs w:val="21"/>
                <w:highlight w:val="none"/>
                <w:lang w:eastAsia="en-US"/>
                <w14:textFill>
                  <w14:solidFill>
                    <w14:schemeClr w14:val="tx1"/>
                  </w14:solidFill>
                </w14:textFill>
              </w:rPr>
              <w:t>年</w:t>
            </w:r>
          </w:p>
        </w:tc>
        <w:tc>
          <w:tcPr>
            <w:tcW w:w="1217" w:type="dxa"/>
          </w:tcPr>
          <w:p w14:paraId="1557040A">
            <w:pPr>
              <w:tabs>
                <w:tab w:val="left" w:pos="710"/>
              </w:tabs>
              <w:kinsoku w:val="0"/>
              <w:autoSpaceDE w:val="0"/>
              <w:autoSpaceDN w:val="0"/>
              <w:adjustRightInd w:val="0"/>
              <w:snapToGrid w:val="0"/>
              <w:spacing w:before="227" w:line="228" w:lineRule="auto"/>
              <w:ind w:left="29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szCs w:val="21"/>
                <w:highlight w:val="none"/>
                <w:u w:val="single"/>
                <w:lang w:eastAsia="en-US"/>
                <w14:textFill>
                  <w14:solidFill>
                    <w14:schemeClr w14:val="tx1"/>
                  </w14:solidFill>
                </w14:textFill>
              </w:rPr>
              <w:tab/>
            </w:r>
            <w:r>
              <w:rPr>
                <w:rFonts w:hint="eastAsia" w:ascii="宋体" w:hAnsi="宋体" w:cs="宋体"/>
                <w:snapToGrid w:val="0"/>
                <w:color w:val="000000" w:themeColor="text1"/>
                <w:spacing w:val="-91"/>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kern w:val="0"/>
                <w:szCs w:val="21"/>
                <w:highlight w:val="none"/>
                <w:lang w:eastAsia="en-US"/>
                <w14:textFill>
                  <w14:solidFill>
                    <w14:schemeClr w14:val="tx1"/>
                  </w14:solidFill>
                </w14:textFill>
              </w:rPr>
              <w:t>年</w:t>
            </w:r>
          </w:p>
        </w:tc>
      </w:tr>
      <w:tr w14:paraId="71392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0230530B">
            <w:pPr>
              <w:kinsoku w:val="0"/>
              <w:autoSpaceDE w:val="0"/>
              <w:autoSpaceDN w:val="0"/>
              <w:adjustRightInd w:val="0"/>
              <w:snapToGrid w:val="0"/>
              <w:spacing w:before="223" w:line="227" w:lineRule="auto"/>
              <w:ind w:left="11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一</w:t>
            </w:r>
            <w:r>
              <w:rPr>
                <w:rFonts w:hint="eastAsia" w:ascii="宋体" w:hAnsi="宋体" w:cs="宋体"/>
                <w:snapToGrid w:val="0"/>
                <w:color w:val="000000" w:themeColor="text1"/>
                <w:spacing w:val="28"/>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w:t>
            </w:r>
            <w:r>
              <w:rPr>
                <w:rFonts w:hint="eastAsia" w:ascii="宋体" w:hAnsi="宋体" w:cs="宋体"/>
                <w:snapToGrid w:val="0"/>
                <w:color w:val="000000" w:themeColor="text1"/>
                <w:spacing w:val="22"/>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注册资本</w:t>
            </w:r>
          </w:p>
        </w:tc>
        <w:tc>
          <w:tcPr>
            <w:tcW w:w="1136" w:type="dxa"/>
          </w:tcPr>
          <w:p w14:paraId="73124D51">
            <w:pPr>
              <w:kinsoku w:val="0"/>
              <w:autoSpaceDE w:val="0"/>
              <w:autoSpaceDN w:val="0"/>
              <w:adjustRightInd w:val="0"/>
              <w:snapToGrid w:val="0"/>
              <w:spacing w:before="223"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591FA0A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39F0E22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3B143B3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D6CE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1F6412E6">
            <w:pPr>
              <w:kinsoku w:val="0"/>
              <w:autoSpaceDE w:val="0"/>
              <w:autoSpaceDN w:val="0"/>
              <w:adjustRightInd w:val="0"/>
              <w:snapToGrid w:val="0"/>
              <w:spacing w:before="224" w:line="228" w:lineRule="auto"/>
              <w:ind w:left="11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二、</w:t>
            </w:r>
            <w:r>
              <w:rPr>
                <w:rFonts w:hint="eastAsia" w:ascii="宋体" w:hAnsi="宋体" w:cs="宋体"/>
                <w:snapToGrid w:val="0"/>
                <w:color w:val="000000" w:themeColor="text1"/>
                <w:spacing w:val="27"/>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净资产</w:t>
            </w:r>
          </w:p>
        </w:tc>
        <w:tc>
          <w:tcPr>
            <w:tcW w:w="1136" w:type="dxa"/>
          </w:tcPr>
          <w:p w14:paraId="09BF90EF">
            <w:pPr>
              <w:kinsoku w:val="0"/>
              <w:autoSpaceDE w:val="0"/>
              <w:autoSpaceDN w:val="0"/>
              <w:adjustRightInd w:val="0"/>
              <w:snapToGrid w:val="0"/>
              <w:spacing w:before="225"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07D22C9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24C027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12E7937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6C0C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3F79E764">
            <w:pPr>
              <w:kinsoku w:val="0"/>
              <w:autoSpaceDE w:val="0"/>
              <w:autoSpaceDN w:val="0"/>
              <w:adjustRightInd w:val="0"/>
              <w:snapToGrid w:val="0"/>
              <w:spacing w:before="224" w:line="228" w:lineRule="auto"/>
              <w:ind w:left="1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三、</w:t>
            </w:r>
            <w:r>
              <w:rPr>
                <w:rFonts w:hint="eastAsia" w:ascii="宋体" w:hAnsi="宋体" w:cs="宋体"/>
                <w:snapToGrid w:val="0"/>
                <w:color w:val="000000" w:themeColor="text1"/>
                <w:spacing w:val="30"/>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总资产</w:t>
            </w:r>
          </w:p>
        </w:tc>
        <w:tc>
          <w:tcPr>
            <w:tcW w:w="1136" w:type="dxa"/>
          </w:tcPr>
          <w:p w14:paraId="5FD0E50B">
            <w:pPr>
              <w:kinsoku w:val="0"/>
              <w:autoSpaceDE w:val="0"/>
              <w:autoSpaceDN w:val="0"/>
              <w:adjustRightInd w:val="0"/>
              <w:snapToGrid w:val="0"/>
              <w:spacing w:before="225"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456CBD0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C1A83C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1B10E3D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711B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DF6960E">
            <w:pPr>
              <w:kinsoku w:val="0"/>
              <w:autoSpaceDE w:val="0"/>
              <w:autoSpaceDN w:val="0"/>
              <w:adjustRightInd w:val="0"/>
              <w:snapToGrid w:val="0"/>
              <w:spacing w:before="226" w:line="228" w:lineRule="auto"/>
              <w:ind w:left="13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四、</w:t>
            </w:r>
            <w:r>
              <w:rPr>
                <w:rFonts w:hint="eastAsia" w:ascii="宋体" w:hAnsi="宋体" w:cs="宋体"/>
                <w:snapToGrid w:val="0"/>
                <w:color w:val="000000" w:themeColor="text1"/>
                <w:spacing w:val="40"/>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固定资产</w:t>
            </w:r>
          </w:p>
        </w:tc>
        <w:tc>
          <w:tcPr>
            <w:tcW w:w="1136" w:type="dxa"/>
          </w:tcPr>
          <w:p w14:paraId="62824005">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6175580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7C37D0B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4937748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684E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2B3739BE">
            <w:pPr>
              <w:kinsoku w:val="0"/>
              <w:autoSpaceDE w:val="0"/>
              <w:autoSpaceDN w:val="0"/>
              <w:adjustRightInd w:val="0"/>
              <w:snapToGrid w:val="0"/>
              <w:spacing w:before="225" w:line="228" w:lineRule="auto"/>
              <w:ind w:left="11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五、</w:t>
            </w:r>
            <w:r>
              <w:rPr>
                <w:rFonts w:hint="eastAsia" w:ascii="宋体" w:hAnsi="宋体" w:cs="宋体"/>
                <w:snapToGrid w:val="0"/>
                <w:color w:val="000000" w:themeColor="text1"/>
                <w:spacing w:val="26"/>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流动资产</w:t>
            </w:r>
          </w:p>
        </w:tc>
        <w:tc>
          <w:tcPr>
            <w:tcW w:w="1136" w:type="dxa"/>
          </w:tcPr>
          <w:p w14:paraId="62748464">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229B02E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7890C8D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69F8A6A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2F59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78DB2C82">
            <w:pPr>
              <w:kinsoku w:val="0"/>
              <w:autoSpaceDE w:val="0"/>
              <w:autoSpaceDN w:val="0"/>
              <w:adjustRightInd w:val="0"/>
              <w:snapToGrid w:val="0"/>
              <w:spacing w:before="227" w:line="228" w:lineRule="auto"/>
              <w:ind w:left="11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六、</w:t>
            </w:r>
            <w:r>
              <w:rPr>
                <w:rFonts w:hint="eastAsia" w:ascii="宋体" w:hAnsi="宋体" w:cs="宋体"/>
                <w:snapToGrid w:val="0"/>
                <w:color w:val="000000" w:themeColor="text1"/>
                <w:spacing w:val="22"/>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流动负债</w:t>
            </w:r>
          </w:p>
        </w:tc>
        <w:tc>
          <w:tcPr>
            <w:tcW w:w="1136" w:type="dxa"/>
          </w:tcPr>
          <w:p w14:paraId="555C0F7B">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2A6C150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9D9C3E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6347456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3991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6CA31C5D">
            <w:pPr>
              <w:kinsoku w:val="0"/>
              <w:autoSpaceDE w:val="0"/>
              <w:autoSpaceDN w:val="0"/>
              <w:adjustRightInd w:val="0"/>
              <w:snapToGrid w:val="0"/>
              <w:spacing w:before="226" w:line="228" w:lineRule="auto"/>
              <w:ind w:left="11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七、</w:t>
            </w:r>
            <w:r>
              <w:rPr>
                <w:rFonts w:hint="eastAsia" w:ascii="宋体" w:hAnsi="宋体" w:cs="宋体"/>
                <w:snapToGrid w:val="0"/>
                <w:color w:val="000000" w:themeColor="text1"/>
                <w:spacing w:val="31"/>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负债合计</w:t>
            </w:r>
          </w:p>
        </w:tc>
        <w:tc>
          <w:tcPr>
            <w:tcW w:w="1136" w:type="dxa"/>
          </w:tcPr>
          <w:p w14:paraId="70F198DC">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33CDA62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5B4B23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11CCAE7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A9FB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D472FF3">
            <w:pPr>
              <w:kinsoku w:val="0"/>
              <w:autoSpaceDE w:val="0"/>
              <w:autoSpaceDN w:val="0"/>
              <w:adjustRightInd w:val="0"/>
              <w:snapToGrid w:val="0"/>
              <w:spacing w:before="226" w:line="228" w:lineRule="auto"/>
              <w:ind w:left="11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八、</w:t>
            </w:r>
            <w:r>
              <w:rPr>
                <w:rFonts w:hint="eastAsia" w:ascii="宋体" w:hAnsi="宋体" w:cs="宋体"/>
                <w:snapToGrid w:val="0"/>
                <w:color w:val="000000" w:themeColor="text1"/>
                <w:spacing w:val="32"/>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营业收入</w:t>
            </w:r>
          </w:p>
        </w:tc>
        <w:tc>
          <w:tcPr>
            <w:tcW w:w="1136" w:type="dxa"/>
          </w:tcPr>
          <w:p w14:paraId="539EB306">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0E0CC10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4C506D2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69288DD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BC32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1167274">
            <w:pPr>
              <w:kinsoku w:val="0"/>
              <w:autoSpaceDE w:val="0"/>
              <w:autoSpaceDN w:val="0"/>
              <w:adjustRightInd w:val="0"/>
              <w:snapToGrid w:val="0"/>
              <w:spacing w:before="228" w:line="228" w:lineRule="auto"/>
              <w:ind w:left="12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九、</w:t>
            </w:r>
            <w:r>
              <w:rPr>
                <w:rFonts w:hint="eastAsia" w:ascii="宋体" w:hAnsi="宋体" w:cs="宋体"/>
                <w:snapToGrid w:val="0"/>
                <w:color w:val="000000" w:themeColor="text1"/>
                <w:spacing w:val="25"/>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净利润</w:t>
            </w:r>
          </w:p>
        </w:tc>
        <w:tc>
          <w:tcPr>
            <w:tcW w:w="1136" w:type="dxa"/>
          </w:tcPr>
          <w:p w14:paraId="4079D96E">
            <w:pPr>
              <w:kinsoku w:val="0"/>
              <w:autoSpaceDE w:val="0"/>
              <w:autoSpaceDN w:val="0"/>
              <w:adjustRightInd w:val="0"/>
              <w:snapToGrid w:val="0"/>
              <w:spacing w:before="228"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4B2DC51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0A74B94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22A6F87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18B5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630CE01">
            <w:pPr>
              <w:kinsoku w:val="0"/>
              <w:autoSpaceDE w:val="0"/>
              <w:autoSpaceDN w:val="0"/>
              <w:adjustRightInd w:val="0"/>
              <w:snapToGrid w:val="0"/>
              <w:spacing w:before="226" w:line="228" w:lineRule="auto"/>
              <w:ind w:left="11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十、</w:t>
            </w:r>
            <w:r>
              <w:rPr>
                <w:rFonts w:hint="eastAsia" w:ascii="宋体" w:hAnsi="宋体" w:cs="宋体"/>
                <w:snapToGrid w:val="0"/>
                <w:color w:val="000000" w:themeColor="text1"/>
                <w:spacing w:val="25"/>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现金流量净额</w:t>
            </w:r>
          </w:p>
        </w:tc>
        <w:tc>
          <w:tcPr>
            <w:tcW w:w="1136" w:type="dxa"/>
          </w:tcPr>
          <w:p w14:paraId="625F6A7E">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1214" w:type="dxa"/>
            <w:vAlign w:val="center"/>
          </w:tcPr>
          <w:p w14:paraId="3D12C98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7DC19B5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067677A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4EA0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1F6E3C89">
            <w:pPr>
              <w:kinsoku w:val="0"/>
              <w:autoSpaceDE w:val="0"/>
              <w:autoSpaceDN w:val="0"/>
              <w:adjustRightInd w:val="0"/>
              <w:snapToGrid w:val="0"/>
              <w:spacing w:before="227" w:line="228" w:lineRule="auto"/>
              <w:ind w:left="11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十一、</w:t>
            </w:r>
            <w:r>
              <w:rPr>
                <w:rFonts w:hint="eastAsia" w:ascii="宋体" w:hAnsi="宋体" w:cs="宋体"/>
                <w:snapToGrid w:val="0"/>
                <w:color w:val="000000" w:themeColor="text1"/>
                <w:spacing w:val="28"/>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主要财务指标</w:t>
            </w:r>
          </w:p>
        </w:tc>
        <w:tc>
          <w:tcPr>
            <w:tcW w:w="1136" w:type="dxa"/>
          </w:tcPr>
          <w:p w14:paraId="0FAAD9A8">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4" w:type="dxa"/>
            <w:vAlign w:val="center"/>
          </w:tcPr>
          <w:p w14:paraId="17943DD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7D4F07F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455A23F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86E5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2B77670C">
            <w:pPr>
              <w:kinsoku w:val="0"/>
              <w:autoSpaceDE w:val="0"/>
              <w:autoSpaceDN w:val="0"/>
              <w:adjustRightInd w:val="0"/>
              <w:snapToGrid w:val="0"/>
              <w:spacing w:before="226" w:line="228" w:lineRule="auto"/>
              <w:ind w:left="13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1. 净资产收益率</w:t>
            </w:r>
          </w:p>
        </w:tc>
        <w:tc>
          <w:tcPr>
            <w:tcW w:w="1136" w:type="dxa"/>
          </w:tcPr>
          <w:p w14:paraId="58E4EBD7">
            <w:pPr>
              <w:kinsoku w:val="0"/>
              <w:autoSpaceDE w:val="0"/>
              <w:autoSpaceDN w:val="0"/>
              <w:adjustRightInd w:val="0"/>
              <w:snapToGrid w:val="0"/>
              <w:spacing w:before="227" w:line="268"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6836013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5884661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30504C2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2D3E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3EB9BF3">
            <w:pPr>
              <w:kinsoku w:val="0"/>
              <w:autoSpaceDE w:val="0"/>
              <w:autoSpaceDN w:val="0"/>
              <w:adjustRightInd w:val="0"/>
              <w:snapToGrid w:val="0"/>
              <w:spacing w:before="225" w:line="228" w:lineRule="auto"/>
              <w:ind w:left="11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2.</w:t>
            </w:r>
            <w:r>
              <w:rPr>
                <w:rFonts w:hint="eastAsia" w:ascii="宋体" w:hAnsi="宋体" w:cs="宋体"/>
                <w:snapToGrid w:val="0"/>
                <w:color w:val="000000" w:themeColor="text1"/>
                <w:spacing w:val="20"/>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总资产报酬率</w:t>
            </w:r>
          </w:p>
        </w:tc>
        <w:tc>
          <w:tcPr>
            <w:tcW w:w="1136" w:type="dxa"/>
          </w:tcPr>
          <w:p w14:paraId="5D57DB7A">
            <w:pPr>
              <w:kinsoku w:val="0"/>
              <w:autoSpaceDE w:val="0"/>
              <w:autoSpaceDN w:val="0"/>
              <w:adjustRightInd w:val="0"/>
              <w:snapToGrid w:val="0"/>
              <w:spacing w:before="226" w:line="268"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623AB5C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63D44A8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4D3FD63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D645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0AFE0D6E">
            <w:pPr>
              <w:kinsoku w:val="0"/>
              <w:autoSpaceDE w:val="0"/>
              <w:autoSpaceDN w:val="0"/>
              <w:adjustRightInd w:val="0"/>
              <w:snapToGrid w:val="0"/>
              <w:spacing w:before="227" w:line="228" w:lineRule="auto"/>
              <w:ind w:left="1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3. 主营业务利润率</w:t>
            </w:r>
          </w:p>
        </w:tc>
        <w:tc>
          <w:tcPr>
            <w:tcW w:w="1136" w:type="dxa"/>
          </w:tcPr>
          <w:p w14:paraId="14739011">
            <w:pPr>
              <w:kinsoku w:val="0"/>
              <w:autoSpaceDE w:val="0"/>
              <w:autoSpaceDN w:val="0"/>
              <w:adjustRightInd w:val="0"/>
              <w:snapToGrid w:val="0"/>
              <w:spacing w:before="227" w:line="269"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7A6FE1D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32DEEE4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197F531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C193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4AAD656">
            <w:pPr>
              <w:kinsoku w:val="0"/>
              <w:autoSpaceDE w:val="0"/>
              <w:autoSpaceDN w:val="0"/>
              <w:adjustRightInd w:val="0"/>
              <w:snapToGrid w:val="0"/>
              <w:spacing w:before="227" w:line="228" w:lineRule="auto"/>
              <w:ind w:left="11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4.</w:t>
            </w:r>
            <w:r>
              <w:rPr>
                <w:rFonts w:hint="eastAsia" w:ascii="宋体" w:hAnsi="宋体" w:cs="宋体"/>
                <w:snapToGrid w:val="0"/>
                <w:color w:val="000000" w:themeColor="text1"/>
                <w:spacing w:val="27"/>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资产负债率</w:t>
            </w:r>
          </w:p>
        </w:tc>
        <w:tc>
          <w:tcPr>
            <w:tcW w:w="1136" w:type="dxa"/>
          </w:tcPr>
          <w:p w14:paraId="679231E8">
            <w:pPr>
              <w:kinsoku w:val="0"/>
              <w:autoSpaceDE w:val="0"/>
              <w:autoSpaceDN w:val="0"/>
              <w:adjustRightInd w:val="0"/>
              <w:snapToGrid w:val="0"/>
              <w:spacing w:before="227" w:line="269"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672E91B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6CD3FCE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782F115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196E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661CA129">
            <w:pPr>
              <w:kinsoku w:val="0"/>
              <w:autoSpaceDE w:val="0"/>
              <w:autoSpaceDN w:val="0"/>
              <w:adjustRightInd w:val="0"/>
              <w:snapToGrid w:val="0"/>
              <w:spacing w:before="228" w:line="228" w:lineRule="auto"/>
              <w:ind w:left="1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5.</w:t>
            </w:r>
            <w:r>
              <w:rPr>
                <w:rFonts w:hint="eastAsia" w:ascii="宋体" w:hAnsi="宋体" w:cs="宋体"/>
                <w:snapToGrid w:val="0"/>
                <w:color w:val="000000" w:themeColor="text1"/>
                <w:spacing w:val="14"/>
                <w:kern w:val="0"/>
                <w:szCs w:val="21"/>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流动比率</w:t>
            </w:r>
          </w:p>
        </w:tc>
        <w:tc>
          <w:tcPr>
            <w:tcW w:w="1136" w:type="dxa"/>
          </w:tcPr>
          <w:p w14:paraId="68281A48">
            <w:pPr>
              <w:kinsoku w:val="0"/>
              <w:autoSpaceDE w:val="0"/>
              <w:autoSpaceDN w:val="0"/>
              <w:adjustRightInd w:val="0"/>
              <w:snapToGrid w:val="0"/>
              <w:spacing w:before="229" w:line="268"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796643D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7E786EF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674AB61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0079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08B210A">
            <w:pPr>
              <w:kinsoku w:val="0"/>
              <w:autoSpaceDE w:val="0"/>
              <w:autoSpaceDN w:val="0"/>
              <w:adjustRightInd w:val="0"/>
              <w:snapToGrid w:val="0"/>
              <w:spacing w:before="227" w:line="228" w:lineRule="auto"/>
              <w:ind w:left="11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6. 速动比率</w:t>
            </w:r>
          </w:p>
        </w:tc>
        <w:tc>
          <w:tcPr>
            <w:tcW w:w="1136" w:type="dxa"/>
          </w:tcPr>
          <w:p w14:paraId="0A04BA8A">
            <w:pPr>
              <w:kinsoku w:val="0"/>
              <w:autoSpaceDE w:val="0"/>
              <w:autoSpaceDN w:val="0"/>
              <w:adjustRightInd w:val="0"/>
              <w:snapToGrid w:val="0"/>
              <w:spacing w:before="228" w:line="268" w:lineRule="exact"/>
              <w:ind w:left="51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1"/>
                <w:szCs w:val="21"/>
                <w:highlight w:val="none"/>
                <w:lang w:eastAsia="en-US"/>
                <w14:textFill>
                  <w14:solidFill>
                    <w14:schemeClr w14:val="tx1"/>
                  </w14:solidFill>
                </w14:textFill>
              </w:rPr>
              <w:t>%</w:t>
            </w:r>
          </w:p>
        </w:tc>
        <w:tc>
          <w:tcPr>
            <w:tcW w:w="1214" w:type="dxa"/>
            <w:vAlign w:val="center"/>
          </w:tcPr>
          <w:p w14:paraId="31837D1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2" w:type="dxa"/>
            <w:vAlign w:val="center"/>
          </w:tcPr>
          <w:p w14:paraId="6CC56F8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217" w:type="dxa"/>
            <w:vAlign w:val="center"/>
          </w:tcPr>
          <w:p w14:paraId="5C7EDD0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C648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4F6DA1B3">
            <w:pPr>
              <w:kinsoku w:val="0"/>
              <w:autoSpaceDE w:val="0"/>
              <w:autoSpaceDN w:val="0"/>
              <w:adjustRightInd w:val="0"/>
              <w:snapToGrid w:val="0"/>
              <w:spacing w:before="229" w:line="228" w:lineRule="auto"/>
              <w:ind w:left="623"/>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9"/>
                <w:kern w:val="0"/>
                <w:szCs w:val="21"/>
                <w:highlight w:val="none"/>
                <w14:textFill>
                  <w14:solidFill>
                    <w14:schemeClr w14:val="tx1"/>
                  </w14:solidFill>
                </w14:textFill>
              </w:rPr>
              <w:t>近三个年度的年平均营业总收入</w:t>
            </w:r>
          </w:p>
        </w:tc>
        <w:tc>
          <w:tcPr>
            <w:tcW w:w="1136" w:type="dxa"/>
          </w:tcPr>
          <w:p w14:paraId="0FD17450">
            <w:pPr>
              <w:kinsoku w:val="0"/>
              <w:autoSpaceDE w:val="0"/>
              <w:autoSpaceDN w:val="0"/>
              <w:adjustRightInd w:val="0"/>
              <w:snapToGrid w:val="0"/>
              <w:spacing w:before="229"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3603" w:type="dxa"/>
            <w:gridSpan w:val="3"/>
            <w:vAlign w:val="center"/>
          </w:tcPr>
          <w:p w14:paraId="6C73486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7FAF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4176" w:type="dxa"/>
          </w:tcPr>
          <w:p w14:paraId="789EBE37">
            <w:pPr>
              <w:kinsoku w:val="0"/>
              <w:autoSpaceDE w:val="0"/>
              <w:autoSpaceDN w:val="0"/>
              <w:adjustRightInd w:val="0"/>
              <w:snapToGrid w:val="0"/>
              <w:spacing w:before="144" w:line="228" w:lineRule="auto"/>
              <w:ind w:left="153"/>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9"/>
                <w:kern w:val="0"/>
                <w:szCs w:val="21"/>
                <w:highlight w:val="none"/>
                <w14:textFill>
                  <w14:solidFill>
                    <w14:schemeClr w14:val="tx1"/>
                  </w14:solidFill>
                </w14:textFill>
              </w:rPr>
              <w:t>最新年度具有的营运资金（流动资产-流动</w:t>
            </w:r>
            <w:r>
              <w:rPr>
                <w:rFonts w:hint="eastAsia" w:ascii="宋体" w:hAnsi="宋体" w:cs="宋体"/>
                <w:snapToGrid w:val="0"/>
                <w:color w:val="000000" w:themeColor="text1"/>
                <w:kern w:val="0"/>
                <w:szCs w:val="21"/>
                <w:highlight w:val="none"/>
                <w14:textFill>
                  <w14:solidFill>
                    <w14:schemeClr w14:val="tx1"/>
                  </w14:solidFill>
                </w14:textFill>
              </w:rPr>
              <w:t>负债）</w:t>
            </w:r>
          </w:p>
        </w:tc>
        <w:tc>
          <w:tcPr>
            <w:tcW w:w="1136" w:type="dxa"/>
          </w:tcPr>
          <w:p w14:paraId="72DC969D">
            <w:pPr>
              <w:widowControl/>
              <w:kinsoku w:val="0"/>
              <w:autoSpaceDE w:val="0"/>
              <w:autoSpaceDN w:val="0"/>
              <w:adjustRightInd w:val="0"/>
              <w:snapToGrid w:val="0"/>
              <w:spacing w:line="279"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5A721401">
            <w:pPr>
              <w:kinsoku w:val="0"/>
              <w:autoSpaceDE w:val="0"/>
              <w:autoSpaceDN w:val="0"/>
              <w:adjustRightInd w:val="0"/>
              <w:snapToGrid w:val="0"/>
              <w:spacing w:before="65" w:line="228" w:lineRule="auto"/>
              <w:ind w:left="3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万元</w:t>
            </w:r>
          </w:p>
        </w:tc>
        <w:tc>
          <w:tcPr>
            <w:tcW w:w="3603" w:type="dxa"/>
            <w:gridSpan w:val="3"/>
            <w:vAlign w:val="center"/>
          </w:tcPr>
          <w:p w14:paraId="2FB0F2E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bl>
    <w:p w14:paraId="30CE917E">
      <w:pPr>
        <w:widowControl/>
        <w:kinsoku w:val="0"/>
        <w:autoSpaceDE w:val="0"/>
        <w:autoSpaceDN w:val="0"/>
        <w:adjustRightInd w:val="0"/>
        <w:snapToGrid w:val="0"/>
        <w:spacing w:before="52" w:line="232" w:lineRule="auto"/>
        <w:ind w:left="7"/>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1B5FFB6E">
      <w:pPr>
        <w:widowControl/>
        <w:kinsoku w:val="0"/>
        <w:autoSpaceDE w:val="0"/>
        <w:autoSpaceDN w:val="0"/>
        <w:adjustRightInd w:val="0"/>
        <w:snapToGrid w:val="0"/>
        <w:spacing w:before="60" w:line="227" w:lineRule="auto"/>
        <w:ind w:left="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 投标人应根据招标文件第二章“投标人须知</w:t>
      </w:r>
      <w:r>
        <w:rPr>
          <w:rFonts w:ascii="宋体" w:hAnsi="宋体" w:cs="宋体"/>
          <w:snapToGrid w:val="0"/>
          <w:color w:val="000000" w:themeColor="text1"/>
          <w:spacing w:val="-6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3.5.2</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1318E497">
      <w:pPr>
        <w:widowControl/>
        <w:kinsoku w:val="0"/>
        <w:autoSpaceDE w:val="0"/>
        <w:autoSpaceDN w:val="0"/>
        <w:adjustRightInd w:val="0"/>
        <w:snapToGrid w:val="0"/>
        <w:spacing w:before="66" w:line="228" w:lineRule="auto"/>
        <w:ind w:left="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2.以联合体形式投标的，联合体各成员应分别填写。</w:t>
      </w:r>
    </w:p>
    <w:p w14:paraId="604A44D0">
      <w:pPr>
        <w:spacing w:line="228" w:lineRule="auto"/>
        <w:rPr>
          <w:rFonts w:hint="eastAsia" w:ascii="宋体" w:hAnsi="宋体" w:cs="宋体"/>
          <w:color w:val="000000" w:themeColor="text1"/>
          <w:sz w:val="20"/>
          <w:szCs w:val="20"/>
          <w:highlight w:val="none"/>
          <w14:textFill>
            <w14:solidFill>
              <w14:schemeClr w14:val="tx1"/>
            </w14:solidFill>
          </w14:textFill>
        </w:rPr>
        <w:sectPr>
          <w:headerReference r:id="rId105" w:type="default"/>
          <w:footerReference r:id="rId106" w:type="default"/>
          <w:pgSz w:w="11906" w:h="16839"/>
          <w:pgMar w:top="1182" w:right="1307" w:bottom="1168" w:left="1417" w:header="849" w:footer="934" w:gutter="0"/>
          <w:cols w:space="720" w:num="1"/>
        </w:sectPr>
      </w:pPr>
    </w:p>
    <w:p w14:paraId="1AD3B5F9">
      <w:pPr>
        <w:kinsoku w:val="0"/>
        <w:autoSpaceDE w:val="0"/>
        <w:autoSpaceDN w:val="0"/>
        <w:adjustRightInd w:val="0"/>
        <w:snapToGrid w:val="0"/>
        <w:spacing w:line="29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36A828A">
      <w:pPr>
        <w:widowControl/>
        <w:kinsoku w:val="0"/>
        <w:autoSpaceDE w:val="0"/>
        <w:autoSpaceDN w:val="0"/>
        <w:adjustRightInd w:val="0"/>
        <w:snapToGrid w:val="0"/>
        <w:spacing w:before="91" w:line="235" w:lineRule="auto"/>
        <w:ind w:left="3635"/>
        <w:jc w:val="left"/>
        <w:textAlignment w:val="baseline"/>
        <w:rPr>
          <w:rFonts w:hint="eastAsia" w:ascii="宋体" w:hAnsi="宋体" w:cs="宋体"/>
          <w:snapToGrid w:val="0"/>
          <w:color w:val="000000" w:themeColor="text1"/>
          <w:kern w:val="0"/>
          <w:sz w:val="13"/>
          <w:szCs w:val="13"/>
          <w:highlight w:val="none"/>
          <w14:textFill>
            <w14:solidFill>
              <w14:schemeClr w14:val="tx1"/>
            </w14:solidFill>
          </w14:textFill>
        </w:rPr>
      </w:pPr>
      <w:r>
        <w:rPr>
          <w:rFonts w:ascii="宋体" w:hAnsi="宋体" w:cs="宋体"/>
          <w:b/>
          <w:bCs/>
          <w:snapToGrid w:val="0"/>
          <w:color w:val="000000" w:themeColor="text1"/>
          <w:spacing w:val="-3"/>
          <w:kern w:val="0"/>
          <w:sz w:val="28"/>
          <w:szCs w:val="28"/>
          <w:highlight w:val="none"/>
          <w14:textFill>
            <w14:solidFill>
              <w14:schemeClr w14:val="tx1"/>
            </w14:solidFill>
          </w14:textFill>
        </w:rPr>
        <w:t>银行信贷证明</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"bookmark353" </w:instrText>
      </w:r>
      <w:r>
        <w:rPr>
          <w:color w:val="000000" w:themeColor="text1"/>
          <w:highlight w:val="none"/>
          <w14:textFill>
            <w14:solidFill>
              <w14:schemeClr w14:val="tx1"/>
            </w14:solidFill>
          </w14:textFill>
        </w:rPr>
        <w:fldChar w:fldCharType="separate"/>
      </w:r>
      <w:r>
        <w:rPr>
          <w:rFonts w:ascii="宋体" w:hAnsi="宋体" w:cs="宋体"/>
          <w:b/>
          <w:bCs/>
          <w:snapToGrid w:val="0"/>
          <w:color w:val="000000" w:themeColor="text1"/>
          <w:spacing w:val="-3"/>
          <w:kern w:val="0"/>
          <w:position w:val="13"/>
          <w:sz w:val="13"/>
          <w:szCs w:val="13"/>
          <w:highlight w:val="none"/>
          <w14:textFill>
            <w14:solidFill>
              <w14:schemeClr w14:val="tx1"/>
            </w14:solidFill>
          </w14:textFill>
        </w:rPr>
        <w:t>①</w:t>
      </w:r>
      <w:r>
        <w:rPr>
          <w:rFonts w:ascii="宋体" w:hAnsi="宋体" w:cs="宋体"/>
          <w:b/>
          <w:bCs/>
          <w:snapToGrid w:val="0"/>
          <w:color w:val="000000" w:themeColor="text1"/>
          <w:spacing w:val="-3"/>
          <w:kern w:val="0"/>
          <w:position w:val="13"/>
          <w:sz w:val="13"/>
          <w:szCs w:val="13"/>
          <w:highlight w:val="none"/>
          <w14:textFill>
            <w14:solidFill>
              <w14:schemeClr w14:val="tx1"/>
            </w14:solidFill>
          </w14:textFill>
        </w:rPr>
        <w:fldChar w:fldCharType="end"/>
      </w:r>
    </w:p>
    <w:p w14:paraId="03A6FC95">
      <w:pPr>
        <w:kinsoku w:val="0"/>
        <w:autoSpaceDE w:val="0"/>
        <w:autoSpaceDN w:val="0"/>
        <w:adjustRightInd w:val="0"/>
        <w:snapToGrid w:val="0"/>
        <w:spacing w:line="31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26DAC00">
      <w:pPr>
        <w:widowControl/>
        <w:kinsoku w:val="0"/>
        <w:autoSpaceDE w:val="0"/>
        <w:autoSpaceDN w:val="0"/>
        <w:adjustRightInd w:val="0"/>
        <w:snapToGrid w:val="0"/>
        <w:spacing w:before="78" w:line="220" w:lineRule="auto"/>
        <w:ind w:left="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3"/>
          <w:kern w:val="0"/>
          <w:sz w:val="24"/>
          <w:highlight w:val="none"/>
          <w14:textFill>
            <w14:solidFill>
              <w14:schemeClr w14:val="tx1"/>
            </w14:solidFill>
          </w14:textFill>
        </w:rPr>
        <w:t>银行名称：</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4DCF1339">
      <w:pPr>
        <w:widowControl/>
        <w:kinsoku w:val="0"/>
        <w:autoSpaceDE w:val="0"/>
        <w:autoSpaceDN w:val="0"/>
        <w:adjustRightInd w:val="0"/>
        <w:snapToGrid w:val="0"/>
        <w:spacing w:before="181" w:line="229"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7"/>
          <w:kern w:val="0"/>
          <w:sz w:val="24"/>
          <w:highlight w:val="none"/>
          <w14:textFill>
            <w14:solidFill>
              <w14:schemeClr w14:val="tx1"/>
            </w14:solidFill>
          </w14:textFill>
        </w:rPr>
        <w:t>地</w:t>
      </w:r>
      <w:r>
        <w:rPr>
          <w:rFonts w:ascii="宋体" w:hAnsi="宋体" w:cs="宋体"/>
          <w:snapToGrid w:val="0"/>
          <w:color w:val="000000" w:themeColor="text1"/>
          <w:spacing w:val="2"/>
          <w:kern w:val="0"/>
          <w:sz w:val="24"/>
          <w:highlight w:val="none"/>
          <w14:textFill>
            <w14:solidFill>
              <w14:schemeClr w14:val="tx1"/>
            </w14:solidFill>
          </w14:textFill>
        </w:rPr>
        <w:t xml:space="preserve">    </w:t>
      </w:r>
      <w:r>
        <w:rPr>
          <w:rFonts w:ascii="宋体" w:hAnsi="宋体" w:cs="宋体"/>
          <w:snapToGrid w:val="0"/>
          <w:color w:val="000000" w:themeColor="text1"/>
          <w:spacing w:val="-17"/>
          <w:kern w:val="0"/>
          <w:sz w:val="24"/>
          <w:highlight w:val="none"/>
          <w14:textFill>
            <w14:solidFill>
              <w14:schemeClr w14:val="tx1"/>
            </w14:solidFill>
          </w14:textFill>
        </w:rPr>
        <w:t>址</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7"/>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17F369F5">
      <w:pPr>
        <w:widowControl/>
        <w:kinsoku w:val="0"/>
        <w:autoSpaceDE w:val="0"/>
        <w:autoSpaceDN w:val="0"/>
        <w:adjustRightInd w:val="0"/>
        <w:snapToGrid w:val="0"/>
        <w:spacing w:before="170" w:line="220" w:lineRule="auto"/>
        <w:ind w:left="4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7"/>
          <w:kern w:val="0"/>
          <w:sz w:val="24"/>
          <w:highlight w:val="none"/>
          <w14:textFill>
            <w14:solidFill>
              <w14:schemeClr w14:val="tx1"/>
            </w14:solidFill>
          </w14:textFill>
        </w:rPr>
        <w:t>日期：</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0A48102E">
      <w:pPr>
        <w:kinsoku w:val="0"/>
        <w:autoSpaceDE w:val="0"/>
        <w:autoSpaceDN w:val="0"/>
        <w:adjustRightInd w:val="0"/>
        <w:snapToGrid w:val="0"/>
        <w:spacing w:line="4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AC22ACF">
      <w:pPr>
        <w:widowControl/>
        <w:kinsoku w:val="0"/>
        <w:autoSpaceDE w:val="0"/>
        <w:autoSpaceDN w:val="0"/>
        <w:adjustRightInd w:val="0"/>
        <w:snapToGrid w:val="0"/>
        <w:spacing w:before="79" w:line="220"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7"/>
          <w:kern w:val="0"/>
          <w:sz w:val="24"/>
          <w:highlight w:val="none"/>
          <w14:textFill>
            <w14:solidFill>
              <w14:schemeClr w14:val="tx1"/>
            </w14:solidFill>
          </w14:textFill>
        </w:rPr>
        <w:t>致</w:t>
      </w:r>
      <w:r>
        <w:rPr>
          <w:rFonts w:ascii="宋体" w:hAnsi="宋体" w:cs="宋体"/>
          <w:snapToGrid w:val="0"/>
          <w:color w:val="000000" w:themeColor="text1"/>
          <w:spacing w:val="-30"/>
          <w:kern w:val="0"/>
          <w:sz w:val="24"/>
          <w:highlight w:val="none"/>
          <w14:textFill>
            <w14:solidFill>
              <w14:schemeClr w14:val="tx1"/>
            </w14:solidFill>
          </w14:textFill>
        </w:rPr>
        <w:t>：</w:t>
      </w:r>
      <w:r>
        <w:rPr>
          <w:rFonts w:ascii="宋体" w:hAnsi="宋体" w:cs="宋体"/>
          <w:snapToGrid w:val="0"/>
          <w:color w:val="000000" w:themeColor="text1"/>
          <w:spacing w:val="-30"/>
          <w:kern w:val="0"/>
          <w:sz w:val="24"/>
          <w:highlight w:val="none"/>
          <w:u w:val="single"/>
          <w14:textFill>
            <w14:solidFill>
              <w14:schemeClr w14:val="tx1"/>
            </w14:solidFill>
          </w14:textFill>
        </w:rPr>
        <w:t>（</w:t>
      </w:r>
      <w:r>
        <w:rPr>
          <w:rFonts w:ascii="宋体" w:hAnsi="宋体" w:cs="宋体"/>
          <w:snapToGrid w:val="0"/>
          <w:color w:val="000000" w:themeColor="text1"/>
          <w:spacing w:val="7"/>
          <w:kern w:val="0"/>
          <w:sz w:val="24"/>
          <w:highlight w:val="none"/>
          <w:u w:val="single"/>
          <w14:textFill>
            <w14:solidFill>
              <w14:schemeClr w14:val="tx1"/>
            </w14:solidFill>
          </w14:textFill>
        </w:rPr>
        <w:t>招标人全称）</w:t>
      </w:r>
    </w:p>
    <w:p w14:paraId="24455944">
      <w:pPr>
        <w:widowControl/>
        <w:tabs>
          <w:tab w:val="left" w:pos="9070"/>
        </w:tabs>
        <w:kinsoku w:val="0"/>
        <w:autoSpaceDE w:val="0"/>
        <w:autoSpaceDN w:val="0"/>
        <w:adjustRightInd w:val="0"/>
        <w:snapToGrid w:val="0"/>
        <w:spacing w:before="181" w:line="360" w:lineRule="auto"/>
        <w:ind w:left="8" w:firstLine="483"/>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4"/>
          <w:kern w:val="0"/>
          <w:sz w:val="24"/>
          <w:highlight w:val="none"/>
          <w14:textFill>
            <w14:solidFill>
              <w14:schemeClr w14:val="tx1"/>
            </w14:solidFill>
          </w14:textFill>
        </w:rPr>
        <w:t>兹开具最高限额为人民币</w:t>
      </w:r>
      <w:r>
        <w:rPr>
          <w:rFonts w:ascii="宋体" w:hAnsi="宋体" w:cs="宋体"/>
          <w:snapToGrid w:val="0"/>
          <w:color w:val="000000" w:themeColor="text1"/>
          <w:spacing w:val="-4"/>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4"/>
          <w:kern w:val="0"/>
          <w:sz w:val="24"/>
          <w:highlight w:val="none"/>
          <w14:textFill>
            <w14:solidFill>
              <w14:schemeClr w14:val="tx1"/>
            </w14:solidFill>
          </w14:textFill>
        </w:rPr>
        <w:t>万元的银行信贷，</w:t>
      </w:r>
      <w:r>
        <w:rPr>
          <w:rFonts w:ascii="宋体" w:hAnsi="宋体" w:cs="宋体"/>
          <w:snapToGrid w:val="0"/>
          <w:color w:val="000000" w:themeColor="text1"/>
          <w:spacing w:val="-5"/>
          <w:kern w:val="0"/>
          <w:sz w:val="24"/>
          <w:highlight w:val="none"/>
          <w14:textFill>
            <w14:solidFill>
              <w14:schemeClr w14:val="tx1"/>
            </w14:solidFill>
          </w14:textFill>
        </w:rPr>
        <w:t>供</w:t>
      </w:r>
      <w:r>
        <w:rPr>
          <w:rFonts w:ascii="宋体" w:hAnsi="宋体" w:cs="宋体"/>
          <w:snapToGrid w:val="0"/>
          <w:color w:val="000000" w:themeColor="text1"/>
          <w:spacing w:val="17"/>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5"/>
          <w:kern w:val="0"/>
          <w:sz w:val="24"/>
          <w:highlight w:val="none"/>
          <w:u w:val="single"/>
          <w14:textFill>
            <w14:solidFill>
              <w14:schemeClr w14:val="tx1"/>
            </w14:solidFill>
          </w14:textFill>
        </w:rPr>
        <w:t xml:space="preserve">(投标人注册地点)     </w:t>
      </w:r>
      <w:r>
        <w:rPr>
          <w:rFonts w:ascii="宋体" w:hAnsi="宋体" w:cs="宋体"/>
          <w:snapToGrid w:val="0"/>
          <w:color w:val="000000" w:themeColor="text1"/>
          <w:spacing w:val="-68"/>
          <w:kern w:val="0"/>
          <w:sz w:val="24"/>
          <w:highlight w:val="none"/>
          <w14:textFill>
            <w14:solidFill>
              <w14:schemeClr w14:val="tx1"/>
            </w14:solidFill>
          </w14:textFill>
        </w:rPr>
        <w:t xml:space="preserve"> </w:t>
      </w:r>
      <w:r>
        <w:rPr>
          <w:rFonts w:ascii="宋体" w:hAnsi="宋体" w:cs="宋体"/>
          <w:snapToGrid w:val="0"/>
          <w:color w:val="000000" w:themeColor="text1"/>
          <w:spacing w:val="-5"/>
          <w:kern w:val="0"/>
          <w:sz w:val="24"/>
          <w:highlight w:val="none"/>
          <w14:textFill>
            <w14:solidFill>
              <w14:schemeClr w14:val="tx1"/>
            </w14:solidFill>
          </w14:textFill>
        </w:rPr>
        <w:t>(投</w:t>
      </w:r>
      <w:r>
        <w:rPr>
          <w:rFonts w:ascii="宋体" w:hAnsi="宋体" w:cs="宋体"/>
          <w:snapToGrid w:val="0"/>
          <w:color w:val="000000" w:themeColor="text1"/>
          <w:spacing w:val="-7"/>
          <w:kern w:val="0"/>
          <w:sz w:val="24"/>
          <w:highlight w:val="none"/>
          <w14:textFill>
            <w14:solidFill>
              <w14:schemeClr w14:val="tx1"/>
            </w14:solidFill>
          </w14:textFill>
        </w:rPr>
        <w:t>标人名称)于</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8"/>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年</w:t>
      </w:r>
      <w:r>
        <w:rPr>
          <w:rFonts w:ascii="宋体" w:hAnsi="宋体" w:cs="宋体"/>
          <w:snapToGrid w:val="0"/>
          <w:color w:val="000000" w:themeColor="text1"/>
          <w:spacing w:val="-11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3"/>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月</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8"/>
          <w:kern w:val="0"/>
          <w:sz w:val="24"/>
          <w:highlight w:val="none"/>
          <w14:textFill>
            <w14:solidFill>
              <w14:schemeClr w14:val="tx1"/>
            </w14:solidFill>
          </w14:textFill>
        </w:rPr>
        <w:t xml:space="preserve"> </w:t>
      </w:r>
      <w:r>
        <w:rPr>
          <w:rFonts w:ascii="宋体" w:hAnsi="宋体" w:cs="宋体"/>
          <w:snapToGrid w:val="0"/>
          <w:color w:val="000000" w:themeColor="text1"/>
          <w:spacing w:val="-7"/>
          <w:kern w:val="0"/>
          <w:sz w:val="24"/>
          <w:highlight w:val="none"/>
          <w14:textFill>
            <w14:solidFill>
              <w14:schemeClr w14:val="tx1"/>
            </w14:solidFill>
          </w14:textFill>
        </w:rPr>
        <w:t>日之前，在</w:t>
      </w:r>
      <w:r>
        <w:rPr>
          <w:rFonts w:ascii="宋体" w:hAnsi="宋体" w:cs="宋体"/>
          <w:snapToGrid w:val="0"/>
          <w:color w:val="000000" w:themeColor="text1"/>
          <w:spacing w:val="-7"/>
          <w:kern w:val="0"/>
          <w:sz w:val="24"/>
          <w:highlight w:val="none"/>
          <w:u w:val="single"/>
          <w14:textFill>
            <w14:solidFill>
              <w14:schemeClr w14:val="tx1"/>
            </w14:solidFill>
          </w14:textFill>
        </w:rPr>
        <w:t xml:space="preserve">           (项目名称)    （标类或</w:t>
      </w:r>
      <w:r>
        <w:rPr>
          <w:rFonts w:ascii="宋体" w:hAnsi="宋体" w:cs="宋体"/>
          <w:snapToGrid w:val="0"/>
          <w:color w:val="000000" w:themeColor="text1"/>
          <w:spacing w:val="-8"/>
          <w:kern w:val="0"/>
          <w:sz w:val="24"/>
          <w:highlight w:val="none"/>
          <w:u w:val="single"/>
          <w14:textFill>
            <w14:solidFill>
              <w14:schemeClr w14:val="tx1"/>
            </w14:solidFill>
          </w14:textFill>
        </w:rPr>
        <w:t>标段）</w:t>
      </w:r>
      <w:r>
        <w:rPr>
          <w:rFonts w:ascii="宋体" w:hAnsi="宋体" w:cs="宋体"/>
          <w:snapToGrid w:val="0"/>
          <w:color w:val="000000" w:themeColor="text1"/>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需要时使用。我行保证由</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3"/>
          <w:kern w:val="0"/>
          <w:sz w:val="24"/>
          <w:highlight w:val="none"/>
          <w14:textFill>
            <w14:solidFill>
              <w14:schemeClr w14:val="tx1"/>
            </w14:solidFill>
          </w14:textFill>
        </w:rPr>
        <w:t>(投标人名称)提供的财务报表中所开列的作为流动资</w:t>
      </w:r>
      <w:r>
        <w:rPr>
          <w:rFonts w:ascii="宋体" w:hAnsi="宋体" w:cs="宋体"/>
          <w:snapToGrid w:val="0"/>
          <w:color w:val="000000" w:themeColor="text1"/>
          <w:spacing w:val="-1"/>
          <w:kern w:val="0"/>
          <w:sz w:val="24"/>
          <w:highlight w:val="none"/>
          <w14:textFill>
            <w14:solidFill>
              <w14:schemeClr w14:val="tx1"/>
            </w14:solidFill>
          </w14:textFill>
        </w:rPr>
        <w:t>产的各项中无一项包含在上述提到的银行信贷中。</w:t>
      </w:r>
    </w:p>
    <w:p w14:paraId="40CCBE76">
      <w:pPr>
        <w:widowControl/>
        <w:kinsoku w:val="0"/>
        <w:autoSpaceDE w:val="0"/>
        <w:autoSpaceDN w:val="0"/>
        <w:adjustRightInd w:val="0"/>
        <w:snapToGrid w:val="0"/>
        <w:spacing w:before="1" w:line="219" w:lineRule="auto"/>
        <w:ind w:left="48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此项目若未中标，该信贷证明自动失效，无需退回我行。</w:t>
      </w:r>
    </w:p>
    <w:p w14:paraId="516F6F84">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6396E14">
      <w:pPr>
        <w:kinsoku w:val="0"/>
        <w:autoSpaceDE w:val="0"/>
        <w:autoSpaceDN w:val="0"/>
        <w:adjustRightInd w:val="0"/>
        <w:snapToGrid w:val="0"/>
        <w:spacing w:line="284"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CA1018D">
      <w:pPr>
        <w:widowControl/>
        <w:kinsoku w:val="0"/>
        <w:autoSpaceDE w:val="0"/>
        <w:autoSpaceDN w:val="0"/>
        <w:adjustRightInd w:val="0"/>
        <w:snapToGrid w:val="0"/>
        <w:spacing w:before="79" w:line="219" w:lineRule="auto"/>
        <w:ind w:left="312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银      行(盖单位章)：</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097C5C02">
      <w:pPr>
        <w:widowControl/>
        <w:kinsoku w:val="0"/>
        <w:autoSpaceDE w:val="0"/>
        <w:autoSpaceDN w:val="0"/>
        <w:adjustRightInd w:val="0"/>
        <w:snapToGrid w:val="0"/>
        <w:spacing w:before="184" w:line="360" w:lineRule="auto"/>
        <w:ind w:left="3129" w:right="43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银行主要负责人(签字)：</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银行主要负责人的姓名、职务：</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打印)</w:t>
      </w:r>
    </w:p>
    <w:p w14:paraId="623159D0">
      <w:pPr>
        <w:widowControl/>
        <w:kinsoku w:val="0"/>
        <w:autoSpaceDE w:val="0"/>
        <w:autoSpaceDN w:val="0"/>
        <w:adjustRightInd w:val="0"/>
        <w:snapToGrid w:val="0"/>
        <w:spacing w:line="220" w:lineRule="auto"/>
        <w:ind w:left="312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1"/>
          <w:kern w:val="0"/>
          <w:sz w:val="24"/>
          <w:highlight w:val="none"/>
          <w14:textFill>
            <w14:solidFill>
              <w14:schemeClr w14:val="tx1"/>
            </w14:solidFill>
          </w14:textFill>
        </w:rPr>
        <w:t>银</w:t>
      </w:r>
      <w:r>
        <w:rPr>
          <w:rFonts w:ascii="宋体" w:hAnsi="宋体" w:cs="宋体"/>
          <w:snapToGrid w:val="0"/>
          <w:color w:val="000000" w:themeColor="text1"/>
          <w:spacing w:val="8"/>
          <w:kern w:val="0"/>
          <w:sz w:val="24"/>
          <w:highlight w:val="none"/>
          <w14:textFill>
            <w14:solidFill>
              <w14:schemeClr w14:val="tx1"/>
            </w14:solidFill>
          </w14:textFill>
        </w:rPr>
        <w:t xml:space="preserve">  </w:t>
      </w:r>
      <w:r>
        <w:rPr>
          <w:rFonts w:ascii="宋体" w:hAnsi="宋体" w:cs="宋体"/>
          <w:snapToGrid w:val="0"/>
          <w:color w:val="000000" w:themeColor="text1"/>
          <w:spacing w:val="-21"/>
          <w:kern w:val="0"/>
          <w:sz w:val="24"/>
          <w:highlight w:val="none"/>
          <w14:textFill>
            <w14:solidFill>
              <w14:schemeClr w14:val="tx1"/>
            </w14:solidFill>
          </w14:textFill>
        </w:rPr>
        <w:t>行</w:t>
      </w:r>
      <w:r>
        <w:rPr>
          <w:rFonts w:ascii="宋体" w:hAnsi="宋体" w:cs="宋体"/>
          <w:snapToGrid w:val="0"/>
          <w:color w:val="000000" w:themeColor="text1"/>
          <w:spacing w:val="19"/>
          <w:kern w:val="0"/>
          <w:sz w:val="24"/>
          <w:highlight w:val="none"/>
          <w14:textFill>
            <w14:solidFill>
              <w14:schemeClr w14:val="tx1"/>
            </w14:solidFill>
          </w14:textFill>
        </w:rPr>
        <w:t xml:space="preserve">  </w:t>
      </w:r>
      <w:r>
        <w:rPr>
          <w:rFonts w:ascii="宋体" w:hAnsi="宋体" w:cs="宋体"/>
          <w:snapToGrid w:val="0"/>
          <w:color w:val="000000" w:themeColor="text1"/>
          <w:spacing w:val="-21"/>
          <w:kern w:val="0"/>
          <w:sz w:val="24"/>
          <w:highlight w:val="none"/>
          <w14:textFill>
            <w14:solidFill>
              <w14:schemeClr w14:val="tx1"/>
            </w14:solidFill>
          </w14:textFill>
        </w:rPr>
        <w:t>电</w:t>
      </w:r>
      <w:r>
        <w:rPr>
          <w:rFonts w:ascii="宋体" w:hAnsi="宋体" w:cs="宋体"/>
          <w:snapToGrid w:val="0"/>
          <w:color w:val="000000" w:themeColor="text1"/>
          <w:spacing w:val="4"/>
          <w:kern w:val="0"/>
          <w:sz w:val="24"/>
          <w:highlight w:val="none"/>
          <w14:textFill>
            <w14:solidFill>
              <w14:schemeClr w14:val="tx1"/>
            </w14:solidFill>
          </w14:textFill>
        </w:rPr>
        <w:t xml:space="preserve">  </w:t>
      </w:r>
      <w:r>
        <w:rPr>
          <w:rFonts w:ascii="宋体" w:hAnsi="宋体" w:cs="宋体"/>
          <w:snapToGrid w:val="0"/>
          <w:color w:val="000000" w:themeColor="text1"/>
          <w:spacing w:val="-21"/>
          <w:kern w:val="0"/>
          <w:sz w:val="24"/>
          <w:highlight w:val="none"/>
          <w14:textFill>
            <w14:solidFill>
              <w14:schemeClr w14:val="tx1"/>
            </w14:solidFill>
          </w14:textFill>
        </w:rPr>
        <w:t>话</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2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7AA773E5">
      <w:pPr>
        <w:widowControl/>
        <w:kinsoku w:val="0"/>
        <w:autoSpaceDE w:val="0"/>
        <w:autoSpaceDN w:val="0"/>
        <w:adjustRightInd w:val="0"/>
        <w:snapToGrid w:val="0"/>
        <w:spacing w:before="181" w:line="219" w:lineRule="auto"/>
        <w:ind w:left="312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9"/>
          <w:kern w:val="0"/>
          <w:sz w:val="24"/>
          <w:highlight w:val="none"/>
          <w14:textFill>
            <w14:solidFill>
              <w14:schemeClr w14:val="tx1"/>
            </w14:solidFill>
          </w14:textFill>
        </w:rPr>
        <w:t>银</w:t>
      </w:r>
      <w:r>
        <w:rPr>
          <w:rFonts w:ascii="宋体" w:hAnsi="宋体" w:cs="宋体"/>
          <w:snapToGrid w:val="0"/>
          <w:color w:val="000000" w:themeColor="text1"/>
          <w:spacing w:val="7"/>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行</w:t>
      </w:r>
      <w:r>
        <w:rPr>
          <w:rFonts w:ascii="宋体" w:hAnsi="宋体" w:cs="宋体"/>
          <w:snapToGrid w:val="0"/>
          <w:color w:val="000000" w:themeColor="text1"/>
          <w:spacing w:val="3"/>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传</w:t>
      </w:r>
      <w:r>
        <w:rPr>
          <w:rFonts w:ascii="宋体" w:hAnsi="宋体" w:cs="宋体"/>
          <w:snapToGrid w:val="0"/>
          <w:color w:val="000000" w:themeColor="text1"/>
          <w:spacing w:val="6"/>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真</w:t>
      </w:r>
      <w:r>
        <w:rPr>
          <w:rFonts w:ascii="宋体" w:hAnsi="宋体" w:cs="宋体"/>
          <w:snapToGrid w:val="0"/>
          <w:color w:val="000000" w:themeColor="text1"/>
          <w:spacing w:val="-8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w:t>
      </w:r>
      <w:r>
        <w:rPr>
          <w:rFonts w:ascii="宋体" w:hAnsi="宋体" w:cs="宋体"/>
          <w:snapToGrid w:val="0"/>
          <w:color w:val="000000" w:themeColor="text1"/>
          <w:spacing w:val="-9"/>
          <w:kern w:val="0"/>
          <w:sz w:val="24"/>
          <w:highlight w:val="none"/>
          <w:u w:val="single"/>
          <w14:textFill>
            <w14:solidFill>
              <w14:schemeClr w14:val="tx1"/>
            </w14:solidFill>
          </w14:textFill>
        </w:rPr>
        <w:t xml:space="preserve">                              </w:t>
      </w:r>
    </w:p>
    <w:p w14:paraId="0D227DAE">
      <w:pPr>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B1F0FBC">
      <w:pPr>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96F522A">
      <w:pPr>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50F910">
      <w:pPr>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796963C">
      <w:pPr>
        <w:widowControl/>
        <w:kinsoku w:val="0"/>
        <w:autoSpaceDE w:val="0"/>
        <w:autoSpaceDN w:val="0"/>
        <w:adjustRightInd w:val="0"/>
        <w:snapToGrid w:val="0"/>
        <w:spacing w:before="65" w:line="232" w:lineRule="auto"/>
        <w:ind w:left="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注：</w:t>
      </w:r>
    </w:p>
    <w:p w14:paraId="61371910">
      <w:pPr>
        <w:widowControl/>
        <w:kinsoku w:val="0"/>
        <w:autoSpaceDE w:val="0"/>
        <w:autoSpaceDN w:val="0"/>
        <w:adjustRightInd w:val="0"/>
        <w:snapToGrid w:val="0"/>
        <w:spacing w:before="60" w:line="258" w:lineRule="auto"/>
        <w:ind w:left="7" w:right="464" w:firstLine="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1.允许投标人实际开具的银行信贷证明的格式与本表格式有所不同，但不得更改本表格中的实</w:t>
      </w:r>
      <w:r>
        <w:rPr>
          <w:rFonts w:ascii="宋体" w:hAnsi="宋体" w:cs="宋体"/>
          <w:snapToGrid w:val="0"/>
          <w:color w:val="000000" w:themeColor="text1"/>
          <w:spacing w:val="5"/>
          <w:kern w:val="0"/>
          <w:sz w:val="20"/>
          <w:szCs w:val="20"/>
          <w:highlight w:val="none"/>
          <w14:textFill>
            <w14:solidFill>
              <w14:schemeClr w14:val="tx1"/>
            </w14:solidFill>
          </w14:textFill>
        </w:rPr>
        <w:t>质性内容。</w:t>
      </w:r>
    </w:p>
    <w:p w14:paraId="145F71DD">
      <w:pPr>
        <w:widowControl/>
        <w:kinsoku w:val="0"/>
        <w:autoSpaceDE w:val="0"/>
        <w:autoSpaceDN w:val="0"/>
        <w:adjustRightInd w:val="0"/>
        <w:snapToGrid w:val="0"/>
        <w:spacing w:before="66" w:line="227" w:lineRule="auto"/>
        <w:ind w:left="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2.银行主要负责人应亲笔签名，不得使用印章、签名章或其他电子制版签名，否则，视为无效。</w:t>
      </w:r>
    </w:p>
    <w:p w14:paraId="066D6CE4">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B47678A">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B59A4B2">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EBDCA75">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CBACCE9">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1D3F2B4">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81CE59F">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F4EB610">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9773382">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5D7A3FB">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1520972">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0536C0">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F1160BB">
      <w:pPr>
        <w:widowControl/>
        <w:kinsoku w:val="0"/>
        <w:autoSpaceDE w:val="0"/>
        <w:autoSpaceDN w:val="0"/>
        <w:adjustRightInd w:val="0"/>
        <w:snapToGrid w:val="0"/>
        <w:spacing w:before="59"/>
        <w:ind w:left="6" w:right="1" w:hanging="1"/>
        <w:textAlignment w:val="baseline"/>
        <w:rPr>
          <w:rFonts w:hint="eastAsia" w:ascii="宋体" w:hAnsi="宋体" w:cs="宋体"/>
          <w:snapToGrid w:val="0"/>
          <w:color w:val="000000" w:themeColor="text1"/>
          <w:kern w:val="0"/>
          <w:sz w:val="18"/>
          <w:szCs w:val="18"/>
          <w:highlight w:val="none"/>
          <w14:textFill>
            <w14:solidFill>
              <w14:schemeClr w14:val="tx1"/>
            </w14:solidFill>
          </w14:textFill>
        </w:rPr>
      </w:pPr>
      <w:bookmarkStart w:id="443" w:name="bookmark353"/>
      <w:bookmarkEnd w:id="443"/>
      <w:r>
        <w:rPr>
          <w:rFonts w:ascii="宋体" w:hAnsi="宋体" w:cs="宋体"/>
          <w:snapToGrid w:val="0"/>
          <w:color w:val="000000" w:themeColor="text1"/>
          <w:kern w:val="0"/>
          <w:sz w:val="18"/>
          <w:szCs w:val="18"/>
          <w:highlight w:val="none"/>
          <w14:textFill>
            <w14:solidFill>
              <w14:schemeClr w14:val="tx1"/>
            </w14:solidFill>
          </w14:textFill>
        </w:rPr>
        <w:t>① 招标人要求投标人提供银行信贷证明是为了避免投标人中标后因流动资金不足影响工程施工的情况发生，招标人可根据招标项目具体特点和实际情况选择是否要求投标人提供银行信贷证明。如采用银行信贷证明，招标人应在此规定开具银行信贷证明的银行的级别。</w:t>
      </w:r>
    </w:p>
    <w:p w14:paraId="2FE1013C">
      <w:pPr>
        <w:rPr>
          <w:rFonts w:hint="eastAsia" w:ascii="宋体" w:hAnsi="宋体" w:cs="宋体"/>
          <w:color w:val="000000" w:themeColor="text1"/>
          <w:sz w:val="18"/>
          <w:szCs w:val="18"/>
          <w:highlight w:val="none"/>
          <w14:textFill>
            <w14:solidFill>
              <w14:schemeClr w14:val="tx1"/>
            </w14:solidFill>
          </w14:textFill>
        </w:rPr>
        <w:sectPr>
          <w:headerReference r:id="rId107" w:type="default"/>
          <w:footerReference r:id="rId108" w:type="default"/>
          <w:pgSz w:w="11906" w:h="16839"/>
          <w:pgMar w:top="1182" w:right="1416" w:bottom="1168" w:left="1417" w:header="849" w:footer="934" w:gutter="0"/>
          <w:cols w:space="720" w:num="1"/>
        </w:sectPr>
      </w:pPr>
    </w:p>
    <w:p w14:paraId="2D228D65">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00A80B5">
      <w:pPr>
        <w:pStyle w:val="6"/>
        <w:spacing w:before="168" w:after="120"/>
        <w:jc w:val="center"/>
        <w:rPr>
          <w:color w:val="000000" w:themeColor="text1"/>
          <w:highlight w:val="none"/>
          <w14:textFill>
            <w14:solidFill>
              <w14:schemeClr w14:val="tx1"/>
            </w14:solidFill>
          </w14:textFill>
        </w:rPr>
      </w:pPr>
      <w:bookmarkStart w:id="444" w:name="_Toc24478"/>
      <w:r>
        <w:rPr>
          <w:color w:val="000000" w:themeColor="text1"/>
          <w:highlight w:val="none"/>
          <w14:textFill>
            <w14:solidFill>
              <w14:schemeClr w14:val="tx1"/>
            </w14:solidFill>
          </w14:textFill>
        </w:rPr>
        <w:t>（四）近年完成的类似项目情况表</w:t>
      </w:r>
      <w:bookmarkEnd w:id="444"/>
    </w:p>
    <w:p w14:paraId="6DFBEA4D">
      <w:pPr>
        <w:widowControl/>
        <w:kinsoku w:val="0"/>
        <w:autoSpaceDE w:val="0"/>
        <w:autoSpaceDN w:val="0"/>
        <w:adjustRightInd w:val="0"/>
        <w:snapToGrid w:val="0"/>
        <w:spacing w:before="290" w:line="220" w:lineRule="auto"/>
        <w:ind w:left="2665"/>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b/>
          <w:bCs/>
          <w:snapToGrid w:val="0"/>
          <w:color w:val="000000" w:themeColor="text1"/>
          <w:spacing w:val="1"/>
          <w:kern w:val="0"/>
          <w:sz w:val="24"/>
          <w:highlight w:val="none"/>
          <w14:textFill>
            <w14:solidFill>
              <w14:schemeClr w14:val="tx1"/>
            </w14:solidFill>
          </w14:textFill>
        </w:rPr>
        <w:t>（四）-1</w:t>
      </w:r>
      <w:r>
        <w:rPr>
          <w:rFonts w:hint="eastAsia" w:ascii="宋体" w:hAnsi="宋体" w:cs="宋体"/>
          <w:b/>
          <w:bCs/>
          <w:snapToGrid w:val="0"/>
          <w:color w:val="000000" w:themeColor="text1"/>
          <w:spacing w:val="1"/>
          <w:kern w:val="0"/>
          <w:sz w:val="24"/>
          <w:highlight w:val="none"/>
          <w14:textFill>
            <w14:solidFill>
              <w14:schemeClr w14:val="tx1"/>
            </w14:solidFill>
          </w14:textFill>
        </w:rPr>
        <w:t xml:space="preserve"> </w:t>
      </w:r>
      <w:r>
        <w:rPr>
          <w:rFonts w:ascii="宋体" w:hAnsi="宋体" w:cs="宋体"/>
          <w:b/>
          <w:bCs/>
          <w:snapToGrid w:val="0"/>
          <w:color w:val="000000" w:themeColor="text1"/>
          <w:spacing w:val="1"/>
          <w:kern w:val="0"/>
          <w:sz w:val="24"/>
          <w:highlight w:val="none"/>
          <w14:textFill>
            <w14:solidFill>
              <w14:schemeClr w14:val="tx1"/>
            </w14:solidFill>
          </w14:textFill>
        </w:rPr>
        <w:t>完成的类似项目情况表</w:t>
      </w:r>
    </w:p>
    <w:p w14:paraId="1B9FE2D2">
      <w:pPr>
        <w:widowControl/>
        <w:kinsoku w:val="0"/>
        <w:autoSpaceDE w:val="0"/>
        <w:autoSpaceDN w:val="0"/>
        <w:adjustRightInd w:val="0"/>
        <w:snapToGrid w:val="0"/>
        <w:spacing w:before="33"/>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0"/>
        <w:gridCol w:w="6212"/>
      </w:tblGrid>
      <w:tr w14:paraId="011C3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0" w:type="dxa"/>
          </w:tcPr>
          <w:p w14:paraId="64E118B8">
            <w:pPr>
              <w:kinsoku w:val="0"/>
              <w:autoSpaceDE w:val="0"/>
              <w:autoSpaceDN w:val="0"/>
              <w:adjustRightInd w:val="0"/>
              <w:snapToGrid w:val="0"/>
              <w:spacing w:before="257" w:line="229" w:lineRule="auto"/>
              <w:ind w:left="133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5"/>
                <w:kern w:val="0"/>
                <w:szCs w:val="21"/>
                <w:highlight w:val="none"/>
                <w:lang w:eastAsia="en-US"/>
                <w14:textFill>
                  <w14:solidFill>
                    <w14:schemeClr w14:val="tx1"/>
                  </w14:solidFill>
                </w14:textFill>
              </w:rPr>
              <w:t>序号</w:t>
            </w:r>
          </w:p>
        </w:tc>
        <w:tc>
          <w:tcPr>
            <w:tcW w:w="6212" w:type="dxa"/>
            <w:vAlign w:val="center"/>
          </w:tcPr>
          <w:p w14:paraId="1D53BAB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1E6D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289C92C1">
            <w:pPr>
              <w:kinsoku w:val="0"/>
              <w:autoSpaceDE w:val="0"/>
              <w:autoSpaceDN w:val="0"/>
              <w:adjustRightInd w:val="0"/>
              <w:snapToGrid w:val="0"/>
              <w:spacing w:before="253" w:line="228" w:lineRule="auto"/>
              <w:ind w:left="1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项目名称</w:t>
            </w:r>
          </w:p>
        </w:tc>
        <w:tc>
          <w:tcPr>
            <w:tcW w:w="6212" w:type="dxa"/>
            <w:vAlign w:val="center"/>
          </w:tcPr>
          <w:p w14:paraId="1493EAA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E9FD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24DFAAC4">
            <w:pPr>
              <w:kinsoku w:val="0"/>
              <w:autoSpaceDE w:val="0"/>
              <w:autoSpaceDN w:val="0"/>
              <w:adjustRightInd w:val="0"/>
              <w:snapToGrid w:val="0"/>
              <w:spacing w:before="252" w:line="228" w:lineRule="auto"/>
              <w:ind w:left="10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项目所在地</w:t>
            </w:r>
          </w:p>
        </w:tc>
        <w:tc>
          <w:tcPr>
            <w:tcW w:w="6212" w:type="dxa"/>
            <w:vAlign w:val="center"/>
          </w:tcPr>
          <w:p w14:paraId="4ED5F74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5D30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343424A7">
            <w:pPr>
              <w:kinsoku w:val="0"/>
              <w:autoSpaceDE w:val="0"/>
              <w:autoSpaceDN w:val="0"/>
              <w:adjustRightInd w:val="0"/>
              <w:snapToGrid w:val="0"/>
              <w:spacing w:before="254" w:line="228" w:lineRule="auto"/>
              <w:ind w:left="10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发包人名称</w:t>
            </w:r>
          </w:p>
        </w:tc>
        <w:tc>
          <w:tcPr>
            <w:tcW w:w="6212" w:type="dxa"/>
            <w:vAlign w:val="center"/>
          </w:tcPr>
          <w:p w14:paraId="36B3334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1EA6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2F27F03A">
            <w:pPr>
              <w:kinsoku w:val="0"/>
              <w:autoSpaceDE w:val="0"/>
              <w:autoSpaceDN w:val="0"/>
              <w:adjustRightInd w:val="0"/>
              <w:snapToGrid w:val="0"/>
              <w:spacing w:before="255" w:line="228" w:lineRule="auto"/>
              <w:ind w:left="10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发包人地址</w:t>
            </w:r>
          </w:p>
        </w:tc>
        <w:tc>
          <w:tcPr>
            <w:tcW w:w="6212" w:type="dxa"/>
            <w:vAlign w:val="center"/>
          </w:tcPr>
          <w:p w14:paraId="08F277A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D7B4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4C0ABF0D">
            <w:pPr>
              <w:kinsoku w:val="0"/>
              <w:autoSpaceDE w:val="0"/>
              <w:autoSpaceDN w:val="0"/>
              <w:adjustRightInd w:val="0"/>
              <w:snapToGrid w:val="0"/>
              <w:spacing w:before="254" w:line="228" w:lineRule="auto"/>
              <w:ind w:left="10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发包人电话</w:t>
            </w:r>
          </w:p>
        </w:tc>
        <w:tc>
          <w:tcPr>
            <w:tcW w:w="6212" w:type="dxa"/>
            <w:vAlign w:val="center"/>
          </w:tcPr>
          <w:p w14:paraId="0067CE6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3DD5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0C88C7A3">
            <w:pPr>
              <w:kinsoku w:val="0"/>
              <w:autoSpaceDE w:val="0"/>
              <w:autoSpaceDN w:val="0"/>
              <w:adjustRightInd w:val="0"/>
              <w:snapToGrid w:val="0"/>
              <w:spacing w:before="255" w:line="226" w:lineRule="auto"/>
              <w:ind w:left="112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合同价格</w:t>
            </w:r>
          </w:p>
        </w:tc>
        <w:tc>
          <w:tcPr>
            <w:tcW w:w="6212" w:type="dxa"/>
            <w:vAlign w:val="center"/>
          </w:tcPr>
          <w:p w14:paraId="3A8B2BA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9D0C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62ECD0ED">
            <w:pPr>
              <w:kinsoku w:val="0"/>
              <w:autoSpaceDE w:val="0"/>
              <w:autoSpaceDN w:val="0"/>
              <w:adjustRightInd w:val="0"/>
              <w:snapToGrid w:val="0"/>
              <w:spacing w:before="255" w:line="228" w:lineRule="auto"/>
              <w:ind w:left="112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开工日期</w:t>
            </w:r>
          </w:p>
        </w:tc>
        <w:tc>
          <w:tcPr>
            <w:tcW w:w="6212" w:type="dxa"/>
            <w:vAlign w:val="center"/>
          </w:tcPr>
          <w:p w14:paraId="65EF9C4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60AE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18872176">
            <w:pPr>
              <w:kinsoku w:val="0"/>
              <w:autoSpaceDE w:val="0"/>
              <w:autoSpaceDN w:val="0"/>
              <w:adjustRightInd w:val="0"/>
              <w:snapToGrid w:val="0"/>
              <w:spacing w:before="254" w:line="228" w:lineRule="auto"/>
              <w:ind w:left="28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4"/>
                <w:kern w:val="0"/>
                <w:szCs w:val="21"/>
                <w:highlight w:val="none"/>
                <w:lang w:eastAsia="en-US"/>
                <w14:textFill>
                  <w14:solidFill>
                    <w14:schemeClr w14:val="tx1"/>
                  </w14:solidFill>
                </w14:textFill>
              </w:rPr>
              <w:t>交工（或一次性竣工）</w:t>
            </w:r>
            <w:r>
              <w:rPr>
                <w:rFonts w:ascii="宋体" w:hAnsi="宋体" w:cs="宋体"/>
                <w:snapToGrid w:val="0"/>
                <w:color w:val="000000" w:themeColor="text1"/>
                <w:spacing w:val="-44"/>
                <w:kern w:val="0"/>
                <w:szCs w:val="21"/>
                <w:highlight w:val="none"/>
                <w:lang w:eastAsia="en-US"/>
                <w14:textFill>
                  <w14:solidFill>
                    <w14:schemeClr w14:val="tx1"/>
                  </w14:solidFill>
                </w14:textFill>
              </w:rPr>
              <w:t xml:space="preserve"> </w:t>
            </w:r>
            <w:r>
              <w:rPr>
                <w:rFonts w:ascii="宋体" w:hAnsi="宋体" w:cs="宋体"/>
                <w:snapToGrid w:val="0"/>
                <w:color w:val="000000" w:themeColor="text1"/>
                <w:spacing w:val="4"/>
                <w:kern w:val="0"/>
                <w:szCs w:val="21"/>
                <w:highlight w:val="none"/>
                <w:lang w:eastAsia="en-US"/>
                <w14:textFill>
                  <w14:solidFill>
                    <w14:schemeClr w14:val="tx1"/>
                  </w14:solidFill>
                </w14:textFill>
              </w:rPr>
              <w:t>日期</w:t>
            </w:r>
          </w:p>
        </w:tc>
        <w:tc>
          <w:tcPr>
            <w:tcW w:w="6212" w:type="dxa"/>
            <w:vAlign w:val="center"/>
          </w:tcPr>
          <w:p w14:paraId="1940773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6D3BA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24B5658A">
            <w:pPr>
              <w:kinsoku w:val="0"/>
              <w:autoSpaceDE w:val="0"/>
              <w:autoSpaceDN w:val="0"/>
              <w:adjustRightInd w:val="0"/>
              <w:snapToGrid w:val="0"/>
              <w:spacing w:before="256" w:line="228" w:lineRule="auto"/>
              <w:ind w:left="101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8"/>
                <w:kern w:val="0"/>
                <w:szCs w:val="21"/>
                <w:highlight w:val="none"/>
                <w:lang w:eastAsia="en-US"/>
                <w14:textFill>
                  <w14:solidFill>
                    <w14:schemeClr w14:val="tx1"/>
                  </w14:solidFill>
                </w14:textFill>
              </w:rPr>
              <w:t>承担的工作</w:t>
            </w:r>
          </w:p>
        </w:tc>
        <w:tc>
          <w:tcPr>
            <w:tcW w:w="6212" w:type="dxa"/>
            <w:vAlign w:val="center"/>
          </w:tcPr>
          <w:p w14:paraId="0F1C8A6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8AD6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051869F6">
            <w:pPr>
              <w:kinsoku w:val="0"/>
              <w:autoSpaceDE w:val="0"/>
              <w:autoSpaceDN w:val="0"/>
              <w:adjustRightInd w:val="0"/>
              <w:snapToGrid w:val="0"/>
              <w:spacing w:before="256" w:line="228" w:lineRule="auto"/>
              <w:ind w:left="393"/>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7"/>
                <w:kern w:val="0"/>
                <w:szCs w:val="21"/>
                <w:highlight w:val="none"/>
                <w14:textFill>
                  <w14:solidFill>
                    <w14:schemeClr w14:val="tx1"/>
                  </w14:solidFill>
                </w14:textFill>
              </w:rPr>
              <w:t>工程质量评分（或等级）</w:t>
            </w:r>
          </w:p>
        </w:tc>
        <w:tc>
          <w:tcPr>
            <w:tcW w:w="6212" w:type="dxa"/>
            <w:vAlign w:val="center"/>
          </w:tcPr>
          <w:p w14:paraId="3D18461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45538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01CEF0D4">
            <w:pPr>
              <w:kinsoku w:val="0"/>
              <w:autoSpaceDE w:val="0"/>
              <w:autoSpaceDN w:val="0"/>
              <w:adjustRightInd w:val="0"/>
              <w:snapToGrid w:val="0"/>
              <w:spacing w:before="257" w:line="228" w:lineRule="auto"/>
              <w:ind w:left="1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项目经理</w:t>
            </w:r>
          </w:p>
        </w:tc>
        <w:tc>
          <w:tcPr>
            <w:tcW w:w="6212" w:type="dxa"/>
            <w:vAlign w:val="center"/>
          </w:tcPr>
          <w:p w14:paraId="17CB355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55E4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6EDC1B05">
            <w:pPr>
              <w:kinsoku w:val="0"/>
              <w:autoSpaceDE w:val="0"/>
              <w:autoSpaceDN w:val="0"/>
              <w:adjustRightInd w:val="0"/>
              <w:snapToGrid w:val="0"/>
              <w:spacing w:before="257" w:line="228" w:lineRule="auto"/>
              <w:ind w:left="1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项目总工</w:t>
            </w:r>
          </w:p>
        </w:tc>
        <w:tc>
          <w:tcPr>
            <w:tcW w:w="6212" w:type="dxa"/>
            <w:vAlign w:val="center"/>
          </w:tcPr>
          <w:p w14:paraId="3F753F6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5752C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2317E9AE">
            <w:pPr>
              <w:kinsoku w:val="0"/>
              <w:autoSpaceDE w:val="0"/>
              <w:autoSpaceDN w:val="0"/>
              <w:adjustRightInd w:val="0"/>
              <w:snapToGrid w:val="0"/>
              <w:spacing w:before="256" w:line="228" w:lineRule="auto"/>
              <w:ind w:left="60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8"/>
                <w:kern w:val="0"/>
                <w:szCs w:val="21"/>
                <w:highlight w:val="none"/>
                <w:lang w:eastAsia="en-US"/>
                <w14:textFill>
                  <w14:solidFill>
                    <w14:schemeClr w14:val="tx1"/>
                  </w14:solidFill>
                </w14:textFill>
              </w:rPr>
              <w:t>总监理工程师及电话</w:t>
            </w:r>
          </w:p>
        </w:tc>
        <w:tc>
          <w:tcPr>
            <w:tcW w:w="6212" w:type="dxa"/>
            <w:vAlign w:val="center"/>
          </w:tcPr>
          <w:p w14:paraId="04A7506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5360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698ABF26">
            <w:pPr>
              <w:kinsoku w:val="0"/>
              <w:autoSpaceDE w:val="0"/>
              <w:autoSpaceDN w:val="0"/>
              <w:adjustRightInd w:val="0"/>
              <w:snapToGrid w:val="0"/>
              <w:spacing w:before="256" w:line="228" w:lineRule="auto"/>
              <w:ind w:left="1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项目描述</w:t>
            </w:r>
          </w:p>
        </w:tc>
        <w:tc>
          <w:tcPr>
            <w:tcW w:w="6212" w:type="dxa"/>
            <w:vAlign w:val="center"/>
          </w:tcPr>
          <w:p w14:paraId="6AB2E19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18CF2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0" w:type="dxa"/>
          </w:tcPr>
          <w:p w14:paraId="5820DCC5">
            <w:pPr>
              <w:kinsoku w:val="0"/>
              <w:autoSpaceDE w:val="0"/>
              <w:autoSpaceDN w:val="0"/>
              <w:adjustRightInd w:val="0"/>
              <w:snapToGrid w:val="0"/>
              <w:spacing w:before="258" w:line="229" w:lineRule="auto"/>
              <w:ind w:left="133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szCs w:val="21"/>
                <w:highlight w:val="none"/>
                <w:lang w:eastAsia="en-US"/>
                <w14:textFill>
                  <w14:solidFill>
                    <w14:schemeClr w14:val="tx1"/>
                  </w14:solidFill>
                </w14:textFill>
              </w:rPr>
              <w:t>备注</w:t>
            </w:r>
          </w:p>
        </w:tc>
        <w:tc>
          <w:tcPr>
            <w:tcW w:w="6212" w:type="dxa"/>
            <w:vAlign w:val="center"/>
          </w:tcPr>
          <w:p w14:paraId="4B74E1E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5ACD5961">
      <w:pPr>
        <w:widowControl/>
        <w:kinsoku w:val="0"/>
        <w:autoSpaceDE w:val="0"/>
        <w:autoSpaceDN w:val="0"/>
        <w:adjustRightInd w:val="0"/>
        <w:snapToGrid w:val="0"/>
        <w:spacing w:before="51" w:line="232" w:lineRule="auto"/>
        <w:ind w:left="11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005CE0FC">
      <w:pPr>
        <w:widowControl/>
        <w:kinsoku w:val="0"/>
        <w:autoSpaceDE w:val="0"/>
        <w:autoSpaceDN w:val="0"/>
        <w:adjustRightInd w:val="0"/>
        <w:snapToGrid w:val="0"/>
        <w:spacing w:before="60" w:line="228" w:lineRule="auto"/>
        <w:ind w:left="135"/>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1.每张表格只填写一个项目，并标明序号。</w:t>
      </w:r>
    </w:p>
    <w:p w14:paraId="307D424F">
      <w:pPr>
        <w:widowControl/>
        <w:kinsoku w:val="0"/>
        <w:autoSpaceDE w:val="0"/>
        <w:autoSpaceDN w:val="0"/>
        <w:adjustRightInd w:val="0"/>
        <w:snapToGrid w:val="0"/>
        <w:spacing w:before="65" w:line="227" w:lineRule="auto"/>
        <w:ind w:left="122"/>
        <w:jc w:val="left"/>
        <w:textAlignment w:val="baseline"/>
        <w:rPr>
          <w:rFonts w:hint="eastAsia" w:ascii="宋体" w:hAnsi="宋体" w:cs="宋体"/>
          <w:snapToGrid w:val="0"/>
          <w:color w:val="000000" w:themeColor="text1"/>
          <w:spacing w:val="7"/>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2.投标人应根据招标文件第二章“投标人须</w:t>
      </w:r>
      <w:r>
        <w:rPr>
          <w:rFonts w:ascii="宋体" w:hAnsi="宋体" w:cs="宋体"/>
          <w:snapToGrid w:val="0"/>
          <w:color w:val="000000" w:themeColor="text1"/>
          <w:spacing w:val="7"/>
          <w:kern w:val="0"/>
          <w:sz w:val="20"/>
          <w:szCs w:val="20"/>
          <w:highlight w:val="none"/>
          <w14:textFill>
            <w14:solidFill>
              <w14:schemeClr w14:val="tx1"/>
            </w14:solidFill>
          </w14:textFill>
        </w:rPr>
        <w:t>知</w:t>
      </w:r>
      <w:r>
        <w:rPr>
          <w:rFonts w:ascii="宋体" w:hAnsi="宋体" w:cs="宋体"/>
          <w:snapToGrid w:val="0"/>
          <w:color w:val="000000" w:themeColor="text1"/>
          <w:spacing w:val="-73"/>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3.5.3</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046FC1E9">
      <w:pPr>
        <w:widowControl/>
        <w:kinsoku w:val="0"/>
        <w:autoSpaceDE w:val="0"/>
        <w:autoSpaceDN w:val="0"/>
        <w:adjustRightInd w:val="0"/>
        <w:snapToGrid w:val="0"/>
        <w:spacing w:before="65" w:line="227" w:lineRule="auto"/>
        <w:ind w:left="122"/>
        <w:jc w:val="left"/>
        <w:textAlignment w:val="baseline"/>
        <w:rPr>
          <w:rFonts w:hint="eastAsia" w:ascii="宋体" w:hAnsi="宋体" w:cs="宋体"/>
          <w:snapToGrid w:val="0"/>
          <w:color w:val="000000" w:themeColor="text1"/>
          <w:spacing w:val="7"/>
          <w:kern w:val="0"/>
          <w:sz w:val="20"/>
          <w:szCs w:val="20"/>
          <w:highlight w:val="none"/>
          <w14:textFill>
            <w14:solidFill>
              <w14:schemeClr w14:val="tx1"/>
            </w14:solidFill>
          </w14:textFill>
        </w:rPr>
      </w:pPr>
    </w:p>
    <w:p w14:paraId="7914E22E">
      <w:pPr>
        <w:spacing w:line="228" w:lineRule="auto"/>
        <w:rPr>
          <w:rFonts w:hint="eastAsia" w:ascii="宋体" w:hAnsi="宋体" w:cs="宋体"/>
          <w:color w:val="000000" w:themeColor="text1"/>
          <w:sz w:val="20"/>
          <w:szCs w:val="20"/>
          <w:highlight w:val="none"/>
          <w14:textFill>
            <w14:solidFill>
              <w14:schemeClr w14:val="tx1"/>
            </w14:solidFill>
          </w14:textFill>
        </w:rPr>
        <w:sectPr>
          <w:headerReference r:id="rId109" w:type="default"/>
          <w:footerReference r:id="rId110" w:type="default"/>
          <w:pgSz w:w="11906" w:h="16839"/>
          <w:pgMar w:top="1182" w:right="1304" w:bottom="1168" w:left="1304" w:header="849" w:footer="934" w:gutter="0"/>
          <w:cols w:space="720" w:num="1"/>
        </w:sectPr>
      </w:pPr>
    </w:p>
    <w:p w14:paraId="09ADC346">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8D3A210">
      <w:pPr>
        <w:widowControl/>
        <w:kinsoku w:val="0"/>
        <w:autoSpaceDE w:val="0"/>
        <w:autoSpaceDN w:val="0"/>
        <w:adjustRightInd w:val="0"/>
        <w:snapToGrid w:val="0"/>
        <w:spacing w:before="91" w:line="220" w:lineRule="auto"/>
        <w:ind w:left="23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b/>
          <w:bCs/>
          <w:snapToGrid w:val="0"/>
          <w:color w:val="000000" w:themeColor="text1"/>
          <w:spacing w:val="-4"/>
          <w:kern w:val="0"/>
          <w:sz w:val="24"/>
          <w:highlight w:val="none"/>
          <w14:textFill>
            <w14:solidFill>
              <w14:schemeClr w14:val="tx1"/>
            </w14:solidFill>
          </w14:textFill>
        </w:rPr>
        <w:t>（四）-2</w:t>
      </w:r>
      <w:r>
        <w:rPr>
          <w:rFonts w:ascii="宋体" w:hAnsi="宋体" w:cs="宋体"/>
          <w:snapToGrid w:val="0"/>
          <w:color w:val="000000" w:themeColor="text1"/>
          <w:spacing w:val="-55"/>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5"/>
          <w:kern w:val="0"/>
          <w:sz w:val="24"/>
          <w:highlight w:val="none"/>
          <w14:textFill>
            <w14:solidFill>
              <w14:schemeClr w14:val="tx1"/>
            </w14:solidFill>
          </w14:textFill>
        </w:rPr>
        <w:t xml:space="preserve">    </w:t>
      </w:r>
      <w:r>
        <w:rPr>
          <w:rFonts w:ascii="宋体" w:hAnsi="宋体" w:cs="宋体"/>
          <w:b/>
          <w:bCs/>
          <w:snapToGrid w:val="0"/>
          <w:color w:val="000000" w:themeColor="text1"/>
          <w:spacing w:val="-4"/>
          <w:kern w:val="0"/>
          <w:sz w:val="24"/>
          <w:highlight w:val="none"/>
          <w14:textFill>
            <w14:solidFill>
              <w14:schemeClr w14:val="tx1"/>
            </w14:solidFill>
          </w14:textFill>
        </w:rPr>
        <w:t>完成的类似项目情况汇总表</w:t>
      </w:r>
    </w:p>
    <w:p w14:paraId="28AD10C3">
      <w:pPr>
        <w:widowControl/>
        <w:kinsoku w:val="0"/>
        <w:autoSpaceDE w:val="0"/>
        <w:autoSpaceDN w:val="0"/>
        <w:adjustRightInd w:val="0"/>
        <w:snapToGrid w:val="0"/>
        <w:spacing w:before="33"/>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397"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1"/>
        <w:gridCol w:w="1351"/>
        <w:gridCol w:w="1152"/>
        <w:gridCol w:w="1173"/>
        <w:gridCol w:w="821"/>
        <w:gridCol w:w="1009"/>
        <w:gridCol w:w="960"/>
        <w:gridCol w:w="945"/>
        <w:gridCol w:w="525"/>
        <w:gridCol w:w="720"/>
      </w:tblGrid>
      <w:tr w14:paraId="0E5E7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5" w:hRule="atLeast"/>
        </w:trPr>
        <w:tc>
          <w:tcPr>
            <w:tcW w:w="741" w:type="dxa"/>
          </w:tcPr>
          <w:p w14:paraId="5EB33039">
            <w:pPr>
              <w:widowControl/>
              <w:kinsoku w:val="0"/>
              <w:autoSpaceDE w:val="0"/>
              <w:autoSpaceDN w:val="0"/>
              <w:adjustRightInd w:val="0"/>
              <w:snapToGrid w:val="0"/>
              <w:spacing w:line="355"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0A704955">
            <w:pPr>
              <w:kinsoku w:val="0"/>
              <w:autoSpaceDE w:val="0"/>
              <w:autoSpaceDN w:val="0"/>
              <w:adjustRightInd w:val="0"/>
              <w:snapToGrid w:val="0"/>
              <w:spacing w:before="65" w:line="229" w:lineRule="auto"/>
              <w:ind w:left="16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5"/>
                <w:kern w:val="0"/>
                <w:szCs w:val="21"/>
                <w:highlight w:val="none"/>
                <w:lang w:eastAsia="en-US"/>
                <w14:textFill>
                  <w14:solidFill>
                    <w14:schemeClr w14:val="tx1"/>
                  </w14:solidFill>
                </w14:textFill>
              </w:rPr>
              <w:t>序号</w:t>
            </w:r>
          </w:p>
        </w:tc>
        <w:tc>
          <w:tcPr>
            <w:tcW w:w="1351" w:type="dxa"/>
          </w:tcPr>
          <w:p w14:paraId="19328A7F">
            <w:pPr>
              <w:widowControl/>
              <w:kinsoku w:val="0"/>
              <w:autoSpaceDE w:val="0"/>
              <w:autoSpaceDN w:val="0"/>
              <w:adjustRightInd w:val="0"/>
              <w:snapToGrid w:val="0"/>
              <w:spacing w:line="35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3D84721">
            <w:pPr>
              <w:kinsoku w:val="0"/>
              <w:autoSpaceDE w:val="0"/>
              <w:autoSpaceDN w:val="0"/>
              <w:adjustRightInd w:val="0"/>
              <w:snapToGrid w:val="0"/>
              <w:spacing w:before="65" w:line="228" w:lineRule="auto"/>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项目名称</w:t>
            </w:r>
          </w:p>
        </w:tc>
        <w:tc>
          <w:tcPr>
            <w:tcW w:w="1152" w:type="dxa"/>
          </w:tcPr>
          <w:p w14:paraId="12A13478">
            <w:pPr>
              <w:kinsoku w:val="0"/>
              <w:autoSpaceDE w:val="0"/>
              <w:autoSpaceDN w:val="0"/>
              <w:adjustRightInd w:val="0"/>
              <w:snapToGrid w:val="0"/>
              <w:spacing w:before="110" w:line="228" w:lineRule="auto"/>
              <w:ind w:left="200"/>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6"/>
                <w:kern w:val="0"/>
                <w:szCs w:val="21"/>
                <w:highlight w:val="none"/>
                <w14:textFill>
                  <w14:solidFill>
                    <w14:schemeClr w14:val="tx1"/>
                  </w14:solidFill>
                </w14:textFill>
              </w:rPr>
              <w:t>路基桥</w:t>
            </w:r>
          </w:p>
          <w:p w14:paraId="77373D5A">
            <w:pPr>
              <w:kinsoku w:val="0"/>
              <w:autoSpaceDE w:val="0"/>
              <w:autoSpaceDN w:val="0"/>
              <w:adjustRightInd w:val="0"/>
              <w:snapToGrid w:val="0"/>
              <w:spacing w:before="65" w:line="287" w:lineRule="auto"/>
              <w:ind w:left="208" w:right="194" w:hanging="9"/>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6"/>
                <w:kern w:val="0"/>
                <w:szCs w:val="21"/>
                <w:highlight w:val="none"/>
                <w14:textFill>
                  <w14:solidFill>
                    <w14:schemeClr w14:val="tx1"/>
                  </w14:solidFill>
                </w14:textFill>
              </w:rPr>
              <w:t>涵里程</w:t>
            </w:r>
            <w:r>
              <w:rPr>
                <w:rFonts w:hint="eastAsia" w:ascii="宋体" w:hAnsi="宋体" w:cs="宋体"/>
                <w:snapToGrid w:val="0"/>
                <w:color w:val="000000" w:themeColor="text1"/>
                <w:spacing w:val="1"/>
                <w:kern w:val="0"/>
                <w:szCs w:val="21"/>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km</w:t>
            </w:r>
            <w:r>
              <w:rPr>
                <w:rFonts w:hint="eastAsia" w:ascii="宋体" w:hAnsi="宋体" w:cs="宋体"/>
                <w:snapToGrid w:val="0"/>
                <w:color w:val="000000" w:themeColor="text1"/>
                <w:spacing w:val="1"/>
                <w:kern w:val="0"/>
                <w:szCs w:val="21"/>
                <w:highlight w:val="none"/>
                <w14:textFill>
                  <w14:solidFill>
                    <w14:schemeClr w14:val="tx1"/>
                  </w14:solidFill>
                </w14:textFill>
              </w:rPr>
              <w:t>）</w:t>
            </w:r>
          </w:p>
        </w:tc>
        <w:tc>
          <w:tcPr>
            <w:tcW w:w="1173" w:type="dxa"/>
          </w:tcPr>
          <w:p w14:paraId="0F8D896B">
            <w:pPr>
              <w:kinsoku w:val="0"/>
              <w:autoSpaceDE w:val="0"/>
              <w:autoSpaceDN w:val="0"/>
              <w:adjustRightInd w:val="0"/>
              <w:snapToGrid w:val="0"/>
              <w:spacing w:before="112" w:line="287" w:lineRule="auto"/>
              <w:ind w:left="244" w:right="134" w:hanging="103"/>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6"/>
                <w:kern w:val="0"/>
                <w:szCs w:val="21"/>
                <w:highlight w:val="none"/>
                <w14:textFill>
                  <w14:solidFill>
                    <w14:schemeClr w14:val="tx1"/>
                  </w14:solidFill>
                </w14:textFill>
              </w:rPr>
              <w:t>路面类型</w:t>
            </w:r>
            <w:r>
              <w:rPr>
                <w:rFonts w:hint="eastAsia" w:ascii="宋体" w:hAnsi="宋体" w:cs="宋体"/>
                <w:snapToGrid w:val="0"/>
                <w:color w:val="000000" w:themeColor="text1"/>
                <w:spacing w:val="7"/>
                <w:kern w:val="0"/>
                <w:szCs w:val="21"/>
                <w:highlight w:val="none"/>
                <w14:textFill>
                  <w14:solidFill>
                    <w14:schemeClr w14:val="tx1"/>
                  </w14:solidFill>
                </w14:textFill>
              </w:rPr>
              <w:t>及里程</w:t>
            </w:r>
            <w:r>
              <w:rPr>
                <w:rFonts w:hint="eastAsia" w:ascii="宋体" w:hAnsi="宋体" w:cs="宋体"/>
                <w:snapToGrid w:val="0"/>
                <w:color w:val="000000" w:themeColor="text1"/>
                <w:spacing w:val="6"/>
                <w:kern w:val="0"/>
                <w:szCs w:val="21"/>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km</w:t>
            </w:r>
            <w:r>
              <w:rPr>
                <w:rFonts w:hint="eastAsia" w:ascii="宋体" w:hAnsi="宋体" w:cs="宋体"/>
                <w:snapToGrid w:val="0"/>
                <w:color w:val="000000" w:themeColor="text1"/>
                <w:spacing w:val="6"/>
                <w:kern w:val="0"/>
                <w:szCs w:val="21"/>
                <w:highlight w:val="none"/>
                <w14:textFill>
                  <w14:solidFill>
                    <w14:schemeClr w14:val="tx1"/>
                  </w14:solidFill>
                </w14:textFill>
              </w:rPr>
              <w:t>）</w:t>
            </w:r>
          </w:p>
        </w:tc>
        <w:tc>
          <w:tcPr>
            <w:tcW w:w="821" w:type="dxa"/>
          </w:tcPr>
          <w:p w14:paraId="47D169C5">
            <w:pPr>
              <w:kinsoku w:val="0"/>
              <w:autoSpaceDE w:val="0"/>
              <w:autoSpaceDN w:val="0"/>
              <w:adjustRightInd w:val="0"/>
              <w:snapToGrid w:val="0"/>
              <w:spacing w:before="267" w:line="290" w:lineRule="auto"/>
              <w:ind w:left="144" w:right="142" w:firstLine="9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大桥</w:t>
            </w: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（座）</w:t>
            </w:r>
          </w:p>
        </w:tc>
        <w:tc>
          <w:tcPr>
            <w:tcW w:w="1009" w:type="dxa"/>
          </w:tcPr>
          <w:p w14:paraId="0665B1F4">
            <w:pPr>
              <w:kinsoku w:val="0"/>
              <w:autoSpaceDE w:val="0"/>
              <w:autoSpaceDN w:val="0"/>
              <w:adjustRightInd w:val="0"/>
              <w:snapToGrid w:val="0"/>
              <w:spacing w:before="267" w:line="290" w:lineRule="auto"/>
              <w:ind w:left="166" w:right="147" w:hanging="1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特大桥</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（座）</w:t>
            </w:r>
          </w:p>
        </w:tc>
        <w:tc>
          <w:tcPr>
            <w:tcW w:w="960" w:type="dxa"/>
          </w:tcPr>
          <w:p w14:paraId="3CDFF59C">
            <w:pPr>
              <w:kinsoku w:val="0"/>
              <w:autoSpaceDE w:val="0"/>
              <w:autoSpaceDN w:val="0"/>
              <w:adjustRightInd w:val="0"/>
              <w:snapToGrid w:val="0"/>
              <w:spacing w:before="267" w:line="290" w:lineRule="auto"/>
              <w:ind w:left="136" w:right="117" w:hanging="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长隧道</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（座）</w:t>
            </w:r>
          </w:p>
        </w:tc>
        <w:tc>
          <w:tcPr>
            <w:tcW w:w="945" w:type="dxa"/>
          </w:tcPr>
          <w:p w14:paraId="62AFAB88">
            <w:pPr>
              <w:kinsoku w:val="0"/>
              <w:autoSpaceDE w:val="0"/>
              <w:autoSpaceDN w:val="0"/>
              <w:adjustRightInd w:val="0"/>
              <w:snapToGrid w:val="0"/>
              <w:spacing w:before="267" w:line="290" w:lineRule="auto"/>
              <w:ind w:left="112" w:right="18" w:firstLine="5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特长隧</w:t>
            </w: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道（座）</w:t>
            </w:r>
          </w:p>
        </w:tc>
        <w:tc>
          <w:tcPr>
            <w:tcW w:w="525" w:type="dxa"/>
          </w:tcPr>
          <w:p w14:paraId="3FC75B9B">
            <w:pPr>
              <w:widowControl/>
              <w:kinsoku w:val="0"/>
              <w:autoSpaceDE w:val="0"/>
              <w:autoSpaceDN w:val="0"/>
              <w:adjustRightInd w:val="0"/>
              <w:snapToGrid w:val="0"/>
              <w:spacing w:line="25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3E28CBDA">
            <w:pPr>
              <w:widowControl/>
              <w:kinsoku w:val="0"/>
              <w:autoSpaceDE w:val="0"/>
              <w:autoSpaceDN w:val="0"/>
              <w:adjustRightInd w:val="0"/>
              <w:snapToGrid w:val="0"/>
              <w:spacing w:line="25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6E3BF650">
            <w:pPr>
              <w:kinsoku w:val="0"/>
              <w:autoSpaceDE w:val="0"/>
              <w:autoSpaceDN w:val="0"/>
              <w:adjustRightInd w:val="0"/>
              <w:snapToGrid w:val="0"/>
              <w:spacing w:before="65" w:line="84" w:lineRule="exact"/>
              <w:ind w:left="14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1"/>
                <w:szCs w:val="21"/>
                <w:highlight w:val="none"/>
                <w:lang w:eastAsia="en-US"/>
                <w14:textFill>
                  <w14:solidFill>
                    <w14:schemeClr w14:val="tx1"/>
                  </w14:solidFill>
                </w14:textFill>
              </w:rPr>
              <w:t>...</w:t>
            </w:r>
          </w:p>
        </w:tc>
        <w:tc>
          <w:tcPr>
            <w:tcW w:w="720" w:type="dxa"/>
          </w:tcPr>
          <w:p w14:paraId="537B1841">
            <w:pPr>
              <w:widowControl/>
              <w:kinsoku w:val="0"/>
              <w:autoSpaceDE w:val="0"/>
              <w:autoSpaceDN w:val="0"/>
              <w:adjustRightInd w:val="0"/>
              <w:snapToGrid w:val="0"/>
              <w:spacing w:line="35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B7A466B">
            <w:pPr>
              <w:kinsoku w:val="0"/>
              <w:autoSpaceDE w:val="0"/>
              <w:autoSpaceDN w:val="0"/>
              <w:adjustRightInd w:val="0"/>
              <w:snapToGrid w:val="0"/>
              <w:spacing w:before="65" w:line="229" w:lineRule="auto"/>
              <w:ind w:left="16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备注</w:t>
            </w:r>
          </w:p>
        </w:tc>
      </w:tr>
      <w:tr w14:paraId="3F291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58A0496B">
            <w:pPr>
              <w:widowControl/>
              <w:kinsoku w:val="0"/>
              <w:autoSpaceDE w:val="0"/>
              <w:autoSpaceDN w:val="0"/>
              <w:adjustRightInd w:val="0"/>
              <w:snapToGrid w:val="0"/>
              <w:spacing w:line="241"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5E9C9077">
            <w:pPr>
              <w:kinsoku w:val="0"/>
              <w:autoSpaceDE w:val="0"/>
              <w:autoSpaceDN w:val="0"/>
              <w:adjustRightInd w:val="0"/>
              <w:snapToGrid w:val="0"/>
              <w:spacing w:before="65" w:line="270" w:lineRule="exact"/>
              <w:ind w:left="33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1</w:t>
            </w:r>
          </w:p>
        </w:tc>
        <w:tc>
          <w:tcPr>
            <w:tcW w:w="1351" w:type="dxa"/>
            <w:vAlign w:val="center"/>
          </w:tcPr>
          <w:p w14:paraId="021F157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46662D0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6CF3292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3B9319B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4C10D15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7396F43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14A1D24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1AB1801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1E9D27D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14A1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2883BEEC">
            <w:pPr>
              <w:widowControl/>
              <w:kinsoku w:val="0"/>
              <w:autoSpaceDE w:val="0"/>
              <w:autoSpaceDN w:val="0"/>
              <w:adjustRightInd w:val="0"/>
              <w:snapToGrid w:val="0"/>
              <w:spacing w:line="24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4B018A40">
            <w:pPr>
              <w:kinsoku w:val="0"/>
              <w:autoSpaceDE w:val="0"/>
              <w:autoSpaceDN w:val="0"/>
              <w:adjustRightInd w:val="0"/>
              <w:snapToGrid w:val="0"/>
              <w:spacing w:before="65" w:line="270" w:lineRule="exact"/>
              <w:ind w:left="32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2</w:t>
            </w:r>
          </w:p>
        </w:tc>
        <w:tc>
          <w:tcPr>
            <w:tcW w:w="1351" w:type="dxa"/>
            <w:vAlign w:val="center"/>
          </w:tcPr>
          <w:p w14:paraId="4E3425A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54AF86D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33C4372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4B3C314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32E4693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4655F71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692CD0D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0C97E4E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41FD66A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4E54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1F36A985">
            <w:pPr>
              <w:widowControl/>
              <w:kinsoku w:val="0"/>
              <w:autoSpaceDE w:val="0"/>
              <w:autoSpaceDN w:val="0"/>
              <w:adjustRightInd w:val="0"/>
              <w:snapToGrid w:val="0"/>
              <w:spacing w:line="24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1E308A36">
            <w:pPr>
              <w:kinsoku w:val="0"/>
              <w:autoSpaceDE w:val="0"/>
              <w:autoSpaceDN w:val="0"/>
              <w:adjustRightInd w:val="0"/>
              <w:snapToGrid w:val="0"/>
              <w:spacing w:before="65" w:line="269" w:lineRule="exact"/>
              <w:ind w:left="32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3</w:t>
            </w:r>
          </w:p>
        </w:tc>
        <w:tc>
          <w:tcPr>
            <w:tcW w:w="1351" w:type="dxa"/>
            <w:vAlign w:val="center"/>
          </w:tcPr>
          <w:p w14:paraId="231D4F3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136F1E5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1F64EF9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211451D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6730A9C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736ED6E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7A07DE0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61F4F07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72B1890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57E5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736B4304">
            <w:pPr>
              <w:widowControl/>
              <w:kinsoku w:val="0"/>
              <w:autoSpaceDE w:val="0"/>
              <w:autoSpaceDN w:val="0"/>
              <w:adjustRightInd w:val="0"/>
              <w:snapToGrid w:val="0"/>
              <w:spacing w:line="24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224635E1">
            <w:pPr>
              <w:kinsoku w:val="0"/>
              <w:autoSpaceDE w:val="0"/>
              <w:autoSpaceDN w:val="0"/>
              <w:adjustRightInd w:val="0"/>
              <w:snapToGrid w:val="0"/>
              <w:spacing w:before="65" w:line="270" w:lineRule="exact"/>
              <w:ind w:left="32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4</w:t>
            </w:r>
          </w:p>
        </w:tc>
        <w:tc>
          <w:tcPr>
            <w:tcW w:w="1351" w:type="dxa"/>
            <w:vAlign w:val="center"/>
          </w:tcPr>
          <w:p w14:paraId="55D79E6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7657634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0227DA8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45C36E9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3C6E49C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1D3B692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5B25172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1ED33EC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59FBDC6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21DD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259D07D8">
            <w:pPr>
              <w:widowControl/>
              <w:kinsoku w:val="0"/>
              <w:autoSpaceDE w:val="0"/>
              <w:autoSpaceDN w:val="0"/>
              <w:adjustRightInd w:val="0"/>
              <w:snapToGrid w:val="0"/>
              <w:spacing w:line="243"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2E7A1996">
            <w:pPr>
              <w:kinsoku w:val="0"/>
              <w:autoSpaceDE w:val="0"/>
              <w:autoSpaceDN w:val="0"/>
              <w:adjustRightInd w:val="0"/>
              <w:snapToGrid w:val="0"/>
              <w:spacing w:before="65" w:line="269" w:lineRule="exact"/>
              <w:ind w:left="32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5</w:t>
            </w:r>
          </w:p>
        </w:tc>
        <w:tc>
          <w:tcPr>
            <w:tcW w:w="1351" w:type="dxa"/>
            <w:vAlign w:val="center"/>
          </w:tcPr>
          <w:p w14:paraId="59668829">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2F00D63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0D933F9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4B87080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24C202C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2FBB06A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4D677CF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70899F3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4638B20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336F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039446A4">
            <w:pPr>
              <w:widowControl/>
              <w:kinsoku w:val="0"/>
              <w:autoSpaceDE w:val="0"/>
              <w:autoSpaceDN w:val="0"/>
              <w:adjustRightInd w:val="0"/>
              <w:snapToGrid w:val="0"/>
              <w:spacing w:line="246"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66695A2E">
            <w:pPr>
              <w:kinsoku w:val="0"/>
              <w:autoSpaceDE w:val="0"/>
              <w:autoSpaceDN w:val="0"/>
              <w:adjustRightInd w:val="0"/>
              <w:snapToGrid w:val="0"/>
              <w:spacing w:before="65" w:line="269" w:lineRule="exact"/>
              <w:ind w:left="32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6</w:t>
            </w:r>
          </w:p>
        </w:tc>
        <w:tc>
          <w:tcPr>
            <w:tcW w:w="1351" w:type="dxa"/>
            <w:vAlign w:val="center"/>
          </w:tcPr>
          <w:p w14:paraId="60C42A8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6412C41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7D112C5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0EA2FD4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1EF121F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079EC83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672715C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2284343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6CC6935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A3B5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3F3CDEF4">
            <w:pPr>
              <w:widowControl/>
              <w:kinsoku w:val="0"/>
              <w:autoSpaceDE w:val="0"/>
              <w:autoSpaceDN w:val="0"/>
              <w:adjustRightInd w:val="0"/>
              <w:snapToGrid w:val="0"/>
              <w:spacing w:line="246"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031CA0E6">
            <w:pPr>
              <w:kinsoku w:val="0"/>
              <w:autoSpaceDE w:val="0"/>
              <w:autoSpaceDN w:val="0"/>
              <w:adjustRightInd w:val="0"/>
              <w:snapToGrid w:val="0"/>
              <w:spacing w:before="65" w:line="269" w:lineRule="exact"/>
              <w:ind w:left="3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kern w:val="0"/>
                <w:position w:val="1"/>
                <w:szCs w:val="21"/>
                <w:highlight w:val="none"/>
                <w:lang w:eastAsia="en-US"/>
                <w14:textFill>
                  <w14:solidFill>
                    <w14:schemeClr w14:val="tx1"/>
                  </w14:solidFill>
                </w14:textFill>
              </w:rPr>
              <w:t>7</w:t>
            </w:r>
          </w:p>
        </w:tc>
        <w:tc>
          <w:tcPr>
            <w:tcW w:w="1351" w:type="dxa"/>
            <w:vAlign w:val="center"/>
          </w:tcPr>
          <w:p w14:paraId="00E1890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2CC5966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23E3B29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78F449D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354A7C2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1F83BC1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0DBFE50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7DCDAF1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48CFCE7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FFD1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39613713">
            <w:pPr>
              <w:widowControl/>
              <w:kinsoku w:val="0"/>
              <w:autoSpaceDE w:val="0"/>
              <w:autoSpaceDN w:val="0"/>
              <w:adjustRightInd w:val="0"/>
              <w:snapToGrid w:val="0"/>
              <w:spacing w:line="399"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4935738D">
            <w:pPr>
              <w:kinsoku w:val="0"/>
              <w:autoSpaceDE w:val="0"/>
              <w:autoSpaceDN w:val="0"/>
              <w:adjustRightInd w:val="0"/>
              <w:snapToGrid w:val="0"/>
              <w:spacing w:before="65" w:line="83" w:lineRule="exact"/>
              <w:ind w:left="22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1"/>
                <w:szCs w:val="21"/>
                <w:highlight w:val="none"/>
                <w:lang w:eastAsia="en-US"/>
                <w14:textFill>
                  <w14:solidFill>
                    <w14:schemeClr w14:val="tx1"/>
                  </w14:solidFill>
                </w14:textFill>
              </w:rPr>
              <w:t>...</w:t>
            </w:r>
          </w:p>
        </w:tc>
        <w:tc>
          <w:tcPr>
            <w:tcW w:w="1351" w:type="dxa"/>
            <w:vAlign w:val="center"/>
          </w:tcPr>
          <w:p w14:paraId="2550A51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52" w:type="dxa"/>
            <w:vAlign w:val="center"/>
          </w:tcPr>
          <w:p w14:paraId="1AA71B1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37F2F25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4719213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1AAF558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3E45668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62FFFF1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7B0B4DB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7602AC5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F2FD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2092" w:type="dxa"/>
            <w:gridSpan w:val="2"/>
          </w:tcPr>
          <w:p w14:paraId="5B58EB92">
            <w:pPr>
              <w:widowControl/>
              <w:kinsoku w:val="0"/>
              <w:autoSpaceDE w:val="0"/>
              <w:autoSpaceDN w:val="0"/>
              <w:adjustRightInd w:val="0"/>
              <w:snapToGrid w:val="0"/>
              <w:spacing w:line="246"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5D3EB30">
            <w:pPr>
              <w:kinsoku w:val="0"/>
              <w:autoSpaceDE w:val="0"/>
              <w:autoSpaceDN w:val="0"/>
              <w:adjustRightInd w:val="0"/>
              <w:snapToGrid w:val="0"/>
              <w:spacing w:before="65" w:line="228" w:lineRule="auto"/>
              <w:ind w:left="69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业绩合计</w:t>
            </w:r>
          </w:p>
        </w:tc>
        <w:tc>
          <w:tcPr>
            <w:tcW w:w="1152" w:type="dxa"/>
            <w:vAlign w:val="center"/>
          </w:tcPr>
          <w:p w14:paraId="627B4912">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173" w:type="dxa"/>
            <w:vAlign w:val="center"/>
          </w:tcPr>
          <w:p w14:paraId="4D6DACD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821" w:type="dxa"/>
            <w:vAlign w:val="center"/>
          </w:tcPr>
          <w:p w14:paraId="5936CF6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009" w:type="dxa"/>
            <w:vAlign w:val="center"/>
          </w:tcPr>
          <w:p w14:paraId="7F8FF88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60" w:type="dxa"/>
            <w:vAlign w:val="center"/>
          </w:tcPr>
          <w:p w14:paraId="5A3AB3B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945" w:type="dxa"/>
            <w:vAlign w:val="center"/>
          </w:tcPr>
          <w:p w14:paraId="1E0D872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525" w:type="dxa"/>
            <w:vAlign w:val="center"/>
          </w:tcPr>
          <w:p w14:paraId="65480EFA">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720" w:type="dxa"/>
            <w:vAlign w:val="center"/>
          </w:tcPr>
          <w:p w14:paraId="4048327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bl>
    <w:p w14:paraId="0DEFB1D1">
      <w:pPr>
        <w:widowControl/>
        <w:kinsoku w:val="0"/>
        <w:autoSpaceDE w:val="0"/>
        <w:autoSpaceDN w:val="0"/>
        <w:adjustRightInd w:val="0"/>
        <w:snapToGrid w:val="0"/>
        <w:spacing w:before="52" w:line="227" w:lineRule="auto"/>
        <w:ind w:left="11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6"/>
          <w:kern w:val="0"/>
          <w:sz w:val="20"/>
          <w:szCs w:val="20"/>
          <w:highlight w:val="none"/>
          <w14:textFill>
            <w14:solidFill>
              <w14:schemeClr w14:val="tx1"/>
            </w14:solidFill>
          </w14:textFill>
        </w:rPr>
        <w:t>注：业绩要求应符合投标人须知前附表</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3.5.3、10.6</w:t>
      </w:r>
      <w:r>
        <w:rPr>
          <w:rFonts w:ascii="宋体" w:hAnsi="宋体" w:cs="宋体"/>
          <w:snapToGrid w:val="0"/>
          <w:color w:val="000000" w:themeColor="text1"/>
          <w:spacing w:val="-41"/>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及</w:t>
      </w:r>
      <w:r>
        <w:rPr>
          <w:rFonts w:ascii="宋体" w:hAnsi="宋体" w:cs="宋体"/>
          <w:snapToGrid w:val="0"/>
          <w:color w:val="000000" w:themeColor="text1"/>
          <w:spacing w:val="-2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10.7</w:t>
      </w:r>
      <w:r>
        <w:rPr>
          <w:rFonts w:ascii="宋体" w:hAnsi="宋体" w:cs="宋体"/>
          <w:snapToGrid w:val="0"/>
          <w:color w:val="000000" w:themeColor="text1"/>
          <w:spacing w:val="-39"/>
          <w:kern w:val="0"/>
          <w:sz w:val="20"/>
          <w:szCs w:val="20"/>
          <w:highlight w:val="none"/>
          <w14:textFill>
            <w14:solidFill>
              <w14:schemeClr w14:val="tx1"/>
            </w14:solidFill>
          </w14:textFill>
        </w:rPr>
        <w:t xml:space="preserve"> </w:t>
      </w:r>
      <w:r>
        <w:rPr>
          <w:rFonts w:ascii="宋体" w:hAnsi="宋体" w:cs="宋体"/>
          <w:snapToGrid w:val="0"/>
          <w:color w:val="000000" w:themeColor="text1"/>
          <w:spacing w:val="6"/>
          <w:kern w:val="0"/>
          <w:sz w:val="20"/>
          <w:szCs w:val="20"/>
          <w:highlight w:val="none"/>
          <w14:textFill>
            <w14:solidFill>
              <w14:schemeClr w14:val="tx1"/>
            </w14:solidFill>
          </w14:textFill>
        </w:rPr>
        <w:t>款的要求。</w:t>
      </w:r>
    </w:p>
    <w:p w14:paraId="032A773D">
      <w:pPr>
        <w:spacing w:line="227" w:lineRule="auto"/>
        <w:rPr>
          <w:rFonts w:hint="eastAsia" w:ascii="宋体" w:hAnsi="宋体" w:cs="宋体"/>
          <w:color w:val="000000" w:themeColor="text1"/>
          <w:sz w:val="20"/>
          <w:szCs w:val="20"/>
          <w:highlight w:val="none"/>
          <w14:textFill>
            <w14:solidFill>
              <w14:schemeClr w14:val="tx1"/>
            </w14:solidFill>
          </w14:textFill>
        </w:rPr>
        <w:sectPr>
          <w:footerReference r:id="rId111" w:type="default"/>
          <w:pgSz w:w="11906" w:h="16839"/>
          <w:pgMar w:top="1182" w:right="1304" w:bottom="1168" w:left="1304" w:header="849" w:footer="934" w:gutter="0"/>
          <w:cols w:space="720" w:num="1"/>
        </w:sectPr>
      </w:pPr>
    </w:p>
    <w:p w14:paraId="558AB0C7">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8538D1A">
      <w:pPr>
        <w:pStyle w:val="6"/>
        <w:spacing w:before="168" w:after="120"/>
        <w:jc w:val="center"/>
        <w:rPr>
          <w:color w:val="000000" w:themeColor="text1"/>
          <w:highlight w:val="none"/>
          <w14:textFill>
            <w14:solidFill>
              <w14:schemeClr w14:val="tx1"/>
            </w14:solidFill>
          </w14:textFill>
        </w:rPr>
      </w:pPr>
      <w:bookmarkStart w:id="445" w:name="_Toc29017"/>
      <w:r>
        <w:rPr>
          <w:color w:val="000000" w:themeColor="text1"/>
          <w:highlight w:val="none"/>
          <w14:textFill>
            <w14:solidFill>
              <w14:schemeClr w14:val="tx1"/>
            </w14:solidFill>
          </w14:textFill>
        </w:rPr>
        <w:t>（五）投标人的信誉情况表</w:t>
      </w:r>
      <w:bookmarkEnd w:id="445"/>
    </w:p>
    <w:p w14:paraId="1FE959D7">
      <w:pPr>
        <w:widowControl/>
        <w:kinsoku w:val="0"/>
        <w:autoSpaceDE w:val="0"/>
        <w:autoSpaceDN w:val="0"/>
        <w:adjustRightInd w:val="0"/>
        <w:snapToGrid w:val="0"/>
        <w:spacing w:before="3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475" w:type="dxa"/>
        <w:tblInd w:w="-1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25"/>
        <w:gridCol w:w="3850"/>
      </w:tblGrid>
      <w:tr w14:paraId="644DE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625" w:type="dxa"/>
          </w:tcPr>
          <w:p w14:paraId="3CE8F2EC">
            <w:pPr>
              <w:kinsoku w:val="0"/>
              <w:autoSpaceDE w:val="0"/>
              <w:autoSpaceDN w:val="0"/>
              <w:adjustRightInd w:val="0"/>
              <w:snapToGrid w:val="0"/>
              <w:spacing w:before="257" w:line="228" w:lineRule="auto"/>
              <w:ind w:left="247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szCs w:val="21"/>
                <w:highlight w:val="none"/>
                <w:lang w:eastAsia="en-US"/>
                <w14:textFill>
                  <w14:solidFill>
                    <w14:schemeClr w14:val="tx1"/>
                  </w14:solidFill>
                </w14:textFill>
              </w:rPr>
              <w:t>项目</w:t>
            </w:r>
          </w:p>
        </w:tc>
        <w:tc>
          <w:tcPr>
            <w:tcW w:w="3850" w:type="dxa"/>
          </w:tcPr>
          <w:p w14:paraId="6C49D11D">
            <w:pPr>
              <w:kinsoku w:val="0"/>
              <w:autoSpaceDE w:val="0"/>
              <w:autoSpaceDN w:val="0"/>
              <w:adjustRightInd w:val="0"/>
              <w:snapToGrid w:val="0"/>
              <w:spacing w:before="256" w:line="228" w:lineRule="auto"/>
              <w:ind w:left="124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8"/>
                <w:kern w:val="0"/>
                <w:szCs w:val="21"/>
                <w:highlight w:val="none"/>
                <w:lang w:eastAsia="en-US"/>
                <w14:textFill>
                  <w14:solidFill>
                    <w14:schemeClr w14:val="tx1"/>
                  </w14:solidFill>
                </w14:textFill>
              </w:rPr>
              <w:t>投标人情况说明</w:t>
            </w:r>
          </w:p>
        </w:tc>
      </w:tr>
      <w:tr w14:paraId="4D226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5625" w:type="dxa"/>
          </w:tcPr>
          <w:p w14:paraId="7DC932CE">
            <w:pPr>
              <w:kinsoku w:val="0"/>
              <w:autoSpaceDE w:val="0"/>
              <w:autoSpaceDN w:val="0"/>
              <w:adjustRightInd w:val="0"/>
              <w:snapToGrid w:val="0"/>
              <w:spacing w:before="125" w:line="345" w:lineRule="auto"/>
              <w:ind w:left="114" w:right="108" w:firstLine="10"/>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7"/>
                <w:kern w:val="0"/>
                <w:szCs w:val="21"/>
                <w:highlight w:val="none"/>
                <w14:textFill>
                  <w14:solidFill>
                    <w14:schemeClr w14:val="tx1"/>
                  </w14:solidFill>
                </w14:textFill>
              </w:rPr>
              <w:t>（1）在最新年度广东省公路工程从业单位（</w:t>
            </w:r>
            <w:r>
              <w:rPr>
                <w:rFonts w:ascii="宋体" w:hAnsi="宋体" w:cs="宋体"/>
                <w:snapToGrid w:val="0"/>
                <w:color w:val="000000" w:themeColor="text1"/>
                <w:spacing w:val="7"/>
                <w:kern w:val="0"/>
                <w:szCs w:val="21"/>
                <w:highlight w:val="none"/>
                <w:u w:val="single"/>
                <w14:textFill>
                  <w14:solidFill>
                    <w14:schemeClr w14:val="tx1"/>
                  </w14:solidFill>
                </w14:textFill>
              </w:rPr>
              <w:t>土建工程施工单位</w:t>
            </w:r>
            <w:r>
              <w:rPr>
                <w:rFonts w:ascii="宋体" w:hAnsi="宋体" w:cs="宋体"/>
                <w:snapToGrid w:val="0"/>
                <w:color w:val="000000" w:themeColor="text1"/>
                <w:spacing w:val="7"/>
                <w:kern w:val="0"/>
                <w:szCs w:val="21"/>
                <w:highlight w:val="none"/>
                <w14:textFill>
                  <w14:solidFill>
                    <w14:schemeClr w14:val="tx1"/>
                  </w14:solidFill>
                </w14:textFill>
              </w:rPr>
              <w:t>)</w:t>
            </w:r>
            <w:r>
              <w:rPr>
                <w:rFonts w:ascii="宋体" w:hAnsi="宋体" w:cs="宋体"/>
                <w:snapToGrid w:val="0"/>
                <w:color w:val="000000" w:themeColor="text1"/>
                <w:spacing w:val="11"/>
                <w:kern w:val="0"/>
                <w:szCs w:val="21"/>
                <w:highlight w:val="none"/>
                <w14:textFill>
                  <w14:solidFill>
                    <w14:schemeClr w14:val="tx1"/>
                  </w14:solidFill>
                </w14:textFill>
              </w:rPr>
              <w:t>信用评价（含无最新年度而上一年度有信用评价）</w:t>
            </w:r>
            <w:r>
              <w:rPr>
                <w:rFonts w:ascii="宋体" w:hAnsi="宋体" w:cs="宋体"/>
                <w:snapToGrid w:val="0"/>
                <w:color w:val="000000" w:themeColor="text1"/>
                <w:spacing w:val="-50"/>
                <w:kern w:val="0"/>
                <w:szCs w:val="21"/>
                <w:highlight w:val="none"/>
                <w14:textFill>
                  <w14:solidFill>
                    <w14:schemeClr w14:val="tx1"/>
                  </w14:solidFill>
                </w14:textFill>
              </w:rPr>
              <w:t xml:space="preserve"> </w:t>
            </w:r>
            <w:r>
              <w:rPr>
                <w:rFonts w:ascii="宋体" w:hAnsi="宋体" w:cs="宋体"/>
                <w:snapToGrid w:val="0"/>
                <w:color w:val="000000" w:themeColor="text1"/>
                <w:spacing w:val="11"/>
                <w:kern w:val="0"/>
                <w:szCs w:val="21"/>
                <w:highlight w:val="none"/>
                <w14:textFill>
                  <w14:solidFill>
                    <w14:schemeClr w14:val="tx1"/>
                  </w14:solidFill>
                </w14:textFill>
              </w:rPr>
              <w:t>中，</w:t>
            </w:r>
            <w:r>
              <w:rPr>
                <w:rFonts w:ascii="宋体" w:hAnsi="宋体" w:cs="宋体"/>
                <w:snapToGrid w:val="0"/>
                <w:color w:val="000000" w:themeColor="text1"/>
                <w:spacing w:val="12"/>
                <w:kern w:val="0"/>
                <w:szCs w:val="21"/>
                <w:highlight w:val="none"/>
                <w14:textFill>
                  <w14:solidFill>
                    <w14:schemeClr w14:val="tx1"/>
                  </w14:solidFill>
                </w14:textFill>
              </w:rPr>
              <w:t>信用等级被评为</w:t>
            </w:r>
            <w:r>
              <w:rPr>
                <w:rFonts w:ascii="宋体" w:hAnsi="宋体" w:cs="宋体"/>
                <w:snapToGrid w:val="0"/>
                <w:color w:val="000000" w:themeColor="text1"/>
                <w:spacing w:val="-38"/>
                <w:kern w:val="0"/>
                <w:szCs w:val="21"/>
                <w:highlight w:val="none"/>
                <w14:textFill>
                  <w14:solidFill>
                    <w14:schemeClr w14:val="tx1"/>
                  </w14:solidFill>
                </w14:textFill>
              </w:rPr>
              <w:t xml:space="preserve"> </w:t>
            </w:r>
            <w:r>
              <w:rPr>
                <w:rFonts w:ascii="宋体" w:hAnsi="宋体" w:cs="宋体"/>
                <w:snapToGrid w:val="0"/>
                <w:color w:val="000000" w:themeColor="text1"/>
                <w:spacing w:val="12"/>
                <w:kern w:val="0"/>
                <w:szCs w:val="21"/>
                <w:highlight w:val="none"/>
                <w14:textFill>
                  <w14:solidFill>
                    <w14:schemeClr w14:val="tx1"/>
                  </w14:solidFill>
                </w14:textFill>
              </w:rPr>
              <w:t>D</w:t>
            </w:r>
            <w:r>
              <w:rPr>
                <w:rFonts w:ascii="宋体" w:hAnsi="宋体" w:cs="宋体"/>
                <w:snapToGrid w:val="0"/>
                <w:color w:val="000000" w:themeColor="text1"/>
                <w:spacing w:val="-33"/>
                <w:kern w:val="0"/>
                <w:szCs w:val="21"/>
                <w:highlight w:val="none"/>
                <w14:textFill>
                  <w14:solidFill>
                    <w14:schemeClr w14:val="tx1"/>
                  </w14:solidFill>
                </w14:textFill>
              </w:rPr>
              <w:t xml:space="preserve"> </w:t>
            </w:r>
            <w:r>
              <w:rPr>
                <w:rFonts w:ascii="宋体" w:hAnsi="宋体" w:cs="宋体"/>
                <w:snapToGrid w:val="0"/>
                <w:color w:val="000000" w:themeColor="text1"/>
                <w:spacing w:val="12"/>
                <w:kern w:val="0"/>
                <w:szCs w:val="21"/>
                <w:highlight w:val="none"/>
                <w14:textFill>
                  <w14:solidFill>
                    <w14:schemeClr w14:val="tx1"/>
                  </w14:solidFill>
                </w14:textFill>
              </w:rPr>
              <w:t>级；初次进入广东省的投标人</w:t>
            </w:r>
            <w:r>
              <w:rPr>
                <w:rFonts w:ascii="宋体" w:hAnsi="宋体" w:cs="宋体"/>
                <w:snapToGrid w:val="0"/>
                <w:color w:val="000000" w:themeColor="text1"/>
                <w:spacing w:val="11"/>
                <w:kern w:val="0"/>
                <w:szCs w:val="21"/>
                <w:highlight w:val="none"/>
                <w14:textFill>
                  <w14:solidFill>
                    <w14:schemeClr w14:val="tx1"/>
                  </w14:solidFill>
                </w14:textFill>
              </w:rPr>
              <w:t>，在最</w:t>
            </w:r>
            <w:r>
              <w:rPr>
                <w:rFonts w:ascii="宋体" w:hAnsi="宋体" w:cs="宋体"/>
                <w:snapToGrid w:val="0"/>
                <w:color w:val="000000" w:themeColor="text1"/>
                <w:spacing w:val="13"/>
                <w:kern w:val="0"/>
                <w:szCs w:val="21"/>
                <w:highlight w:val="none"/>
                <w14:textFill>
                  <w14:solidFill>
                    <w14:schemeClr w14:val="tx1"/>
                  </w14:solidFill>
                </w14:textFill>
              </w:rPr>
              <w:t>新年度的全国公路从业单位（施工单位）信用评价结果</w:t>
            </w:r>
            <w:r>
              <w:rPr>
                <w:rFonts w:ascii="宋体" w:hAnsi="宋体" w:cs="宋体"/>
                <w:snapToGrid w:val="0"/>
                <w:color w:val="000000" w:themeColor="text1"/>
                <w:spacing w:val="3"/>
                <w:kern w:val="0"/>
                <w:szCs w:val="21"/>
                <w:highlight w:val="none"/>
                <w14:textFill>
                  <w14:solidFill>
                    <w14:schemeClr w14:val="tx1"/>
                  </w14:solidFill>
                </w14:textFill>
              </w:rPr>
              <w:t>中被评为</w:t>
            </w:r>
            <w:r>
              <w:rPr>
                <w:rFonts w:ascii="宋体" w:hAnsi="宋体" w:cs="宋体"/>
                <w:snapToGrid w:val="0"/>
                <w:color w:val="000000" w:themeColor="text1"/>
                <w:spacing w:val="-36"/>
                <w:kern w:val="0"/>
                <w:szCs w:val="21"/>
                <w:highlight w:val="none"/>
                <w14:textFill>
                  <w14:solidFill>
                    <w14:schemeClr w14:val="tx1"/>
                  </w14:solidFill>
                </w14:textFill>
              </w:rPr>
              <w:t xml:space="preserve"> </w:t>
            </w:r>
            <w:r>
              <w:rPr>
                <w:rFonts w:ascii="宋体" w:hAnsi="宋体" w:cs="宋体"/>
                <w:snapToGrid w:val="0"/>
                <w:color w:val="000000" w:themeColor="text1"/>
                <w:spacing w:val="3"/>
                <w:kern w:val="0"/>
                <w:szCs w:val="21"/>
                <w:highlight w:val="none"/>
                <w14:textFill>
                  <w14:solidFill>
                    <w14:schemeClr w14:val="tx1"/>
                  </w14:solidFill>
                </w14:textFill>
              </w:rPr>
              <w:t>D</w:t>
            </w:r>
            <w:r>
              <w:rPr>
                <w:rFonts w:ascii="宋体" w:hAnsi="宋体" w:cs="宋体"/>
                <w:snapToGrid w:val="0"/>
                <w:color w:val="000000" w:themeColor="text1"/>
                <w:spacing w:val="-34"/>
                <w:kern w:val="0"/>
                <w:szCs w:val="21"/>
                <w:highlight w:val="none"/>
                <w14:textFill>
                  <w14:solidFill>
                    <w14:schemeClr w14:val="tx1"/>
                  </w14:solidFill>
                </w14:textFill>
              </w:rPr>
              <w:t xml:space="preserve"> </w:t>
            </w:r>
            <w:r>
              <w:rPr>
                <w:rFonts w:ascii="宋体" w:hAnsi="宋体" w:cs="宋体"/>
                <w:snapToGrid w:val="0"/>
                <w:color w:val="000000" w:themeColor="text1"/>
                <w:spacing w:val="3"/>
                <w:kern w:val="0"/>
                <w:szCs w:val="21"/>
                <w:highlight w:val="none"/>
                <w14:textFill>
                  <w14:solidFill>
                    <w14:schemeClr w14:val="tx1"/>
                  </w14:solidFill>
                </w14:textFill>
              </w:rPr>
              <w:t>级；</w:t>
            </w:r>
          </w:p>
        </w:tc>
        <w:tc>
          <w:tcPr>
            <w:tcW w:w="3850" w:type="dxa"/>
            <w:vAlign w:val="center"/>
          </w:tcPr>
          <w:p w14:paraId="19B038B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6173E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5625" w:type="dxa"/>
          </w:tcPr>
          <w:p w14:paraId="75A6E360">
            <w:pPr>
              <w:kinsoku w:val="0"/>
              <w:autoSpaceDE w:val="0"/>
              <w:autoSpaceDN w:val="0"/>
              <w:adjustRightInd w:val="0"/>
              <w:snapToGrid w:val="0"/>
              <w:spacing w:before="141" w:line="301" w:lineRule="auto"/>
              <w:ind w:left="114" w:right="108" w:firstLine="10"/>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（2）被省级及以上交通运输主管部门取消招标项目所在地的投标资格且处于有效期内；</w:t>
            </w:r>
          </w:p>
        </w:tc>
        <w:tc>
          <w:tcPr>
            <w:tcW w:w="3850" w:type="dxa"/>
            <w:vAlign w:val="center"/>
          </w:tcPr>
          <w:p w14:paraId="0C62D40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2000F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5625" w:type="dxa"/>
          </w:tcPr>
          <w:p w14:paraId="00902450">
            <w:pPr>
              <w:kinsoku w:val="0"/>
              <w:autoSpaceDE w:val="0"/>
              <w:autoSpaceDN w:val="0"/>
              <w:adjustRightInd w:val="0"/>
              <w:snapToGrid w:val="0"/>
              <w:spacing w:before="65" w:line="227" w:lineRule="auto"/>
              <w:ind w:left="125"/>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（3）被责令停业，暂扣或吊销执照，或吊销资质证书；</w:t>
            </w:r>
          </w:p>
        </w:tc>
        <w:tc>
          <w:tcPr>
            <w:tcW w:w="3850" w:type="dxa"/>
            <w:vAlign w:val="center"/>
          </w:tcPr>
          <w:p w14:paraId="0C5F8FC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745C1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5625" w:type="dxa"/>
          </w:tcPr>
          <w:p w14:paraId="63D8E68E">
            <w:pPr>
              <w:kinsoku w:val="0"/>
              <w:autoSpaceDE w:val="0"/>
              <w:autoSpaceDN w:val="0"/>
              <w:adjustRightInd w:val="0"/>
              <w:snapToGrid w:val="0"/>
              <w:spacing w:before="144" w:line="300" w:lineRule="auto"/>
              <w:ind w:left="118" w:right="108" w:firstLine="6"/>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（4）进入清算程序，或被宣告破产，或其他丧失履约能</w:t>
            </w:r>
            <w:r>
              <w:rPr>
                <w:rFonts w:ascii="宋体" w:hAnsi="宋体" w:cs="宋体"/>
                <w:snapToGrid w:val="0"/>
                <w:color w:val="000000" w:themeColor="text1"/>
                <w:spacing w:val="5"/>
                <w:kern w:val="0"/>
                <w:szCs w:val="21"/>
                <w:highlight w:val="none"/>
                <w14:textFill>
                  <w14:solidFill>
                    <w14:schemeClr w14:val="tx1"/>
                  </w14:solidFill>
                </w14:textFill>
              </w:rPr>
              <w:t>力的情形；</w:t>
            </w:r>
          </w:p>
        </w:tc>
        <w:tc>
          <w:tcPr>
            <w:tcW w:w="3850" w:type="dxa"/>
            <w:vAlign w:val="center"/>
          </w:tcPr>
          <w:p w14:paraId="36A8F81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6AF51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5625" w:type="dxa"/>
          </w:tcPr>
          <w:p w14:paraId="514B45E7">
            <w:pPr>
              <w:kinsoku w:val="0"/>
              <w:autoSpaceDE w:val="0"/>
              <w:autoSpaceDN w:val="0"/>
              <w:adjustRightInd w:val="0"/>
              <w:snapToGrid w:val="0"/>
              <w:spacing w:before="142" w:line="301" w:lineRule="auto"/>
              <w:ind w:left="114" w:right="108" w:firstLine="10"/>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（5）在国家企业信用信息公示系统中被列入严重违法失</w:t>
            </w:r>
            <w:r>
              <w:rPr>
                <w:rFonts w:ascii="宋体" w:hAnsi="宋体" w:cs="宋体"/>
                <w:snapToGrid w:val="0"/>
                <w:color w:val="000000" w:themeColor="text1"/>
                <w:spacing w:val="5"/>
                <w:kern w:val="0"/>
                <w:szCs w:val="21"/>
                <w:highlight w:val="none"/>
                <w14:textFill>
                  <w14:solidFill>
                    <w14:schemeClr w14:val="tx1"/>
                  </w14:solidFill>
                </w14:textFill>
              </w:rPr>
              <w:t>信名单；</w:t>
            </w:r>
          </w:p>
        </w:tc>
        <w:tc>
          <w:tcPr>
            <w:tcW w:w="3850" w:type="dxa"/>
            <w:vAlign w:val="center"/>
          </w:tcPr>
          <w:p w14:paraId="5CE1304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02B71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625" w:type="dxa"/>
          </w:tcPr>
          <w:p w14:paraId="4D9CF0C5">
            <w:pPr>
              <w:kinsoku w:val="0"/>
              <w:autoSpaceDE w:val="0"/>
              <w:autoSpaceDN w:val="0"/>
              <w:adjustRightInd w:val="0"/>
              <w:snapToGrid w:val="0"/>
              <w:spacing w:before="266" w:line="234" w:lineRule="auto"/>
              <w:ind w:right="13"/>
              <w:jc w:val="righ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6"/>
                <w:kern w:val="0"/>
                <w:szCs w:val="21"/>
                <w:highlight w:val="none"/>
                <w14:textFill>
                  <w14:solidFill>
                    <w14:schemeClr w14:val="tx1"/>
                  </w14:solidFill>
                </w14:textFill>
              </w:rPr>
              <w:t>（6）在“信用中国</w:t>
            </w:r>
            <w:r>
              <w:rPr>
                <w:rFonts w:ascii="宋体" w:hAnsi="宋体" w:cs="宋体"/>
                <w:snapToGrid w:val="0"/>
                <w:color w:val="000000" w:themeColor="text1"/>
                <w:spacing w:val="-70"/>
                <w:kern w:val="0"/>
                <w:szCs w:val="21"/>
                <w:highlight w:val="none"/>
                <w14:textFill>
                  <w14:solidFill>
                    <w14:schemeClr w14:val="tx1"/>
                  </w14:solidFill>
                </w14:textFill>
              </w:rPr>
              <w:t xml:space="preserve"> </w:t>
            </w:r>
            <w:r>
              <w:rPr>
                <w:rFonts w:ascii="宋体" w:hAnsi="宋体" w:cs="宋体"/>
                <w:snapToGrid w:val="0"/>
                <w:color w:val="000000" w:themeColor="text1"/>
                <w:spacing w:val="6"/>
                <w:kern w:val="0"/>
                <w:szCs w:val="21"/>
                <w:highlight w:val="none"/>
                <w14:textFill>
                  <w14:solidFill>
                    <w14:schemeClr w14:val="tx1"/>
                  </w14:solidFill>
                </w14:textFill>
              </w:rPr>
              <w:t>”网站中被列入失信</w:t>
            </w:r>
            <w:r>
              <w:rPr>
                <w:rFonts w:ascii="宋体" w:hAnsi="宋体" w:cs="宋体"/>
                <w:snapToGrid w:val="0"/>
                <w:color w:val="000000" w:themeColor="text1"/>
                <w:spacing w:val="5"/>
                <w:kern w:val="0"/>
                <w:szCs w:val="21"/>
                <w:highlight w:val="none"/>
                <w14:textFill>
                  <w14:solidFill>
                    <w14:schemeClr w14:val="tx1"/>
                  </w14:solidFill>
                </w14:textFill>
              </w:rPr>
              <w:t>被执行人名单；</w:t>
            </w:r>
          </w:p>
        </w:tc>
        <w:tc>
          <w:tcPr>
            <w:tcW w:w="3850" w:type="dxa"/>
            <w:vAlign w:val="center"/>
          </w:tcPr>
          <w:p w14:paraId="33C13F0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2BEF2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5625" w:type="dxa"/>
          </w:tcPr>
          <w:p w14:paraId="717344F3">
            <w:pPr>
              <w:kinsoku w:val="0"/>
              <w:autoSpaceDE w:val="0"/>
              <w:autoSpaceDN w:val="0"/>
              <w:adjustRightInd w:val="0"/>
              <w:snapToGrid w:val="0"/>
              <w:spacing w:before="144" w:line="323" w:lineRule="auto"/>
              <w:ind w:left="114" w:right="108" w:firstLine="10"/>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（7）投标人及其法定代表人、拟委任的项目经理（以及</w:t>
            </w:r>
            <w:r>
              <w:rPr>
                <w:rFonts w:ascii="宋体" w:hAnsi="宋体" w:cs="宋体"/>
                <w:snapToGrid w:val="0"/>
                <w:color w:val="000000" w:themeColor="text1"/>
                <w:spacing w:val="11"/>
                <w:kern w:val="0"/>
                <w:szCs w:val="21"/>
                <w:highlight w:val="none"/>
                <w14:textFill>
                  <w14:solidFill>
                    <w14:schemeClr w14:val="tx1"/>
                  </w14:solidFill>
                </w14:textFill>
              </w:rPr>
              <w:t>备选人，如有）</w:t>
            </w:r>
            <w:r>
              <w:rPr>
                <w:rFonts w:ascii="宋体" w:hAnsi="宋体" w:cs="宋体"/>
                <w:snapToGrid w:val="0"/>
                <w:color w:val="000000" w:themeColor="text1"/>
                <w:spacing w:val="-50"/>
                <w:kern w:val="0"/>
                <w:szCs w:val="21"/>
                <w:highlight w:val="none"/>
                <w14:textFill>
                  <w14:solidFill>
                    <w14:schemeClr w14:val="tx1"/>
                  </w14:solidFill>
                </w14:textFill>
              </w:rPr>
              <w:t xml:space="preserve"> </w:t>
            </w:r>
            <w:r>
              <w:rPr>
                <w:rFonts w:ascii="宋体" w:hAnsi="宋体" w:cs="宋体"/>
                <w:snapToGrid w:val="0"/>
                <w:color w:val="000000" w:themeColor="text1"/>
                <w:spacing w:val="11"/>
                <w:kern w:val="0"/>
                <w:szCs w:val="21"/>
                <w:highlight w:val="none"/>
                <w14:textFill>
                  <w14:solidFill>
                    <w14:schemeClr w14:val="tx1"/>
                  </w14:solidFill>
                </w14:textFill>
              </w:rPr>
              <w:t>、项目总工（以及备选人，如有）在近</w:t>
            </w:r>
            <w:r>
              <w:rPr>
                <w:rFonts w:ascii="宋体" w:hAnsi="宋体" w:cs="宋体"/>
                <w:snapToGrid w:val="0"/>
                <w:color w:val="000000" w:themeColor="text1"/>
                <w:spacing w:val="8"/>
                <w:kern w:val="0"/>
                <w:szCs w:val="21"/>
                <w:highlight w:val="none"/>
                <w14:textFill>
                  <w14:solidFill>
                    <w14:schemeClr w14:val="tx1"/>
                  </w14:solidFill>
                </w14:textFill>
              </w:rPr>
              <w:t>三年内有行贿犯罪行为的；</w:t>
            </w:r>
          </w:p>
        </w:tc>
        <w:tc>
          <w:tcPr>
            <w:tcW w:w="3850" w:type="dxa"/>
            <w:vAlign w:val="center"/>
          </w:tcPr>
          <w:p w14:paraId="7826969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28844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625" w:type="dxa"/>
          </w:tcPr>
          <w:p w14:paraId="5D34CD12">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FD8482C">
            <w:pPr>
              <w:kinsoku w:val="0"/>
              <w:autoSpaceDE w:val="0"/>
              <w:autoSpaceDN w:val="0"/>
              <w:adjustRightInd w:val="0"/>
              <w:snapToGrid w:val="0"/>
              <w:spacing w:before="65" w:line="227" w:lineRule="auto"/>
              <w:ind w:left="125"/>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（8）法律法规或投标人须知前附表规定的其他情形。</w:t>
            </w:r>
          </w:p>
        </w:tc>
        <w:tc>
          <w:tcPr>
            <w:tcW w:w="3850" w:type="dxa"/>
            <w:vAlign w:val="center"/>
          </w:tcPr>
          <w:p w14:paraId="5254F6B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14:textFill>
                  <w14:solidFill>
                    <w14:schemeClr w14:val="tx1"/>
                  </w14:solidFill>
                </w14:textFill>
              </w:rPr>
            </w:pPr>
          </w:p>
        </w:tc>
      </w:tr>
      <w:tr w14:paraId="32864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5625" w:type="dxa"/>
          </w:tcPr>
          <w:p w14:paraId="102417D4">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CF1B3ED">
            <w:pPr>
              <w:kinsoku w:val="0"/>
              <w:autoSpaceDE w:val="0"/>
              <w:autoSpaceDN w:val="0"/>
              <w:adjustRightInd w:val="0"/>
              <w:snapToGrid w:val="0"/>
              <w:spacing w:before="65" w:line="324" w:lineRule="exact"/>
              <w:ind w:left="12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2"/>
                <w:kern w:val="0"/>
                <w:position w:val="2"/>
                <w:szCs w:val="21"/>
                <w:highlight w:val="none"/>
                <w:lang w:eastAsia="en-US"/>
                <w14:textFill>
                  <w14:solidFill>
                    <w14:schemeClr w14:val="tx1"/>
                  </w14:solidFill>
                </w14:textFill>
              </w:rPr>
              <w:t>……</w:t>
            </w:r>
          </w:p>
        </w:tc>
        <w:tc>
          <w:tcPr>
            <w:tcW w:w="3850" w:type="dxa"/>
            <w:vAlign w:val="center"/>
          </w:tcPr>
          <w:p w14:paraId="71BC996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697A97FA">
      <w:pPr>
        <w:widowControl/>
        <w:kinsoku w:val="0"/>
        <w:autoSpaceDE w:val="0"/>
        <w:autoSpaceDN w:val="0"/>
        <w:adjustRightInd w:val="0"/>
        <w:snapToGrid w:val="0"/>
        <w:spacing w:before="52" w:line="232" w:lineRule="auto"/>
        <w:ind w:left="119"/>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510DA5FE">
      <w:pPr>
        <w:widowControl/>
        <w:kinsoku w:val="0"/>
        <w:autoSpaceDE w:val="0"/>
        <w:autoSpaceDN w:val="0"/>
        <w:adjustRightInd w:val="0"/>
        <w:snapToGrid w:val="0"/>
        <w:spacing w:before="61" w:line="257" w:lineRule="auto"/>
        <w:ind w:left="136" w:right="113" w:hanging="1"/>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1.投标人应按照招标文件第二章“投标人须知</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”前附表附录</w:t>
      </w:r>
      <w:r>
        <w:rPr>
          <w:rFonts w:ascii="宋体" w:hAnsi="宋体" w:cs="宋体"/>
          <w:snapToGrid w:val="0"/>
          <w:color w:val="000000" w:themeColor="text1"/>
          <w:spacing w:val="-4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4</w:t>
      </w:r>
      <w:r>
        <w:rPr>
          <w:rFonts w:ascii="宋体" w:hAnsi="宋体" w:cs="宋体"/>
          <w:snapToGrid w:val="0"/>
          <w:color w:val="000000" w:themeColor="text1"/>
          <w:spacing w:val="-34"/>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和“投标人须知</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2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1.4.4</w:t>
      </w:r>
      <w:r>
        <w:rPr>
          <w:rFonts w:ascii="宋体" w:hAnsi="宋体" w:cs="宋体"/>
          <w:snapToGrid w:val="0"/>
          <w:color w:val="000000" w:themeColor="text1"/>
          <w:spacing w:val="-3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条</w:t>
      </w:r>
      <w:r>
        <w:rPr>
          <w:rFonts w:ascii="宋体" w:hAnsi="宋体" w:cs="宋体"/>
          <w:snapToGrid w:val="0"/>
          <w:color w:val="000000" w:themeColor="text1"/>
          <w:spacing w:val="6"/>
          <w:kern w:val="0"/>
          <w:sz w:val="20"/>
          <w:szCs w:val="20"/>
          <w:highlight w:val="none"/>
          <w14:textFill>
            <w14:solidFill>
              <w14:schemeClr w14:val="tx1"/>
            </w14:solidFill>
          </w14:textFill>
        </w:rPr>
        <w:t>款号中</w:t>
      </w:r>
      <w:r>
        <w:rPr>
          <w:rFonts w:ascii="宋体" w:hAnsi="宋体" w:cs="宋体"/>
          <w:snapToGrid w:val="0"/>
          <w:color w:val="000000" w:themeColor="text1"/>
          <w:spacing w:val="7"/>
          <w:kern w:val="0"/>
          <w:sz w:val="20"/>
          <w:szCs w:val="20"/>
          <w:highlight w:val="none"/>
          <w14:textFill>
            <w14:solidFill>
              <w14:schemeClr w14:val="tx1"/>
            </w14:solidFill>
          </w14:textFill>
        </w:rPr>
        <w:t>的各项规定，逐条说明其信誉情况。</w:t>
      </w:r>
    </w:p>
    <w:p w14:paraId="1F5C7939">
      <w:pPr>
        <w:widowControl/>
        <w:kinsoku w:val="0"/>
        <w:autoSpaceDE w:val="0"/>
        <w:autoSpaceDN w:val="0"/>
        <w:adjustRightInd w:val="0"/>
        <w:snapToGrid w:val="0"/>
        <w:spacing w:before="66" w:line="227" w:lineRule="auto"/>
        <w:ind w:left="122"/>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2.投标人应根据招标文件第二章“投标人须知</w:t>
      </w:r>
      <w:r>
        <w:rPr>
          <w:rFonts w:ascii="宋体" w:hAnsi="宋体" w:cs="宋体"/>
          <w:snapToGrid w:val="0"/>
          <w:color w:val="000000" w:themeColor="text1"/>
          <w:spacing w:val="-7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3.5.4</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0BD9D1DD">
      <w:pPr>
        <w:widowControl/>
        <w:kinsoku w:val="0"/>
        <w:autoSpaceDE w:val="0"/>
        <w:autoSpaceDN w:val="0"/>
        <w:adjustRightInd w:val="0"/>
        <w:snapToGrid w:val="0"/>
        <w:spacing w:before="67" w:line="228" w:lineRule="auto"/>
        <w:ind w:left="12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3.以联合体形式投标的，联合体各成员应分别填写。</w:t>
      </w:r>
    </w:p>
    <w:p w14:paraId="0286BF7B">
      <w:pPr>
        <w:kinsoku w:val="0"/>
        <w:autoSpaceDE w:val="0"/>
        <w:autoSpaceDN w:val="0"/>
        <w:adjustRightInd w:val="0"/>
        <w:snapToGrid w:val="0"/>
        <w:spacing w:line="26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C03ADAF">
      <w:pPr>
        <w:kinsoku w:val="0"/>
        <w:autoSpaceDE w:val="0"/>
        <w:autoSpaceDN w:val="0"/>
        <w:adjustRightInd w:val="0"/>
        <w:snapToGrid w:val="0"/>
        <w:spacing w:line="26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B0351AB">
      <w:pPr>
        <w:kinsoku w:val="0"/>
        <w:autoSpaceDE w:val="0"/>
        <w:autoSpaceDN w:val="0"/>
        <w:adjustRightInd w:val="0"/>
        <w:snapToGrid w:val="0"/>
        <w:spacing w:line="26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0811EFA">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6C2DA66">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F9C8380">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57DD991">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7CF4FA3">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006B9DC">
      <w:pPr>
        <w:pStyle w:val="6"/>
        <w:spacing w:before="168" w:after="120"/>
        <w:jc w:val="center"/>
        <w:rPr>
          <w:color w:val="000000" w:themeColor="text1"/>
          <w:highlight w:val="none"/>
          <w14:textFill>
            <w14:solidFill>
              <w14:schemeClr w14:val="tx1"/>
            </w14:solidFill>
          </w14:textFill>
        </w:rPr>
      </w:pPr>
      <w:bookmarkStart w:id="446" w:name="_Toc19079"/>
      <w:r>
        <w:rPr>
          <w:color w:val="000000" w:themeColor="text1"/>
          <w:highlight w:val="none"/>
          <w14:textFill>
            <w14:solidFill>
              <w14:schemeClr w14:val="tx1"/>
            </w14:solidFill>
          </w14:textFill>
        </w:rPr>
        <w:t>（六）拟委任的项目经理和项目总工等主要管理人员情况表</w:t>
      </w:r>
      <w:bookmarkEnd w:id="446"/>
    </w:p>
    <w:p w14:paraId="241FD87F">
      <w:pPr>
        <w:widowControl/>
        <w:kinsoku w:val="0"/>
        <w:autoSpaceDE w:val="0"/>
        <w:autoSpaceDN w:val="0"/>
        <w:adjustRightInd w:val="0"/>
        <w:snapToGrid w:val="0"/>
        <w:spacing w:before="291" w:line="219" w:lineRule="auto"/>
        <w:jc w:val="center"/>
        <w:textAlignment w:val="baseline"/>
        <w:rPr>
          <w:rFonts w:hint="eastAsia" w:ascii="宋体" w:hAnsi="宋体" w:cs="宋体"/>
          <w:snapToGrid w:val="0"/>
          <w:color w:val="000000" w:themeColor="text1"/>
          <w:kern w:val="0"/>
          <w:sz w:val="28"/>
          <w:szCs w:val="28"/>
          <w:highlight w:val="none"/>
          <w14:textFill>
            <w14:solidFill>
              <w14:schemeClr w14:val="tx1"/>
            </w14:solidFill>
          </w14:textFill>
        </w:rPr>
      </w:pPr>
      <w:r>
        <w:rPr>
          <w:rFonts w:ascii="宋体" w:hAnsi="宋体" w:cs="宋体"/>
          <w:b/>
          <w:bCs/>
          <w:snapToGrid w:val="0"/>
          <w:color w:val="000000" w:themeColor="text1"/>
          <w:kern w:val="0"/>
          <w:sz w:val="24"/>
          <w:highlight w:val="none"/>
          <w14:textFill>
            <w14:solidFill>
              <w14:schemeClr w14:val="tx1"/>
            </w14:solidFill>
          </w14:textFill>
        </w:rPr>
        <w:t>（六）-1</w:t>
      </w:r>
      <w:r>
        <w:rPr>
          <w:rFonts w:hint="eastAsia" w:ascii="宋体" w:hAnsi="宋体" w:cs="宋体"/>
          <w:b/>
          <w:bCs/>
          <w:snapToGrid w:val="0"/>
          <w:color w:val="000000" w:themeColor="text1"/>
          <w:kern w:val="0"/>
          <w:sz w:val="24"/>
          <w:highlight w:val="none"/>
          <w14:textFill>
            <w14:solidFill>
              <w14:schemeClr w14:val="tx1"/>
            </w14:solidFill>
          </w14:textFill>
        </w:rPr>
        <w:t xml:space="preserve"> </w:t>
      </w:r>
      <w:r>
        <w:rPr>
          <w:rFonts w:ascii="宋体" w:hAnsi="宋体" w:cs="宋体"/>
          <w:b/>
          <w:bCs/>
          <w:snapToGrid w:val="0"/>
          <w:color w:val="000000" w:themeColor="text1"/>
          <w:kern w:val="0"/>
          <w:sz w:val="24"/>
          <w:highlight w:val="none"/>
          <w14:textFill>
            <w14:solidFill>
              <w14:schemeClr w14:val="tx1"/>
            </w14:solidFill>
          </w14:textFill>
        </w:rPr>
        <w:t>拟委任的项目经理和项目总工等主要管理人员汇</w:t>
      </w:r>
      <w:r>
        <w:rPr>
          <w:rFonts w:ascii="宋体" w:hAnsi="宋体" w:cs="宋体"/>
          <w:b/>
          <w:bCs/>
          <w:snapToGrid w:val="0"/>
          <w:color w:val="000000" w:themeColor="text1"/>
          <w:spacing w:val="-1"/>
          <w:kern w:val="0"/>
          <w:sz w:val="24"/>
          <w:highlight w:val="none"/>
          <w14:textFill>
            <w14:solidFill>
              <w14:schemeClr w14:val="tx1"/>
            </w14:solidFill>
          </w14:textFill>
        </w:rPr>
        <w:t>总表</w:t>
      </w:r>
    </w:p>
    <w:p w14:paraId="4525769B">
      <w:pPr>
        <w:widowControl/>
        <w:kinsoku w:val="0"/>
        <w:autoSpaceDE w:val="0"/>
        <w:autoSpaceDN w:val="0"/>
        <w:adjustRightInd w:val="0"/>
        <w:snapToGrid w:val="0"/>
        <w:spacing w:before="3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35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2"/>
        <w:gridCol w:w="945"/>
        <w:gridCol w:w="1650"/>
        <w:gridCol w:w="1214"/>
        <w:gridCol w:w="1711"/>
        <w:gridCol w:w="1545"/>
        <w:gridCol w:w="1021"/>
      </w:tblGrid>
      <w:tr w14:paraId="25569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272" w:type="dxa"/>
          </w:tcPr>
          <w:p w14:paraId="605B9B41">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E7B116C">
            <w:pPr>
              <w:kinsoku w:val="0"/>
              <w:autoSpaceDE w:val="0"/>
              <w:autoSpaceDN w:val="0"/>
              <w:adjustRightInd w:val="0"/>
              <w:snapToGrid w:val="0"/>
              <w:spacing w:before="65" w:line="228" w:lineRule="auto"/>
              <w:ind w:left="49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4"/>
                <w:kern w:val="0"/>
                <w:szCs w:val="21"/>
                <w:highlight w:val="none"/>
                <w:lang w:eastAsia="en-US"/>
                <w14:textFill>
                  <w14:solidFill>
                    <w14:schemeClr w14:val="tx1"/>
                  </w14:solidFill>
                </w14:textFill>
              </w:rPr>
              <w:t>姓名</w:t>
            </w:r>
          </w:p>
        </w:tc>
        <w:tc>
          <w:tcPr>
            <w:tcW w:w="945" w:type="dxa"/>
          </w:tcPr>
          <w:p w14:paraId="02AB5005">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4FF1D1A5">
            <w:pPr>
              <w:kinsoku w:val="0"/>
              <w:autoSpaceDE w:val="0"/>
              <w:autoSpaceDN w:val="0"/>
              <w:adjustRightInd w:val="0"/>
              <w:snapToGrid w:val="0"/>
              <w:spacing w:before="65" w:line="228" w:lineRule="auto"/>
              <w:ind w:left="26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4"/>
                <w:kern w:val="0"/>
                <w:szCs w:val="21"/>
                <w:highlight w:val="none"/>
                <w:lang w:eastAsia="en-US"/>
                <w14:textFill>
                  <w14:solidFill>
                    <w14:schemeClr w14:val="tx1"/>
                  </w14:solidFill>
                </w14:textFill>
              </w:rPr>
              <w:t>年龄</w:t>
            </w:r>
          </w:p>
        </w:tc>
        <w:tc>
          <w:tcPr>
            <w:tcW w:w="1650" w:type="dxa"/>
          </w:tcPr>
          <w:p w14:paraId="049E94E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92381FA">
            <w:pPr>
              <w:kinsoku w:val="0"/>
              <w:autoSpaceDE w:val="0"/>
              <w:autoSpaceDN w:val="0"/>
              <w:adjustRightInd w:val="0"/>
              <w:snapToGrid w:val="0"/>
              <w:spacing w:before="65" w:line="289" w:lineRule="auto"/>
              <w:ind w:left="222" w:right="113" w:hanging="106"/>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拟在本项目中</w:t>
            </w:r>
            <w:r>
              <w:rPr>
                <w:rFonts w:ascii="宋体" w:hAnsi="宋体" w:cs="宋体"/>
                <w:snapToGrid w:val="0"/>
                <w:color w:val="000000" w:themeColor="text1"/>
                <w:spacing w:val="7"/>
                <w:kern w:val="0"/>
                <w:szCs w:val="21"/>
                <w:highlight w:val="none"/>
                <w14:textFill>
                  <w14:solidFill>
                    <w14:schemeClr w14:val="tx1"/>
                  </w14:solidFill>
                </w14:textFill>
              </w:rPr>
              <w:t>担任的职务</w:t>
            </w:r>
          </w:p>
        </w:tc>
        <w:tc>
          <w:tcPr>
            <w:tcW w:w="1214" w:type="dxa"/>
          </w:tcPr>
          <w:p w14:paraId="3A003838">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AE797F0">
            <w:pPr>
              <w:kinsoku w:val="0"/>
              <w:autoSpaceDE w:val="0"/>
              <w:autoSpaceDN w:val="0"/>
              <w:adjustRightInd w:val="0"/>
              <w:snapToGrid w:val="0"/>
              <w:spacing w:before="65" w:line="228" w:lineRule="auto"/>
              <w:ind w:left="21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技术职称</w:t>
            </w:r>
          </w:p>
        </w:tc>
        <w:tc>
          <w:tcPr>
            <w:tcW w:w="1711" w:type="dxa"/>
          </w:tcPr>
          <w:p w14:paraId="14434DDE">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F1D4650">
            <w:pPr>
              <w:kinsoku w:val="0"/>
              <w:autoSpaceDE w:val="0"/>
              <w:autoSpaceDN w:val="0"/>
              <w:adjustRightInd w:val="0"/>
              <w:snapToGrid w:val="0"/>
              <w:spacing w:before="66" w:line="290" w:lineRule="auto"/>
              <w:ind w:left="446" w:right="126" w:hanging="311"/>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建造师类别及</w:t>
            </w:r>
            <w:r>
              <w:rPr>
                <w:rFonts w:ascii="宋体" w:hAnsi="宋体" w:cs="宋体"/>
                <w:snapToGrid w:val="0"/>
                <w:color w:val="000000" w:themeColor="text1"/>
                <w:spacing w:val="6"/>
                <w:kern w:val="0"/>
                <w:szCs w:val="21"/>
                <w:highlight w:val="none"/>
                <w:lang w:eastAsia="en-US"/>
                <w14:textFill>
                  <w14:solidFill>
                    <w14:schemeClr w14:val="tx1"/>
                  </w14:solidFill>
                </w14:textFill>
              </w:rPr>
              <w:t>注册号</w:t>
            </w:r>
          </w:p>
        </w:tc>
        <w:tc>
          <w:tcPr>
            <w:tcW w:w="1545" w:type="dxa"/>
          </w:tcPr>
          <w:p w14:paraId="2DEADBF1">
            <w:pPr>
              <w:kinsoku w:val="0"/>
              <w:autoSpaceDE w:val="0"/>
              <w:autoSpaceDN w:val="0"/>
              <w:adjustRightInd w:val="0"/>
              <w:snapToGrid w:val="0"/>
              <w:spacing w:before="156" w:line="228" w:lineRule="auto"/>
              <w:ind w:left="175"/>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6"/>
                <w:kern w:val="0"/>
                <w:szCs w:val="21"/>
                <w:highlight w:val="none"/>
                <w14:textFill>
                  <w14:solidFill>
                    <w14:schemeClr w14:val="tx1"/>
                  </w14:solidFill>
                </w14:textFill>
              </w:rPr>
              <w:t>累计对应岗位</w:t>
            </w:r>
          </w:p>
          <w:p w14:paraId="6A085E67">
            <w:pPr>
              <w:kinsoku w:val="0"/>
              <w:autoSpaceDE w:val="0"/>
              <w:autoSpaceDN w:val="0"/>
              <w:adjustRightInd w:val="0"/>
              <w:snapToGrid w:val="0"/>
              <w:spacing w:before="64" w:line="228" w:lineRule="auto"/>
              <w:ind w:left="290"/>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4"/>
                <w:kern w:val="0"/>
                <w:szCs w:val="21"/>
                <w:highlight w:val="none"/>
                <w14:textFill>
                  <w14:solidFill>
                    <w14:schemeClr w14:val="tx1"/>
                  </w14:solidFill>
                </w14:textFill>
              </w:rPr>
              <w:t>的工作年限</w:t>
            </w:r>
          </w:p>
          <w:p w14:paraId="261D4EB2">
            <w:pPr>
              <w:kinsoku w:val="0"/>
              <w:autoSpaceDE w:val="0"/>
              <w:autoSpaceDN w:val="0"/>
              <w:adjustRightInd w:val="0"/>
              <w:snapToGrid w:val="0"/>
              <w:spacing w:before="64" w:line="228" w:lineRule="auto"/>
              <w:ind w:left="491"/>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1"/>
                <w:kern w:val="0"/>
                <w:szCs w:val="21"/>
                <w:highlight w:val="none"/>
                <w:lang w:eastAsia="en-US"/>
                <w14:textFill>
                  <w14:solidFill>
                    <w14:schemeClr w14:val="tx1"/>
                  </w14:solidFill>
                </w14:textFill>
              </w:rPr>
              <w:t>（月）</w:t>
            </w:r>
          </w:p>
        </w:tc>
        <w:tc>
          <w:tcPr>
            <w:tcW w:w="1021" w:type="dxa"/>
          </w:tcPr>
          <w:p w14:paraId="4E3101C5">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07D931F1">
            <w:pPr>
              <w:kinsoku w:val="0"/>
              <w:autoSpaceDE w:val="0"/>
              <w:autoSpaceDN w:val="0"/>
              <w:adjustRightInd w:val="0"/>
              <w:snapToGrid w:val="0"/>
              <w:spacing w:before="65" w:line="229" w:lineRule="auto"/>
              <w:ind w:left="38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szCs w:val="21"/>
                <w:highlight w:val="none"/>
                <w:lang w:eastAsia="en-US"/>
                <w14:textFill>
                  <w14:solidFill>
                    <w14:schemeClr w14:val="tx1"/>
                  </w14:solidFill>
                </w14:textFill>
              </w:rPr>
              <w:t>备注</w:t>
            </w:r>
          </w:p>
        </w:tc>
      </w:tr>
      <w:tr w14:paraId="19EE7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247B3DB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945" w:type="dxa"/>
            <w:vAlign w:val="center"/>
          </w:tcPr>
          <w:p w14:paraId="013A0F5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50" w:type="dxa"/>
            <w:vAlign w:val="center"/>
          </w:tcPr>
          <w:p w14:paraId="1C1B4BE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14" w:type="dxa"/>
            <w:vAlign w:val="center"/>
          </w:tcPr>
          <w:p w14:paraId="07AF977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11" w:type="dxa"/>
            <w:vAlign w:val="center"/>
          </w:tcPr>
          <w:p w14:paraId="38018F0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45" w:type="dxa"/>
            <w:vAlign w:val="center"/>
          </w:tcPr>
          <w:p w14:paraId="7C91908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21" w:type="dxa"/>
            <w:vAlign w:val="center"/>
          </w:tcPr>
          <w:p w14:paraId="57F274D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2672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3D1FF4B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945" w:type="dxa"/>
            <w:vAlign w:val="center"/>
          </w:tcPr>
          <w:p w14:paraId="1E3F592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50" w:type="dxa"/>
            <w:vAlign w:val="center"/>
          </w:tcPr>
          <w:p w14:paraId="248D117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14" w:type="dxa"/>
            <w:vAlign w:val="center"/>
          </w:tcPr>
          <w:p w14:paraId="45A6FA5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11" w:type="dxa"/>
            <w:vAlign w:val="center"/>
          </w:tcPr>
          <w:p w14:paraId="05521F8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45" w:type="dxa"/>
            <w:vAlign w:val="center"/>
          </w:tcPr>
          <w:p w14:paraId="00B3166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21" w:type="dxa"/>
            <w:vAlign w:val="center"/>
          </w:tcPr>
          <w:p w14:paraId="294C20C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9C33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06EDE20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945" w:type="dxa"/>
            <w:vAlign w:val="center"/>
          </w:tcPr>
          <w:p w14:paraId="35583D2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50" w:type="dxa"/>
            <w:vAlign w:val="center"/>
          </w:tcPr>
          <w:p w14:paraId="6B4A92C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14" w:type="dxa"/>
            <w:vAlign w:val="center"/>
          </w:tcPr>
          <w:p w14:paraId="678DDEF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11" w:type="dxa"/>
            <w:vAlign w:val="center"/>
          </w:tcPr>
          <w:p w14:paraId="74DD0AF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45" w:type="dxa"/>
            <w:vAlign w:val="center"/>
          </w:tcPr>
          <w:p w14:paraId="0C249E6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21" w:type="dxa"/>
            <w:vAlign w:val="center"/>
          </w:tcPr>
          <w:p w14:paraId="0234E33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7475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1272" w:type="dxa"/>
            <w:vAlign w:val="center"/>
          </w:tcPr>
          <w:p w14:paraId="7180951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945" w:type="dxa"/>
            <w:vAlign w:val="center"/>
          </w:tcPr>
          <w:p w14:paraId="76EB677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50" w:type="dxa"/>
            <w:vAlign w:val="center"/>
          </w:tcPr>
          <w:p w14:paraId="46070CB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14" w:type="dxa"/>
            <w:vAlign w:val="center"/>
          </w:tcPr>
          <w:p w14:paraId="60D89E0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711" w:type="dxa"/>
            <w:vAlign w:val="center"/>
          </w:tcPr>
          <w:p w14:paraId="0DD5DDA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45" w:type="dxa"/>
            <w:vAlign w:val="center"/>
          </w:tcPr>
          <w:p w14:paraId="7ABFA19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21" w:type="dxa"/>
            <w:vAlign w:val="center"/>
          </w:tcPr>
          <w:p w14:paraId="3C34887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5CEEE8D8">
      <w:pPr>
        <w:kinsoku w:val="0"/>
        <w:autoSpaceDE w:val="0"/>
        <w:autoSpaceDN w:val="0"/>
        <w:adjustRightInd w:val="0"/>
        <w:snapToGrid w:val="0"/>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B0E72BD">
      <w:pPr>
        <w:rPr>
          <w:color w:val="000000" w:themeColor="text1"/>
          <w:highlight w:val="none"/>
          <w14:textFill>
            <w14:solidFill>
              <w14:schemeClr w14:val="tx1"/>
            </w14:solidFill>
          </w14:textFill>
        </w:rPr>
        <w:sectPr>
          <w:headerReference r:id="rId112" w:type="default"/>
          <w:footerReference r:id="rId113" w:type="default"/>
          <w:pgSz w:w="11906" w:h="16839"/>
          <w:pgMar w:top="1182" w:right="1271" w:bottom="1168" w:left="1271" w:header="849" w:footer="934" w:gutter="0"/>
          <w:cols w:space="720" w:num="1"/>
        </w:sectPr>
      </w:pPr>
    </w:p>
    <w:p w14:paraId="679960D4">
      <w:pPr>
        <w:kinsoku w:val="0"/>
        <w:autoSpaceDE w:val="0"/>
        <w:autoSpaceDN w:val="0"/>
        <w:adjustRightInd w:val="0"/>
        <w:snapToGrid w:val="0"/>
        <w:spacing w:line="31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02371F8">
      <w:pPr>
        <w:widowControl/>
        <w:kinsoku w:val="0"/>
        <w:autoSpaceDE w:val="0"/>
        <w:autoSpaceDN w:val="0"/>
        <w:adjustRightInd w:val="0"/>
        <w:snapToGrid w:val="0"/>
        <w:spacing w:before="91" w:line="219" w:lineRule="auto"/>
        <w:jc w:val="center"/>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b/>
          <w:bCs/>
          <w:snapToGrid w:val="0"/>
          <w:color w:val="000000" w:themeColor="text1"/>
          <w:spacing w:val="-3"/>
          <w:kern w:val="0"/>
          <w:sz w:val="24"/>
          <w:highlight w:val="none"/>
          <w14:textFill>
            <w14:solidFill>
              <w14:schemeClr w14:val="tx1"/>
            </w14:solidFill>
          </w14:textFill>
        </w:rPr>
        <w:t>（六）-2</w:t>
      </w:r>
      <w:r>
        <w:rPr>
          <w:rFonts w:hint="eastAsia" w:ascii="宋体" w:hAnsi="宋体" w:cs="宋体"/>
          <w:b/>
          <w:bCs/>
          <w:snapToGrid w:val="0"/>
          <w:color w:val="000000" w:themeColor="text1"/>
          <w:spacing w:val="-3"/>
          <w:kern w:val="0"/>
          <w:sz w:val="24"/>
          <w:highlight w:val="none"/>
          <w14:textFill>
            <w14:solidFill>
              <w14:schemeClr w14:val="tx1"/>
            </w14:solidFill>
          </w14:textFill>
        </w:rPr>
        <w:t xml:space="preserve"> </w:t>
      </w:r>
      <w:r>
        <w:rPr>
          <w:rFonts w:ascii="宋体" w:hAnsi="宋体" w:cs="宋体"/>
          <w:snapToGrid w:val="0"/>
          <w:color w:val="000000" w:themeColor="text1"/>
          <w:spacing w:val="-58"/>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8"/>
          <w:kern w:val="0"/>
          <w:sz w:val="24"/>
          <w:highlight w:val="none"/>
          <w14:textFill>
            <w14:solidFill>
              <w14:schemeClr w14:val="tx1"/>
            </w14:solidFill>
          </w14:textFill>
        </w:rPr>
        <w:t xml:space="preserve"> </w:t>
      </w:r>
      <w:r>
        <w:rPr>
          <w:rFonts w:ascii="宋体" w:hAnsi="宋体" w:cs="宋体"/>
          <w:b/>
          <w:bCs/>
          <w:snapToGrid w:val="0"/>
          <w:color w:val="000000" w:themeColor="text1"/>
          <w:spacing w:val="-3"/>
          <w:kern w:val="0"/>
          <w:sz w:val="24"/>
          <w:highlight w:val="none"/>
          <w14:textFill>
            <w14:solidFill>
              <w14:schemeClr w14:val="tx1"/>
            </w14:solidFill>
          </w14:textFill>
        </w:rPr>
        <w:t>拟委任的项目经理和项目总工等主要管理人员资历表</w:t>
      </w:r>
    </w:p>
    <w:p w14:paraId="22554AEB">
      <w:pPr>
        <w:widowControl/>
        <w:kinsoku w:val="0"/>
        <w:autoSpaceDE w:val="0"/>
        <w:autoSpaceDN w:val="0"/>
        <w:adjustRightInd w:val="0"/>
        <w:snapToGrid w:val="0"/>
        <w:spacing w:before="34"/>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tbl>
      <w:tblPr>
        <w:tblStyle w:val="45"/>
        <w:tblW w:w="929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9"/>
        <w:gridCol w:w="1199"/>
        <w:gridCol w:w="1649"/>
        <w:gridCol w:w="1463"/>
        <w:gridCol w:w="1775"/>
        <w:gridCol w:w="1834"/>
      </w:tblGrid>
      <w:tr w14:paraId="73727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379" w:type="dxa"/>
          </w:tcPr>
          <w:p w14:paraId="3C8CE527">
            <w:pPr>
              <w:kinsoku w:val="0"/>
              <w:autoSpaceDE w:val="0"/>
              <w:autoSpaceDN w:val="0"/>
              <w:adjustRightInd w:val="0"/>
              <w:snapToGrid w:val="0"/>
              <w:spacing w:before="227" w:line="228" w:lineRule="auto"/>
              <w:ind w:left="48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姓名</w:t>
            </w:r>
          </w:p>
        </w:tc>
        <w:tc>
          <w:tcPr>
            <w:tcW w:w="1199" w:type="dxa"/>
            <w:vAlign w:val="center"/>
          </w:tcPr>
          <w:p w14:paraId="13A0B70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649" w:type="dxa"/>
          </w:tcPr>
          <w:p w14:paraId="4A21B722">
            <w:pPr>
              <w:kinsoku w:val="0"/>
              <w:autoSpaceDE w:val="0"/>
              <w:autoSpaceDN w:val="0"/>
              <w:adjustRightInd w:val="0"/>
              <w:snapToGrid w:val="0"/>
              <w:spacing w:before="227" w:line="228" w:lineRule="auto"/>
              <w:ind w:left="62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年龄</w:t>
            </w:r>
          </w:p>
        </w:tc>
        <w:tc>
          <w:tcPr>
            <w:tcW w:w="1463" w:type="dxa"/>
            <w:vAlign w:val="center"/>
          </w:tcPr>
          <w:p w14:paraId="0B41F66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tcPr>
          <w:p w14:paraId="14EC8296">
            <w:pPr>
              <w:kinsoku w:val="0"/>
              <w:autoSpaceDE w:val="0"/>
              <w:autoSpaceDN w:val="0"/>
              <w:adjustRightInd w:val="0"/>
              <w:snapToGrid w:val="0"/>
              <w:spacing w:before="228" w:line="228" w:lineRule="auto"/>
              <w:ind w:left="68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专业</w:t>
            </w:r>
          </w:p>
        </w:tc>
        <w:tc>
          <w:tcPr>
            <w:tcW w:w="1834" w:type="dxa"/>
            <w:vAlign w:val="center"/>
          </w:tcPr>
          <w:p w14:paraId="2D9CC1F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A304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2B151530">
            <w:pPr>
              <w:widowControl/>
              <w:kinsoku w:val="0"/>
              <w:autoSpaceDE w:val="0"/>
              <w:autoSpaceDN w:val="0"/>
              <w:adjustRightInd w:val="0"/>
              <w:snapToGrid w:val="0"/>
              <w:spacing w:line="273"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590F6F1A">
            <w:pPr>
              <w:kinsoku w:val="0"/>
              <w:autoSpaceDE w:val="0"/>
              <w:autoSpaceDN w:val="0"/>
              <w:adjustRightInd w:val="0"/>
              <w:snapToGrid w:val="0"/>
              <w:spacing w:before="65" w:line="228" w:lineRule="auto"/>
              <w:ind w:left="27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技术职称</w:t>
            </w:r>
          </w:p>
        </w:tc>
        <w:tc>
          <w:tcPr>
            <w:tcW w:w="1199" w:type="dxa"/>
            <w:vAlign w:val="center"/>
          </w:tcPr>
          <w:p w14:paraId="175C1C0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649" w:type="dxa"/>
          </w:tcPr>
          <w:p w14:paraId="096AD716">
            <w:pPr>
              <w:widowControl/>
              <w:kinsoku w:val="0"/>
              <w:autoSpaceDE w:val="0"/>
              <w:autoSpaceDN w:val="0"/>
              <w:adjustRightInd w:val="0"/>
              <w:snapToGrid w:val="0"/>
              <w:spacing w:line="274"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484CFF2A">
            <w:pPr>
              <w:kinsoku w:val="0"/>
              <w:autoSpaceDE w:val="0"/>
              <w:autoSpaceDN w:val="0"/>
              <w:adjustRightInd w:val="0"/>
              <w:snapToGrid w:val="0"/>
              <w:spacing w:before="65" w:line="229" w:lineRule="auto"/>
              <w:ind w:left="62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2"/>
                <w:kern w:val="0"/>
                <w:szCs w:val="21"/>
                <w:highlight w:val="none"/>
                <w:lang w:eastAsia="en-US"/>
                <w14:textFill>
                  <w14:solidFill>
                    <w14:schemeClr w14:val="tx1"/>
                  </w14:solidFill>
                </w14:textFill>
              </w:rPr>
              <w:t>学历</w:t>
            </w:r>
          </w:p>
        </w:tc>
        <w:tc>
          <w:tcPr>
            <w:tcW w:w="1463" w:type="dxa"/>
            <w:vAlign w:val="center"/>
          </w:tcPr>
          <w:p w14:paraId="18E8857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tcPr>
          <w:p w14:paraId="20A4CFAC">
            <w:pPr>
              <w:kinsoku w:val="0"/>
              <w:autoSpaceDE w:val="0"/>
              <w:autoSpaceDN w:val="0"/>
              <w:adjustRightInd w:val="0"/>
              <w:snapToGrid w:val="0"/>
              <w:spacing w:before="141" w:line="301" w:lineRule="auto"/>
              <w:ind w:left="476" w:right="360" w:hanging="108"/>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拟在本标段</w:t>
            </w: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工程任职</w:t>
            </w:r>
          </w:p>
        </w:tc>
        <w:tc>
          <w:tcPr>
            <w:tcW w:w="1834" w:type="dxa"/>
            <w:vAlign w:val="center"/>
          </w:tcPr>
          <w:p w14:paraId="57DB1EA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70F95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28853951">
            <w:pPr>
              <w:widowControl/>
              <w:kinsoku w:val="0"/>
              <w:autoSpaceDE w:val="0"/>
              <w:autoSpaceDN w:val="0"/>
              <w:adjustRightInd w:val="0"/>
              <w:snapToGrid w:val="0"/>
              <w:spacing w:line="275"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2632DB2">
            <w:pPr>
              <w:kinsoku w:val="0"/>
              <w:autoSpaceDE w:val="0"/>
              <w:autoSpaceDN w:val="0"/>
              <w:adjustRightInd w:val="0"/>
              <w:snapToGrid w:val="0"/>
              <w:spacing w:before="65" w:line="228" w:lineRule="auto"/>
              <w:ind w:left="27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工作年限</w:t>
            </w:r>
          </w:p>
        </w:tc>
        <w:tc>
          <w:tcPr>
            <w:tcW w:w="4311" w:type="dxa"/>
            <w:gridSpan w:val="3"/>
            <w:vAlign w:val="center"/>
          </w:tcPr>
          <w:p w14:paraId="1150A7F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tcPr>
          <w:p w14:paraId="49C0EB34">
            <w:pPr>
              <w:kinsoku w:val="0"/>
              <w:autoSpaceDE w:val="0"/>
              <w:autoSpaceDN w:val="0"/>
              <w:adjustRightInd w:val="0"/>
              <w:snapToGrid w:val="0"/>
              <w:spacing w:before="141" w:line="301" w:lineRule="auto"/>
              <w:ind w:left="685" w:right="254" w:hanging="42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8"/>
                <w:kern w:val="0"/>
                <w:szCs w:val="21"/>
                <w:highlight w:val="none"/>
                <w:lang w:eastAsia="en-US"/>
                <w14:textFill>
                  <w14:solidFill>
                    <w14:schemeClr w14:val="tx1"/>
                  </w14:solidFill>
                </w14:textFill>
              </w:rPr>
              <w:t>类似施工经验</w:t>
            </w:r>
            <w:r>
              <w:rPr>
                <w:rFonts w:hint="eastAsia" w:ascii="宋体" w:hAnsi="宋体" w:cs="宋体"/>
                <w:snapToGrid w:val="0"/>
                <w:color w:val="000000" w:themeColor="text1"/>
                <w:spacing w:val="4"/>
                <w:kern w:val="0"/>
                <w:szCs w:val="21"/>
                <w:highlight w:val="none"/>
                <w:lang w:eastAsia="en-US"/>
                <w14:textFill>
                  <w14:solidFill>
                    <w14:schemeClr w14:val="tx1"/>
                  </w14:solidFill>
                </w14:textFill>
              </w:rPr>
              <w:t>年限</w:t>
            </w:r>
          </w:p>
        </w:tc>
        <w:tc>
          <w:tcPr>
            <w:tcW w:w="1834" w:type="dxa"/>
            <w:vAlign w:val="center"/>
          </w:tcPr>
          <w:p w14:paraId="2576602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1655A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tcPr>
          <w:p w14:paraId="6BBD5777">
            <w:pPr>
              <w:kinsoku w:val="0"/>
              <w:autoSpaceDE w:val="0"/>
              <w:autoSpaceDN w:val="0"/>
              <w:adjustRightInd w:val="0"/>
              <w:snapToGrid w:val="0"/>
              <w:spacing w:before="224" w:line="228" w:lineRule="auto"/>
              <w:ind w:left="27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毕业学校</w:t>
            </w:r>
          </w:p>
        </w:tc>
        <w:tc>
          <w:tcPr>
            <w:tcW w:w="7920" w:type="dxa"/>
            <w:gridSpan w:val="5"/>
          </w:tcPr>
          <w:p w14:paraId="4227514A">
            <w:pPr>
              <w:kinsoku w:val="0"/>
              <w:autoSpaceDE w:val="0"/>
              <w:autoSpaceDN w:val="0"/>
              <w:adjustRightInd w:val="0"/>
              <w:snapToGrid w:val="0"/>
              <w:spacing w:before="225" w:line="221" w:lineRule="auto"/>
              <w:ind w:left="858"/>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4"/>
                <w:kern w:val="0"/>
                <w:szCs w:val="21"/>
                <w:highlight w:val="none"/>
                <w14:textFill>
                  <w14:solidFill>
                    <w14:schemeClr w14:val="tx1"/>
                  </w14:solidFill>
                </w14:textFill>
              </w:rPr>
              <w:t>______年___月毕业于___________学校________专业，学制______年</w:t>
            </w:r>
          </w:p>
        </w:tc>
      </w:tr>
      <w:tr w14:paraId="683E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99" w:type="dxa"/>
            <w:gridSpan w:val="6"/>
          </w:tcPr>
          <w:p w14:paraId="3D7C6D01">
            <w:pPr>
              <w:kinsoku w:val="0"/>
              <w:autoSpaceDE w:val="0"/>
              <w:autoSpaceDN w:val="0"/>
              <w:adjustRightInd w:val="0"/>
              <w:snapToGrid w:val="0"/>
              <w:spacing w:before="226" w:line="231" w:lineRule="auto"/>
              <w:ind w:left="444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经历</w:t>
            </w:r>
          </w:p>
        </w:tc>
      </w:tr>
      <w:tr w14:paraId="01B61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184D6C21">
            <w:pPr>
              <w:widowControl/>
              <w:kinsoku w:val="0"/>
              <w:autoSpaceDE w:val="0"/>
              <w:autoSpaceDN w:val="0"/>
              <w:adjustRightInd w:val="0"/>
              <w:snapToGrid w:val="0"/>
              <w:spacing w:line="276"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72960C43">
            <w:pPr>
              <w:kinsoku w:val="0"/>
              <w:autoSpaceDE w:val="0"/>
              <w:autoSpaceDN w:val="0"/>
              <w:adjustRightInd w:val="0"/>
              <w:snapToGrid w:val="0"/>
              <w:spacing w:before="65" w:line="230" w:lineRule="auto"/>
              <w:ind w:left="49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1"/>
                <w:kern w:val="0"/>
                <w:szCs w:val="21"/>
                <w:highlight w:val="none"/>
                <w:lang w:eastAsia="en-US"/>
                <w14:textFill>
                  <w14:solidFill>
                    <w14:schemeClr w14:val="tx1"/>
                  </w14:solidFill>
                </w14:textFill>
              </w:rPr>
              <w:t>时间</w:t>
            </w:r>
          </w:p>
        </w:tc>
        <w:tc>
          <w:tcPr>
            <w:tcW w:w="4311" w:type="dxa"/>
            <w:gridSpan w:val="3"/>
          </w:tcPr>
          <w:p w14:paraId="189D7A07">
            <w:pPr>
              <w:widowControl/>
              <w:kinsoku w:val="0"/>
              <w:autoSpaceDE w:val="0"/>
              <w:autoSpaceDN w:val="0"/>
              <w:adjustRightInd w:val="0"/>
              <w:snapToGrid w:val="0"/>
              <w:spacing w:line="276"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7E33C551">
            <w:pPr>
              <w:kinsoku w:val="0"/>
              <w:autoSpaceDE w:val="0"/>
              <w:autoSpaceDN w:val="0"/>
              <w:adjustRightInd w:val="0"/>
              <w:snapToGrid w:val="0"/>
              <w:spacing w:before="65" w:line="228" w:lineRule="auto"/>
              <w:ind w:left="901"/>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spacing w:val="8"/>
                <w:kern w:val="0"/>
                <w:szCs w:val="21"/>
                <w:highlight w:val="none"/>
                <w14:textFill>
                  <w14:solidFill>
                    <w14:schemeClr w14:val="tx1"/>
                  </w14:solidFill>
                </w14:textFill>
              </w:rPr>
              <w:t>参加过的类似工程项目名称</w:t>
            </w:r>
          </w:p>
        </w:tc>
        <w:tc>
          <w:tcPr>
            <w:tcW w:w="1775" w:type="dxa"/>
          </w:tcPr>
          <w:p w14:paraId="1E7A410F">
            <w:pPr>
              <w:widowControl/>
              <w:kinsoku w:val="0"/>
              <w:autoSpaceDE w:val="0"/>
              <w:autoSpaceDN w:val="0"/>
              <w:adjustRightInd w:val="0"/>
              <w:snapToGrid w:val="0"/>
              <w:spacing w:line="276" w:lineRule="auto"/>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p>
          <w:p w14:paraId="67F1325F">
            <w:pPr>
              <w:kinsoku w:val="0"/>
              <w:autoSpaceDE w:val="0"/>
              <w:autoSpaceDN w:val="0"/>
              <w:adjustRightInd w:val="0"/>
              <w:snapToGrid w:val="0"/>
              <w:spacing w:before="65" w:line="228" w:lineRule="auto"/>
              <w:ind w:left="47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担任职务</w:t>
            </w:r>
          </w:p>
        </w:tc>
        <w:tc>
          <w:tcPr>
            <w:tcW w:w="1834" w:type="dxa"/>
          </w:tcPr>
          <w:p w14:paraId="2051B0B7">
            <w:pPr>
              <w:kinsoku w:val="0"/>
              <w:autoSpaceDE w:val="0"/>
              <w:autoSpaceDN w:val="0"/>
              <w:adjustRightInd w:val="0"/>
              <w:snapToGrid w:val="0"/>
              <w:spacing w:before="144" w:line="228" w:lineRule="auto"/>
              <w:ind w:left="50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发包人及</w:t>
            </w:r>
          </w:p>
          <w:p w14:paraId="72478F3C">
            <w:pPr>
              <w:kinsoku w:val="0"/>
              <w:autoSpaceDE w:val="0"/>
              <w:autoSpaceDN w:val="0"/>
              <w:adjustRightInd w:val="0"/>
              <w:snapToGrid w:val="0"/>
              <w:spacing w:before="150" w:line="230" w:lineRule="auto"/>
              <w:ind w:left="502"/>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7"/>
                <w:kern w:val="0"/>
                <w:szCs w:val="21"/>
                <w:highlight w:val="none"/>
                <w:lang w:eastAsia="en-US"/>
                <w14:textFill>
                  <w14:solidFill>
                    <w14:schemeClr w14:val="tx1"/>
                  </w14:solidFill>
                </w14:textFill>
              </w:rPr>
              <w:t>联系电话</w:t>
            </w:r>
          </w:p>
        </w:tc>
      </w:tr>
      <w:tr w14:paraId="18E1D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419260A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360D4CA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588EE22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7BBFEA2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55E66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37D8824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71B2D70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4D8FD37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3B00059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0111C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3EDF880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16D64D5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13FCE2B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37A44404">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6BAE6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44C4661E">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0B5E841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4A5BF7A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56D0C5B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35EB3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7370C13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08CECEF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384FEDF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01E6818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46E60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75DE4403">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480E53A7">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6B96C97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54E4FC0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2B0AD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646514FB">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4F27743D">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300BEDE6">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0B9B5708">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46348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2819305C">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4311" w:type="dxa"/>
            <w:gridSpan w:val="3"/>
            <w:vAlign w:val="center"/>
          </w:tcPr>
          <w:p w14:paraId="0CA85E90">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775" w:type="dxa"/>
            <w:vAlign w:val="center"/>
          </w:tcPr>
          <w:p w14:paraId="1B821B85">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c>
          <w:tcPr>
            <w:tcW w:w="1834" w:type="dxa"/>
            <w:vAlign w:val="center"/>
          </w:tcPr>
          <w:p w14:paraId="13BB9E01">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44012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578" w:type="dxa"/>
            <w:gridSpan w:val="2"/>
          </w:tcPr>
          <w:p w14:paraId="074624EF">
            <w:pPr>
              <w:kinsoku w:val="0"/>
              <w:autoSpaceDE w:val="0"/>
              <w:autoSpaceDN w:val="0"/>
              <w:adjustRightInd w:val="0"/>
              <w:snapToGrid w:val="0"/>
              <w:spacing w:before="226" w:line="228" w:lineRule="auto"/>
              <w:ind w:left="878"/>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6"/>
                <w:kern w:val="0"/>
                <w:szCs w:val="21"/>
                <w:highlight w:val="none"/>
                <w:lang w:eastAsia="en-US"/>
                <w14:textFill>
                  <w14:solidFill>
                    <w14:schemeClr w14:val="tx1"/>
                  </w14:solidFill>
                </w14:textFill>
              </w:rPr>
              <w:t>获奖情况</w:t>
            </w:r>
          </w:p>
        </w:tc>
        <w:tc>
          <w:tcPr>
            <w:tcW w:w="6721" w:type="dxa"/>
            <w:gridSpan w:val="4"/>
            <w:vAlign w:val="center"/>
          </w:tcPr>
          <w:p w14:paraId="76BFCD2F">
            <w:pPr>
              <w:widowControl/>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r w14:paraId="4717B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9299" w:type="dxa"/>
            <w:gridSpan w:val="6"/>
          </w:tcPr>
          <w:p w14:paraId="28EADE91">
            <w:pPr>
              <w:kinsoku w:val="0"/>
              <w:autoSpaceDE w:val="0"/>
              <w:autoSpaceDN w:val="0"/>
              <w:adjustRightInd w:val="0"/>
              <w:snapToGrid w:val="0"/>
              <w:spacing w:before="256" w:line="368" w:lineRule="auto"/>
              <w:ind w:left="123" w:right="108" w:hanging="11"/>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"bookmark357" </w:instrText>
            </w:r>
            <w:r>
              <w:rPr>
                <w:color w:val="000000" w:themeColor="text1"/>
                <w:highlight w:val="none"/>
                <w14:textFill>
                  <w14:solidFill>
                    <w14:schemeClr w14:val="tx1"/>
                  </w14:solidFill>
                </w14:textFill>
              </w:rPr>
              <w:fldChar w:fldCharType="separate"/>
            </w:r>
            <w:r>
              <w:rPr>
                <w:rFonts w:hint="eastAsia" w:ascii="宋体" w:hAnsi="宋体" w:cs="宋体"/>
                <w:snapToGrid w:val="0"/>
                <w:color w:val="000000" w:themeColor="text1"/>
                <w:spacing w:val="9"/>
                <w:kern w:val="0"/>
                <w:position w:val="10"/>
                <w:szCs w:val="21"/>
                <w:highlight w:val="none"/>
                <w14:textFill>
                  <w14:solidFill>
                    <w14:schemeClr w14:val="tx1"/>
                  </w14:solidFill>
                </w14:textFill>
              </w:rPr>
              <w:t>①</w:t>
            </w:r>
            <w:r>
              <w:rPr>
                <w:rFonts w:hint="eastAsia" w:ascii="宋体" w:hAnsi="宋体" w:cs="宋体"/>
                <w:snapToGrid w:val="0"/>
                <w:color w:val="000000" w:themeColor="text1"/>
                <w:spacing w:val="9"/>
                <w:kern w:val="0"/>
                <w:position w:val="10"/>
                <w:szCs w:val="21"/>
                <w:highlight w:val="none"/>
                <w14:textFill>
                  <w14:solidFill>
                    <w14:schemeClr w14:val="tx1"/>
                  </w14:solidFill>
                </w14:textFill>
              </w:rPr>
              <w:fldChar w:fldCharType="end"/>
            </w:r>
            <w:r>
              <w:rPr>
                <w:rFonts w:hint="eastAsia" w:ascii="宋体" w:hAnsi="宋体" w:cs="宋体"/>
                <w:snapToGrid w:val="0"/>
                <w:color w:val="000000" w:themeColor="text1"/>
                <w:spacing w:val="9"/>
                <w:kern w:val="0"/>
                <w:szCs w:val="21"/>
                <w:highlight w:val="none"/>
                <w14:textFill>
                  <w14:solidFill>
                    <w14:schemeClr w14:val="tx1"/>
                  </w14:solidFill>
                </w14:textFill>
              </w:rPr>
              <w:t>本人</w:t>
            </w:r>
            <w:r>
              <w:rPr>
                <w:rFonts w:hint="eastAsia" w:ascii="宋体" w:hAnsi="宋体" w:cs="宋体"/>
                <w:snapToGrid w:val="0"/>
                <w:color w:val="000000" w:themeColor="text1"/>
                <w:spacing w:val="-96"/>
                <w:kern w:val="0"/>
                <w:szCs w:val="21"/>
                <w:highlight w:val="none"/>
                <w14:textFill>
                  <w14:solidFill>
                    <w14:schemeClr w14:val="tx1"/>
                  </w14:solidFill>
                </w14:textFill>
              </w:rPr>
              <w:t xml:space="preserve"> </w:t>
            </w:r>
            <w:r>
              <w:rPr>
                <w:rFonts w:hint="eastAsia" w:ascii="宋体" w:hAnsi="宋体" w:cs="宋体"/>
                <w:snapToGrid w:val="0"/>
                <w:color w:val="000000" w:themeColor="text1"/>
                <w:spacing w:val="9"/>
                <w:kern w:val="0"/>
                <w:szCs w:val="21"/>
                <w:highlight w:val="none"/>
                <w:u w:val="single"/>
                <w14:textFill>
                  <w14:solidFill>
                    <w14:schemeClr w14:val="tx1"/>
                  </w14:solidFill>
                </w14:textFill>
              </w:rPr>
              <w:t xml:space="preserve">        </w:t>
            </w:r>
            <w:r>
              <w:rPr>
                <w:rFonts w:hint="eastAsia" w:ascii="宋体" w:hAnsi="宋体" w:cs="宋体"/>
                <w:snapToGrid w:val="0"/>
                <w:color w:val="000000" w:themeColor="text1"/>
                <w:spacing w:val="9"/>
                <w:kern w:val="0"/>
                <w:szCs w:val="21"/>
                <w:highlight w:val="none"/>
                <w14:textFill>
                  <w14:solidFill>
                    <w14:schemeClr w14:val="tx1"/>
                  </w14:solidFill>
                </w14:textFill>
              </w:rPr>
              <w:t>（签字）知晓自己为本项目的</w:t>
            </w:r>
            <w:r>
              <w:rPr>
                <w:rFonts w:hint="eastAsia" w:ascii="宋体" w:hAnsi="宋体" w:cs="宋体"/>
                <w:snapToGrid w:val="0"/>
                <w:color w:val="000000" w:themeColor="text1"/>
                <w:spacing w:val="9"/>
                <w:kern w:val="0"/>
                <w:szCs w:val="21"/>
                <w:highlight w:val="none"/>
                <w:u w:val="single"/>
                <w14:textFill>
                  <w14:solidFill>
                    <w14:schemeClr w14:val="tx1"/>
                  </w14:solidFill>
                </w14:textFill>
              </w:rPr>
              <w:t xml:space="preserve">       (</w:t>
            </w:r>
            <w:r>
              <w:rPr>
                <w:rFonts w:hint="eastAsia" w:ascii="宋体" w:hAnsi="宋体" w:cs="宋体"/>
                <w:snapToGrid w:val="0"/>
                <w:color w:val="000000" w:themeColor="text1"/>
                <w:spacing w:val="9"/>
                <w:kern w:val="0"/>
                <w:szCs w:val="21"/>
                <w:highlight w:val="none"/>
                <w14:textFill>
                  <w14:solidFill>
                    <w14:schemeClr w14:val="tx1"/>
                  </w14:solidFill>
                </w14:textFill>
              </w:rPr>
              <w:t>填写项目经理或项目总工)，并对其真实性负</w:t>
            </w:r>
            <w:r>
              <w:rPr>
                <w:rFonts w:hint="eastAsia" w:ascii="宋体" w:hAnsi="宋体" w:cs="宋体"/>
                <w:snapToGrid w:val="0"/>
                <w:color w:val="000000" w:themeColor="text1"/>
                <w:spacing w:val="-4"/>
                <w:kern w:val="0"/>
                <w:szCs w:val="21"/>
                <w:highlight w:val="none"/>
                <w14:textFill>
                  <w14:solidFill>
                    <w14:schemeClr w14:val="tx1"/>
                  </w14:solidFill>
                </w14:textFill>
              </w:rPr>
              <w:t>责。</w:t>
            </w:r>
          </w:p>
        </w:tc>
      </w:tr>
      <w:tr w14:paraId="7DD01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578" w:type="dxa"/>
            <w:gridSpan w:val="2"/>
          </w:tcPr>
          <w:p w14:paraId="344FDB8B">
            <w:pPr>
              <w:kinsoku w:val="0"/>
              <w:autoSpaceDE w:val="0"/>
              <w:autoSpaceDN w:val="0"/>
              <w:adjustRightInd w:val="0"/>
              <w:snapToGrid w:val="0"/>
              <w:spacing w:before="227" w:line="229" w:lineRule="auto"/>
              <w:ind w:left="108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hint="eastAsia" w:ascii="宋体" w:hAnsi="宋体" w:cs="宋体"/>
                <w:snapToGrid w:val="0"/>
                <w:color w:val="000000" w:themeColor="text1"/>
                <w:spacing w:val="3"/>
                <w:kern w:val="0"/>
                <w:szCs w:val="21"/>
                <w:highlight w:val="none"/>
                <w:lang w:eastAsia="en-US"/>
                <w14:textFill>
                  <w14:solidFill>
                    <w14:schemeClr w14:val="tx1"/>
                  </w14:solidFill>
                </w14:textFill>
              </w:rPr>
              <w:t>备注</w:t>
            </w:r>
          </w:p>
        </w:tc>
        <w:tc>
          <w:tcPr>
            <w:tcW w:w="6721" w:type="dxa"/>
            <w:gridSpan w:val="4"/>
          </w:tcPr>
          <w:p w14:paraId="4B9FBE79">
            <w:pPr>
              <w:widowControl/>
              <w:kinsoku w:val="0"/>
              <w:autoSpaceDE w:val="0"/>
              <w:autoSpaceDN w:val="0"/>
              <w:adjustRightInd w:val="0"/>
              <w:snapToGrid w:val="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tc>
      </w:tr>
    </w:tbl>
    <w:p w14:paraId="6BA1612B">
      <w:pPr>
        <w:widowControl/>
        <w:kinsoku w:val="0"/>
        <w:autoSpaceDE w:val="0"/>
        <w:autoSpaceDN w:val="0"/>
        <w:adjustRightInd w:val="0"/>
        <w:snapToGrid w:val="0"/>
        <w:spacing w:before="51" w:line="232" w:lineRule="auto"/>
        <w:ind w:left="123"/>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sz w:val="20"/>
          <w:szCs w:val="20"/>
          <w:highlight w:val="none"/>
          <w:lang w:eastAsia="en-US"/>
          <w14:textFill>
            <w14:solidFill>
              <w14:schemeClr w14:val="tx1"/>
            </w14:solidFill>
          </w14:textFill>
        </w:rPr>
        <w:t>注：</w:t>
      </w:r>
    </w:p>
    <w:p w14:paraId="1F84382A">
      <w:pPr>
        <w:widowControl/>
        <w:kinsoku w:val="0"/>
        <w:autoSpaceDE w:val="0"/>
        <w:autoSpaceDN w:val="0"/>
        <w:adjustRightInd w:val="0"/>
        <w:snapToGrid w:val="0"/>
        <w:spacing w:before="61" w:line="258" w:lineRule="auto"/>
        <w:ind w:left="124" w:right="48" w:firstLine="1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3"/>
          <w:kern w:val="0"/>
          <w:sz w:val="20"/>
          <w:szCs w:val="20"/>
          <w:highlight w:val="none"/>
          <w14:textFill>
            <w14:solidFill>
              <w14:schemeClr w14:val="tx1"/>
            </w14:solidFill>
          </w14:textFill>
        </w:rPr>
        <w:t>1.本表应填写项目经理</w:t>
      </w:r>
      <w:r>
        <w:rPr>
          <w:rFonts w:ascii="宋体" w:hAnsi="宋体" w:cs="宋体"/>
          <w:snapToGrid w:val="0"/>
          <w:color w:val="000000" w:themeColor="text1"/>
          <w:spacing w:val="3"/>
          <w:kern w:val="0"/>
          <w:sz w:val="20"/>
          <w:szCs w:val="20"/>
          <w:highlight w:val="none"/>
          <w:u w:val="single"/>
          <w14:textFill>
            <w14:solidFill>
              <w14:schemeClr w14:val="tx1"/>
            </w14:solidFill>
          </w14:textFill>
        </w:rPr>
        <w:t>（以及备选人，如有）</w:t>
      </w:r>
      <w:r>
        <w:rPr>
          <w:rFonts w:ascii="宋体" w:hAnsi="宋体" w:cs="宋体"/>
          <w:snapToGrid w:val="0"/>
          <w:color w:val="000000" w:themeColor="text1"/>
          <w:spacing w:val="3"/>
          <w:kern w:val="0"/>
          <w:sz w:val="20"/>
          <w:szCs w:val="20"/>
          <w:highlight w:val="none"/>
          <w14:textFill>
            <w14:solidFill>
              <w14:schemeClr w14:val="tx1"/>
            </w14:solidFill>
          </w14:textFill>
        </w:rPr>
        <w:t>、项</w:t>
      </w:r>
      <w:r>
        <w:rPr>
          <w:rFonts w:ascii="宋体" w:hAnsi="宋体" w:cs="宋体"/>
          <w:snapToGrid w:val="0"/>
          <w:color w:val="000000" w:themeColor="text1"/>
          <w:spacing w:val="2"/>
          <w:kern w:val="0"/>
          <w:sz w:val="20"/>
          <w:szCs w:val="20"/>
          <w:highlight w:val="none"/>
          <w14:textFill>
            <w14:solidFill>
              <w14:schemeClr w14:val="tx1"/>
            </w14:solidFill>
          </w14:textFill>
        </w:rPr>
        <w:t>目总工</w:t>
      </w:r>
      <w:r>
        <w:rPr>
          <w:rFonts w:ascii="宋体" w:hAnsi="宋体" w:cs="宋体"/>
          <w:snapToGrid w:val="0"/>
          <w:color w:val="000000" w:themeColor="text1"/>
          <w:spacing w:val="2"/>
          <w:kern w:val="0"/>
          <w:sz w:val="20"/>
          <w:szCs w:val="20"/>
          <w:highlight w:val="none"/>
          <w:u w:val="single"/>
          <w14:textFill>
            <w14:solidFill>
              <w14:schemeClr w14:val="tx1"/>
            </w14:solidFill>
          </w14:textFill>
        </w:rPr>
        <w:t>（以及备选人，如有）、安全总监（如有）、</w:t>
      </w:r>
      <w:r>
        <w:rPr>
          <w:rFonts w:ascii="宋体" w:hAnsi="宋体" w:cs="宋体"/>
          <w:snapToGrid w:val="0"/>
          <w:color w:val="000000" w:themeColor="text1"/>
          <w:spacing w:val="8"/>
          <w:kern w:val="0"/>
          <w:sz w:val="20"/>
          <w:szCs w:val="20"/>
          <w:highlight w:val="none"/>
          <w:u w:val="single"/>
          <w14:textFill>
            <w14:solidFill>
              <w14:schemeClr w14:val="tx1"/>
            </w14:solidFill>
          </w14:textFill>
        </w:rPr>
        <w:t>质量总监（如有）</w:t>
      </w:r>
      <w:r>
        <w:rPr>
          <w:rFonts w:ascii="宋体" w:hAnsi="宋体" w:cs="宋体"/>
          <w:snapToGrid w:val="0"/>
          <w:color w:val="000000" w:themeColor="text1"/>
          <w:spacing w:val="8"/>
          <w:kern w:val="0"/>
          <w:sz w:val="20"/>
          <w:szCs w:val="20"/>
          <w:highlight w:val="none"/>
          <w14:textFill>
            <w14:solidFill>
              <w14:schemeClr w14:val="tx1"/>
            </w14:solidFill>
          </w14:textFill>
        </w:rPr>
        <w:t>相关情况。</w:t>
      </w:r>
    </w:p>
    <w:p w14:paraId="5F2AA8A9">
      <w:pPr>
        <w:widowControl/>
        <w:kinsoku w:val="0"/>
        <w:autoSpaceDE w:val="0"/>
        <w:autoSpaceDN w:val="0"/>
        <w:adjustRightInd w:val="0"/>
        <w:snapToGrid w:val="0"/>
        <w:spacing w:before="64" w:line="227" w:lineRule="auto"/>
        <w:ind w:left="12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2.投标人应根据招标文件第二章“投标人须知</w:t>
      </w:r>
      <w:r>
        <w:rPr>
          <w:rFonts w:ascii="宋体" w:hAnsi="宋体" w:cs="宋体"/>
          <w:snapToGrid w:val="0"/>
          <w:color w:val="000000" w:themeColor="text1"/>
          <w:spacing w:val="-72"/>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w:t>
      </w:r>
      <w:r>
        <w:rPr>
          <w:rFonts w:ascii="宋体" w:hAnsi="宋体" w:cs="宋体"/>
          <w:snapToGrid w:val="0"/>
          <w:color w:val="000000" w:themeColor="text1"/>
          <w:spacing w:val="7"/>
          <w:kern w:val="0"/>
          <w:sz w:val="20"/>
          <w:szCs w:val="20"/>
          <w:highlight w:val="none"/>
          <w14:textFill>
            <w14:solidFill>
              <w14:schemeClr w14:val="tx1"/>
            </w14:solidFill>
          </w14:textFill>
        </w:rPr>
        <w:t>第</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3.5.5</w:t>
      </w:r>
      <w:r>
        <w:rPr>
          <w:rFonts w:ascii="宋体" w:hAnsi="宋体" w:cs="宋体"/>
          <w:snapToGrid w:val="0"/>
          <w:color w:val="000000" w:themeColor="text1"/>
          <w:spacing w:val="-3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7"/>
          <w:kern w:val="0"/>
          <w:sz w:val="20"/>
          <w:szCs w:val="20"/>
          <w:highlight w:val="none"/>
          <w14:textFill>
            <w14:solidFill>
              <w14:schemeClr w14:val="tx1"/>
            </w14:solidFill>
          </w14:textFill>
        </w:rPr>
        <w:t>项的要求在本表后附相关证明材料。</w:t>
      </w:r>
    </w:p>
    <w:p w14:paraId="10C4F06B">
      <w:pPr>
        <w:widowControl/>
        <w:kinsoku w:val="0"/>
        <w:autoSpaceDE w:val="0"/>
        <w:autoSpaceDN w:val="0"/>
        <w:adjustRightInd w:val="0"/>
        <w:snapToGrid w:val="0"/>
        <w:spacing w:before="59" w:line="220" w:lineRule="auto"/>
        <w:ind w:left="122"/>
        <w:jc w:val="left"/>
        <w:textAlignment w:val="baseline"/>
        <w:rPr>
          <w:rFonts w:hint="eastAsia" w:ascii="宋体" w:hAnsi="宋体" w:cs="宋体"/>
          <w:snapToGrid w:val="0"/>
          <w:color w:val="000000" w:themeColor="text1"/>
          <w:spacing w:val="-1"/>
          <w:kern w:val="0"/>
          <w:sz w:val="18"/>
          <w:szCs w:val="18"/>
          <w:highlight w:val="none"/>
          <w14:textFill>
            <w14:solidFill>
              <w14:schemeClr w14:val="tx1"/>
            </w14:solidFill>
          </w14:textFill>
        </w:rPr>
      </w:pPr>
      <w:bookmarkStart w:id="447" w:name="bookmark357"/>
      <w:bookmarkEnd w:id="447"/>
    </w:p>
    <w:p w14:paraId="37438566">
      <w:pPr>
        <w:widowControl/>
        <w:kinsoku w:val="0"/>
        <w:autoSpaceDE w:val="0"/>
        <w:autoSpaceDN w:val="0"/>
        <w:adjustRightInd w:val="0"/>
        <w:snapToGrid w:val="0"/>
        <w:spacing w:before="59" w:line="220" w:lineRule="auto"/>
        <w:ind w:left="122"/>
        <w:jc w:val="left"/>
        <w:textAlignment w:val="baseline"/>
        <w:rPr>
          <w:rFonts w:hint="eastAsia" w:ascii="宋体" w:hAnsi="宋体" w:cs="宋体"/>
          <w:snapToGrid w:val="0"/>
          <w:color w:val="000000" w:themeColor="text1"/>
          <w:kern w:val="0"/>
          <w:sz w:val="18"/>
          <w:szCs w:val="18"/>
          <w:highlight w:val="none"/>
          <w14:textFill>
            <w14:solidFill>
              <w14:schemeClr w14:val="tx1"/>
            </w14:solidFill>
          </w14:textFill>
        </w:rPr>
      </w:pPr>
      <w:r>
        <w:rPr>
          <w:rFonts w:ascii="宋体" w:hAnsi="宋体" w:cs="宋体"/>
          <w:snapToGrid w:val="0"/>
          <w:color w:val="000000" w:themeColor="text1"/>
          <w:spacing w:val="-1"/>
          <w:kern w:val="0"/>
          <w:sz w:val="18"/>
          <w:szCs w:val="18"/>
          <w:highlight w:val="none"/>
          <w14:textFill>
            <w14:solidFill>
              <w14:schemeClr w14:val="tx1"/>
            </w14:solidFill>
          </w14:textFill>
        </w:rPr>
        <w:t>①安全总监（如有）、质量总监（如有）无需签字。</w:t>
      </w:r>
    </w:p>
    <w:p w14:paraId="1EC7D5DC">
      <w:pPr>
        <w:spacing w:line="220" w:lineRule="auto"/>
        <w:rPr>
          <w:rFonts w:hint="eastAsia" w:ascii="宋体" w:hAnsi="宋体" w:cs="宋体"/>
          <w:color w:val="000000" w:themeColor="text1"/>
          <w:sz w:val="18"/>
          <w:szCs w:val="18"/>
          <w:highlight w:val="none"/>
          <w14:textFill>
            <w14:solidFill>
              <w14:schemeClr w14:val="tx1"/>
            </w14:solidFill>
          </w14:textFill>
        </w:rPr>
        <w:sectPr>
          <w:headerReference r:id="rId114" w:type="default"/>
          <w:footerReference r:id="rId115" w:type="default"/>
          <w:pgSz w:w="11906" w:h="16839"/>
          <w:pgMar w:top="1182" w:right="1301" w:bottom="1168" w:left="1300" w:header="849" w:footer="934" w:gutter="0"/>
          <w:cols w:space="720" w:num="1"/>
        </w:sectPr>
      </w:pPr>
    </w:p>
    <w:p w14:paraId="3B201154">
      <w:pPr>
        <w:kinsoku w:val="0"/>
        <w:autoSpaceDE w:val="0"/>
        <w:autoSpaceDN w:val="0"/>
        <w:adjustRightInd w:val="0"/>
        <w:snapToGrid w:val="0"/>
        <w:spacing w:line="31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5E478FE">
      <w:pPr>
        <w:pStyle w:val="5"/>
        <w:jc w:val="center"/>
        <w:rPr>
          <w:color w:val="000000" w:themeColor="text1"/>
          <w:sz w:val="28"/>
          <w:szCs w:val="36"/>
          <w:highlight w:val="none"/>
          <w14:textFill>
            <w14:solidFill>
              <w14:schemeClr w14:val="tx1"/>
            </w14:solidFill>
          </w14:textFill>
        </w:rPr>
      </w:pPr>
      <w:bookmarkStart w:id="448" w:name="_Toc15760"/>
      <w:r>
        <w:rPr>
          <w:color w:val="000000" w:themeColor="text1"/>
          <w:sz w:val="28"/>
          <w:szCs w:val="36"/>
          <w:highlight w:val="none"/>
          <w14:textFill>
            <w14:solidFill>
              <w14:schemeClr w14:val="tx1"/>
            </w14:solidFill>
          </w14:textFill>
        </w:rPr>
        <w:t>八、其他资料</w:t>
      </w:r>
      <w:bookmarkEnd w:id="448"/>
    </w:p>
    <w:p w14:paraId="0EA4FF5A">
      <w:pPr>
        <w:kinsoku w:val="0"/>
        <w:autoSpaceDE w:val="0"/>
        <w:autoSpaceDN w:val="0"/>
        <w:adjustRightInd w:val="0"/>
        <w:snapToGrid w:val="0"/>
        <w:spacing w:line="309"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5959C88">
      <w:pPr>
        <w:widowControl/>
        <w:kinsoku w:val="0"/>
        <w:autoSpaceDE w:val="0"/>
        <w:autoSpaceDN w:val="0"/>
        <w:adjustRightInd w:val="0"/>
        <w:snapToGrid w:val="0"/>
        <w:spacing w:line="360" w:lineRule="auto"/>
        <w:ind w:left="2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1、提供“八-1、使用广东省信用评价等级的申请承诺书</w:t>
      </w:r>
      <w:r>
        <w:rPr>
          <w:rFonts w:ascii="宋体" w:hAnsi="宋体" w:cs="宋体"/>
          <w:snapToGrid w:val="0"/>
          <w:color w:val="000000" w:themeColor="text1"/>
          <w:spacing w:val="-8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w:t>
      </w:r>
    </w:p>
    <w:p w14:paraId="17418E29">
      <w:pPr>
        <w:widowControl/>
        <w:kinsoku w:val="0"/>
        <w:autoSpaceDE w:val="0"/>
        <w:autoSpaceDN w:val="0"/>
        <w:adjustRightInd w:val="0"/>
        <w:snapToGrid w:val="0"/>
        <w:spacing w:line="360" w:lineRule="auto"/>
        <w:ind w:left="1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、提供“八-</w:t>
      </w:r>
      <w:r>
        <w:rPr>
          <w:rFonts w:hint="eastAsia" w:ascii="宋体" w:hAnsi="宋体" w:cs="宋体"/>
          <w:snapToGrid w:val="0"/>
          <w:color w:val="000000" w:themeColor="text1"/>
          <w:spacing w:val="-1"/>
          <w:kern w:val="0"/>
          <w:sz w:val="24"/>
          <w:highlight w:val="none"/>
          <w14:textFill>
            <w14:solidFill>
              <w14:schemeClr w14:val="tx1"/>
            </w14:solidFill>
          </w14:textFill>
        </w:rPr>
        <w:t>2</w:t>
      </w:r>
      <w:r>
        <w:rPr>
          <w:rFonts w:ascii="宋体" w:hAnsi="宋体" w:cs="宋体"/>
          <w:snapToGrid w:val="0"/>
          <w:color w:val="000000" w:themeColor="text1"/>
          <w:spacing w:val="-1"/>
          <w:kern w:val="0"/>
          <w:sz w:val="24"/>
          <w:highlight w:val="none"/>
          <w14:textFill>
            <w14:solidFill>
              <w14:schemeClr w14:val="tx1"/>
            </w14:solidFill>
          </w14:textFill>
        </w:rPr>
        <w:t>、投标人的自评分表</w:t>
      </w:r>
      <w:r>
        <w:rPr>
          <w:rFonts w:ascii="宋体" w:hAnsi="宋体" w:cs="宋体"/>
          <w:snapToGrid w:val="0"/>
          <w:color w:val="000000" w:themeColor="text1"/>
          <w:spacing w:val="-84"/>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w:t>
      </w:r>
    </w:p>
    <w:p w14:paraId="663D9823">
      <w:pPr>
        <w:widowControl/>
        <w:kinsoku w:val="0"/>
        <w:autoSpaceDE w:val="0"/>
        <w:autoSpaceDN w:val="0"/>
        <w:adjustRightInd w:val="0"/>
        <w:snapToGrid w:val="0"/>
        <w:spacing w:line="360" w:lineRule="auto"/>
        <w:ind w:left="9" w:right="1" w:hanging="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3</w:t>
      </w:r>
      <w:r>
        <w:rPr>
          <w:rFonts w:ascii="宋体" w:hAnsi="宋体" w:cs="宋体"/>
          <w:snapToGrid w:val="0"/>
          <w:color w:val="000000" w:themeColor="text1"/>
          <w:spacing w:val="-1"/>
          <w:kern w:val="0"/>
          <w:sz w:val="24"/>
          <w:highlight w:val="none"/>
          <w14:textFill>
            <w14:solidFill>
              <w14:schemeClr w14:val="tx1"/>
            </w14:solidFill>
          </w14:textFill>
        </w:rPr>
        <w:t>、提供最新年度广东省公路工程从业单位（</w:t>
      </w:r>
      <w:r>
        <w:rPr>
          <w:rFonts w:hint="eastAsia" w:ascii="宋体" w:hAnsi="宋体" w:cs="宋体"/>
          <w:snapToGrid w:val="0"/>
          <w:color w:val="000000" w:themeColor="text1"/>
          <w:spacing w:val="-1"/>
          <w:kern w:val="0"/>
          <w:sz w:val="24"/>
          <w:highlight w:val="none"/>
          <w:u w:val="single"/>
          <w14:textFill>
            <w14:solidFill>
              <w14:schemeClr w14:val="tx1"/>
            </w14:solidFill>
          </w14:textFill>
        </w:rPr>
        <w:t>土建工程</w:t>
      </w:r>
      <w:r>
        <w:rPr>
          <w:rFonts w:ascii="宋体" w:hAnsi="宋体" w:cs="宋体"/>
          <w:snapToGrid w:val="0"/>
          <w:color w:val="000000" w:themeColor="text1"/>
          <w:spacing w:val="-1"/>
          <w:kern w:val="0"/>
          <w:sz w:val="24"/>
          <w:highlight w:val="none"/>
          <w:u w:val="single"/>
          <w14:textFill>
            <w14:solidFill>
              <w14:schemeClr w14:val="tx1"/>
            </w14:solidFill>
          </w14:textFill>
        </w:rPr>
        <w:t>施工单位</w:t>
      </w:r>
      <w:r>
        <w:rPr>
          <w:rFonts w:ascii="宋体" w:hAnsi="宋体" w:cs="宋体"/>
          <w:snapToGrid w:val="0"/>
          <w:color w:val="000000" w:themeColor="text1"/>
          <w:spacing w:val="-1"/>
          <w:kern w:val="0"/>
          <w:sz w:val="24"/>
          <w:highlight w:val="none"/>
          <w14:textFill>
            <w14:solidFill>
              <w14:schemeClr w14:val="tx1"/>
            </w14:solidFill>
          </w14:textFill>
        </w:rPr>
        <w:t>) 信用评价等级（若</w:t>
      </w:r>
      <w:r>
        <w:rPr>
          <w:rFonts w:ascii="宋体" w:hAnsi="宋体" w:cs="宋体"/>
          <w:snapToGrid w:val="0"/>
          <w:color w:val="000000" w:themeColor="text1"/>
          <w:spacing w:val="-2"/>
          <w:kern w:val="0"/>
          <w:sz w:val="24"/>
          <w:highlight w:val="none"/>
          <w14:textFill>
            <w14:solidFill>
              <w14:schemeClr w14:val="tx1"/>
            </w14:solidFill>
          </w14:textFill>
        </w:rPr>
        <w:t>有</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并标识单位所在位置。</w:t>
      </w:r>
    </w:p>
    <w:p w14:paraId="52CC6B0B">
      <w:pPr>
        <w:widowControl/>
        <w:kinsoku w:val="0"/>
        <w:autoSpaceDE w:val="0"/>
        <w:autoSpaceDN w:val="0"/>
        <w:adjustRightInd w:val="0"/>
        <w:snapToGrid w:val="0"/>
        <w:spacing w:line="360" w:lineRule="auto"/>
        <w:ind w:left="9" w:right="1" w:firstLine="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w:t>
      </w:r>
      <w:r>
        <w:rPr>
          <w:rFonts w:ascii="宋体" w:hAnsi="宋体" w:cs="宋体"/>
          <w:snapToGrid w:val="0"/>
          <w:color w:val="000000" w:themeColor="text1"/>
          <w:kern w:val="0"/>
          <w:sz w:val="24"/>
          <w:highlight w:val="none"/>
          <w14:textFill>
            <w14:solidFill>
              <w14:schemeClr w14:val="tx1"/>
            </w14:solidFill>
          </w14:textFill>
        </w:rPr>
        <w:t>、初次进入广东省的，但在最新年度的全国综合评价结果为</w:t>
      </w:r>
      <w:r>
        <w:rPr>
          <w:rFonts w:ascii="宋体" w:hAnsi="宋体" w:cs="宋体"/>
          <w:snapToGrid w:val="0"/>
          <w:color w:val="000000" w:themeColor="text1"/>
          <w:spacing w:val="-40"/>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C</w:t>
      </w:r>
      <w:r>
        <w:rPr>
          <w:rFonts w:ascii="宋体" w:hAnsi="宋体" w:cs="宋体"/>
          <w:snapToGrid w:val="0"/>
          <w:color w:val="000000" w:themeColor="text1"/>
          <w:spacing w:val="-44"/>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级或</w:t>
      </w:r>
      <w:r>
        <w:rPr>
          <w:rFonts w:ascii="宋体" w:hAnsi="宋体" w:cs="宋体"/>
          <w:snapToGrid w:val="0"/>
          <w:color w:val="000000" w:themeColor="text1"/>
          <w:spacing w:val="-53"/>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D</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级的，提供最新</w:t>
      </w:r>
      <w:r>
        <w:rPr>
          <w:rFonts w:ascii="宋体" w:hAnsi="宋体" w:cs="宋体"/>
          <w:snapToGrid w:val="0"/>
          <w:color w:val="000000" w:themeColor="text1"/>
          <w:spacing w:val="-1"/>
          <w:kern w:val="0"/>
          <w:sz w:val="24"/>
          <w:highlight w:val="none"/>
          <w14:textFill>
            <w14:solidFill>
              <w14:schemeClr w14:val="tx1"/>
            </w14:solidFill>
          </w14:textFill>
        </w:rPr>
        <w:t>年度的全国综合评价结果单位查询所在页。</w:t>
      </w:r>
    </w:p>
    <w:p w14:paraId="1C00CBFC">
      <w:pPr>
        <w:widowControl/>
        <w:kinsoku w:val="0"/>
        <w:autoSpaceDE w:val="0"/>
        <w:autoSpaceDN w:val="0"/>
        <w:adjustRightInd w:val="0"/>
        <w:snapToGrid w:val="0"/>
        <w:spacing w:line="360" w:lineRule="auto"/>
        <w:ind w:left="9" w:right="1"/>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5</w:t>
      </w:r>
      <w:r>
        <w:rPr>
          <w:rFonts w:ascii="宋体" w:hAnsi="宋体" w:cs="宋体"/>
          <w:snapToGrid w:val="0"/>
          <w:color w:val="000000" w:themeColor="text1"/>
          <w:spacing w:val="2"/>
          <w:kern w:val="0"/>
          <w:sz w:val="24"/>
          <w:highlight w:val="none"/>
          <w14:textFill>
            <w14:solidFill>
              <w14:schemeClr w14:val="tx1"/>
            </w14:solidFill>
          </w14:textFill>
        </w:rPr>
        <w:t>、如上一年度有信用评价而最新年度在广东省</w:t>
      </w:r>
      <w:r>
        <w:rPr>
          <w:rFonts w:ascii="宋体" w:hAnsi="宋体" w:cs="宋体"/>
          <w:snapToGrid w:val="0"/>
          <w:color w:val="000000" w:themeColor="text1"/>
          <w:spacing w:val="1"/>
          <w:kern w:val="0"/>
          <w:sz w:val="24"/>
          <w:highlight w:val="none"/>
          <w14:textFill>
            <w14:solidFill>
              <w14:schemeClr w14:val="tx1"/>
            </w14:solidFill>
          </w14:textFill>
        </w:rPr>
        <w:t>无信用等级的需提供上一年度的信用评</w:t>
      </w:r>
      <w:r>
        <w:rPr>
          <w:rFonts w:ascii="宋体" w:hAnsi="宋体" w:cs="宋体"/>
          <w:snapToGrid w:val="0"/>
          <w:color w:val="000000" w:themeColor="text1"/>
          <w:spacing w:val="-2"/>
          <w:kern w:val="0"/>
          <w:sz w:val="24"/>
          <w:highlight w:val="none"/>
          <w14:textFill>
            <w14:solidFill>
              <w14:schemeClr w14:val="tx1"/>
            </w14:solidFill>
          </w14:textFill>
        </w:rPr>
        <w:t>价（若有</w:t>
      </w:r>
      <w:r>
        <w:rPr>
          <w:rFonts w:ascii="宋体" w:hAnsi="宋体" w:cs="宋体"/>
          <w:snapToGrid w:val="0"/>
          <w:color w:val="000000" w:themeColor="text1"/>
          <w:spacing w:val="8"/>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并标识单位所在位置。</w:t>
      </w:r>
    </w:p>
    <w:p w14:paraId="6D4EAA38">
      <w:pPr>
        <w:widowControl/>
        <w:kinsoku w:val="0"/>
        <w:autoSpaceDE w:val="0"/>
        <w:autoSpaceDN w:val="0"/>
        <w:adjustRightInd w:val="0"/>
        <w:snapToGrid w:val="0"/>
        <w:spacing w:line="360" w:lineRule="auto"/>
        <w:ind w:left="7" w:right="1" w:firstLine="6"/>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6</w:t>
      </w:r>
      <w:r>
        <w:rPr>
          <w:rFonts w:ascii="宋体" w:hAnsi="宋体" w:cs="宋体"/>
          <w:snapToGrid w:val="0"/>
          <w:color w:val="000000" w:themeColor="text1"/>
          <w:spacing w:val="1"/>
          <w:kern w:val="0"/>
          <w:sz w:val="24"/>
          <w:highlight w:val="none"/>
          <w14:textFill>
            <w14:solidFill>
              <w14:schemeClr w14:val="tx1"/>
            </w14:solidFill>
          </w14:textFill>
        </w:rPr>
        <w:t>、详细说明投标人因公路工程（含附属设施）质量、安全事故被交通运输部行政处罚</w:t>
      </w:r>
      <w:r>
        <w:rPr>
          <w:rFonts w:ascii="宋体" w:hAnsi="宋体" w:cs="宋体"/>
          <w:snapToGrid w:val="0"/>
          <w:color w:val="000000" w:themeColor="text1"/>
          <w:spacing w:val="-2"/>
          <w:kern w:val="0"/>
          <w:sz w:val="24"/>
          <w:highlight w:val="none"/>
          <w14:textFill>
            <w14:solidFill>
              <w14:schemeClr w14:val="tx1"/>
            </w14:solidFill>
          </w14:textFill>
        </w:rPr>
        <w:t>且在处罚信息公示期内、广东省交通运输厅行政处罚且在处罚信息公示期内、</w:t>
      </w:r>
      <w:r>
        <w:rPr>
          <w:rFonts w:hint="eastAsia" w:ascii="宋体" w:hAnsi="宋体" w:cs="宋体"/>
          <w:color w:val="000000" w:themeColor="text1"/>
          <w:spacing w:val="7"/>
          <w:sz w:val="24"/>
          <w:highlight w:val="none"/>
          <w:u w:val="single"/>
          <w14:textFill>
            <w14:solidFill>
              <w14:schemeClr w14:val="tx1"/>
            </w14:solidFill>
          </w14:textFill>
        </w:rPr>
        <w:t>（项目涉及各地级以上市）市交通运输局行政处罚且在处罚信息公示期内</w:t>
      </w:r>
      <w:r>
        <w:rPr>
          <w:rFonts w:ascii="宋体" w:hAnsi="宋体" w:cs="宋体"/>
          <w:snapToGrid w:val="0"/>
          <w:color w:val="000000" w:themeColor="text1"/>
          <w:spacing w:val="-1"/>
          <w:kern w:val="0"/>
          <w:sz w:val="24"/>
          <w:highlight w:val="none"/>
          <w14:textFill>
            <w14:solidFill>
              <w14:schemeClr w14:val="tx1"/>
            </w14:solidFill>
          </w14:textFill>
        </w:rPr>
        <w:t>的文件。</w:t>
      </w:r>
    </w:p>
    <w:p w14:paraId="73E77D24">
      <w:pPr>
        <w:widowControl/>
        <w:kinsoku w:val="0"/>
        <w:autoSpaceDE w:val="0"/>
        <w:autoSpaceDN w:val="0"/>
        <w:adjustRightInd w:val="0"/>
        <w:snapToGrid w:val="0"/>
        <w:spacing w:line="360" w:lineRule="auto"/>
        <w:ind w:left="9"/>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bookmarkStart w:id="449" w:name="bookmark361"/>
      <w:bookmarkEnd w:id="449"/>
      <w:r>
        <w:rPr>
          <w:rFonts w:hint="eastAsia" w:ascii="宋体" w:hAnsi="宋体" w:cs="宋体"/>
          <w:snapToGrid w:val="0"/>
          <w:color w:val="000000" w:themeColor="text1"/>
          <w:spacing w:val="-1"/>
          <w:kern w:val="0"/>
          <w:sz w:val="24"/>
          <w:highlight w:val="none"/>
          <w14:textFill>
            <w14:solidFill>
              <w14:schemeClr w14:val="tx1"/>
            </w14:solidFill>
          </w14:textFill>
        </w:rPr>
        <w:t>7</w:t>
      </w:r>
      <w:r>
        <w:rPr>
          <w:rFonts w:ascii="宋体" w:hAnsi="宋体" w:cs="宋体"/>
          <w:snapToGrid w:val="0"/>
          <w:color w:val="000000" w:themeColor="text1"/>
          <w:spacing w:val="-1"/>
          <w:kern w:val="0"/>
          <w:sz w:val="24"/>
          <w:highlight w:val="none"/>
          <w14:textFill>
            <w14:solidFill>
              <w14:schemeClr w14:val="tx1"/>
            </w14:solidFill>
          </w14:textFill>
        </w:rPr>
        <w:t>、投标人认为需要的其他内容。</w:t>
      </w:r>
    </w:p>
    <w:p w14:paraId="69BA4F48">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4D3A76">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FF32F97">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703AA56">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3A1A648">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142AB20">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EB4FFAC">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14EEFEA">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26444E4">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9BCD2F9">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9BAAEF9">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B21880D">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3FA59D5">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A490457">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FE03FE1">
      <w:pPr>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F167A56">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79A9FAF">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1D4B3442">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3EB0EEC">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3953B5C">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F48FA49">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9AB099">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01B0EB8">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2809B63">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F4B32DA">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75C651D">
      <w:pPr>
        <w:kinsoku w:val="0"/>
        <w:autoSpaceDE w:val="0"/>
        <w:autoSpaceDN w:val="0"/>
        <w:adjustRightInd w:val="0"/>
        <w:snapToGrid w:val="0"/>
        <w:spacing w:line="248"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0882C53E">
      <w:pPr>
        <w:spacing w:line="220" w:lineRule="auto"/>
        <w:rPr>
          <w:rFonts w:hint="eastAsia" w:ascii="宋体" w:hAnsi="宋体" w:cs="宋体"/>
          <w:color w:val="000000" w:themeColor="text1"/>
          <w:sz w:val="18"/>
          <w:szCs w:val="18"/>
          <w:highlight w:val="none"/>
          <w14:textFill>
            <w14:solidFill>
              <w14:schemeClr w14:val="tx1"/>
            </w14:solidFill>
          </w14:textFill>
        </w:rPr>
        <w:sectPr>
          <w:headerReference r:id="rId116" w:type="default"/>
          <w:footerReference r:id="rId117" w:type="default"/>
          <w:pgSz w:w="11906" w:h="16839"/>
          <w:pgMar w:top="1182" w:right="1416" w:bottom="1168" w:left="1417" w:header="849" w:footer="934" w:gutter="0"/>
          <w:cols w:space="720" w:num="1"/>
        </w:sectPr>
      </w:pPr>
    </w:p>
    <w:p w14:paraId="554085E9">
      <w:pPr>
        <w:kinsoku w:val="0"/>
        <w:autoSpaceDE w:val="0"/>
        <w:autoSpaceDN w:val="0"/>
        <w:adjustRightInd w:val="0"/>
        <w:snapToGrid w:val="0"/>
        <w:spacing w:line="31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E65A618">
      <w:pPr>
        <w:widowControl/>
        <w:kinsoku w:val="0"/>
        <w:autoSpaceDE w:val="0"/>
        <w:autoSpaceDN w:val="0"/>
        <w:adjustRightInd w:val="0"/>
        <w:snapToGrid w:val="0"/>
        <w:spacing w:before="91" w:line="219" w:lineRule="auto"/>
        <w:ind w:left="1740"/>
        <w:jc w:val="left"/>
        <w:textAlignment w:val="baseline"/>
        <w:rPr>
          <w:rFonts w:hint="eastAsia" w:ascii="宋体" w:hAnsi="宋体" w:cs="宋体"/>
          <w:snapToGrid w:val="0"/>
          <w:color w:val="000000" w:themeColor="text1"/>
          <w:kern w:val="0"/>
          <w:sz w:val="28"/>
          <w:szCs w:val="28"/>
          <w:highlight w:val="none"/>
          <w14:textFill>
            <w14:solidFill>
              <w14:schemeClr w14:val="tx1"/>
            </w14:solidFill>
          </w14:textFill>
        </w:rPr>
      </w:pPr>
      <w:r>
        <w:rPr>
          <w:rFonts w:ascii="宋体" w:hAnsi="宋体" w:cs="宋体"/>
          <w:b/>
          <w:bCs/>
          <w:snapToGrid w:val="0"/>
          <w:color w:val="000000" w:themeColor="text1"/>
          <w:spacing w:val="-3"/>
          <w:kern w:val="0"/>
          <w:sz w:val="28"/>
          <w:szCs w:val="28"/>
          <w:highlight w:val="none"/>
          <w14:textFill>
            <w14:solidFill>
              <w14:schemeClr w14:val="tx1"/>
            </w14:solidFill>
          </w14:textFill>
        </w:rPr>
        <w:t>八-1、使用广东省信用评价等级的申请承诺书</w:t>
      </w:r>
    </w:p>
    <w:p w14:paraId="2C0F1089">
      <w:pPr>
        <w:kinsoku w:val="0"/>
        <w:autoSpaceDE w:val="0"/>
        <w:autoSpaceDN w:val="0"/>
        <w:adjustRightInd w:val="0"/>
        <w:snapToGrid w:val="0"/>
        <w:spacing w:line="31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3E11647">
      <w:pPr>
        <w:widowControl/>
        <w:kinsoku w:val="0"/>
        <w:autoSpaceDE w:val="0"/>
        <w:autoSpaceDN w:val="0"/>
        <w:adjustRightInd w:val="0"/>
        <w:snapToGrid w:val="0"/>
        <w:spacing w:before="78" w:line="220" w:lineRule="auto"/>
        <w:ind w:left="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致招标人</w:t>
      </w:r>
      <w:r>
        <w:rPr>
          <w:rFonts w:ascii="宋体" w:hAnsi="宋体" w:cs="宋体"/>
          <w:snapToGrid w:val="0"/>
          <w:color w:val="000000" w:themeColor="text1"/>
          <w:spacing w:val="-16"/>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6"/>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招标人全称）</w:t>
      </w:r>
    </w:p>
    <w:p w14:paraId="18DD012D">
      <w:pPr>
        <w:widowControl/>
        <w:kinsoku w:val="0"/>
        <w:autoSpaceDE w:val="0"/>
        <w:autoSpaceDN w:val="0"/>
        <w:adjustRightInd w:val="0"/>
        <w:snapToGrid w:val="0"/>
        <w:spacing w:before="182" w:line="219" w:lineRule="auto"/>
        <w:ind w:left="490"/>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按相关要求，现我单位对使用信用等级申请如下：</w:t>
      </w:r>
    </w:p>
    <w:p w14:paraId="2E792AA5">
      <w:pPr>
        <w:widowControl/>
        <w:kinsoku w:val="0"/>
        <w:autoSpaceDE w:val="0"/>
        <w:autoSpaceDN w:val="0"/>
        <w:adjustRightInd w:val="0"/>
        <w:snapToGrid w:val="0"/>
        <w:spacing w:before="183" w:line="313" w:lineRule="auto"/>
        <w:ind w:left="8" w:firstLine="483"/>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一、我单位在</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2"/>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施工招标（</w:t>
      </w:r>
      <w:r>
        <w:rPr>
          <w:rFonts w:ascii="宋体" w:hAnsi="宋体" w:cs="宋体"/>
          <w:snapToGrid w:val="0"/>
          <w:color w:val="000000" w:themeColor="text1"/>
          <w:spacing w:val="-82"/>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标类/标段</w:t>
      </w:r>
      <w:r>
        <w:rPr>
          <w:rFonts w:ascii="宋体" w:hAnsi="宋体" w:cs="宋体"/>
          <w:snapToGrid w:val="0"/>
          <w:color w:val="000000" w:themeColor="text1"/>
          <w:spacing w:val="-1"/>
          <w:kern w:val="0"/>
          <w:sz w:val="24"/>
          <w:highlight w:val="none"/>
          <w14:textFill>
            <w14:solidFill>
              <w14:schemeClr w14:val="tx1"/>
            </w14:solidFill>
          </w14:textFill>
        </w:rPr>
        <w:t>）的招标中，</w:t>
      </w:r>
      <w:r>
        <w:rPr>
          <w:rFonts w:ascii="宋体" w:hAnsi="宋体" w:cs="宋体"/>
          <w:b/>
          <w:bCs/>
          <w:snapToGrid w:val="0"/>
          <w:color w:val="000000" w:themeColor="text1"/>
          <w:spacing w:val="-1"/>
          <w:kern w:val="0"/>
          <w:sz w:val="24"/>
          <w:highlight w:val="none"/>
          <w14:textFill>
            <w14:solidFill>
              <w14:schemeClr w14:val="tx1"/>
            </w14:solidFill>
          </w14:textFill>
        </w:rPr>
        <w:t>第</w:t>
      </w:r>
      <w:r>
        <w:rPr>
          <w:rFonts w:ascii="宋体" w:hAnsi="宋体" w:cs="宋体"/>
          <w:snapToGrid w:val="0"/>
          <w:color w:val="000000" w:themeColor="text1"/>
          <w:spacing w:val="-113"/>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0"/>
          <w:kern w:val="0"/>
          <w:sz w:val="24"/>
          <w:highlight w:val="none"/>
          <w14:textFill>
            <w14:solidFill>
              <w14:schemeClr w14:val="tx1"/>
            </w14:solidFill>
          </w14:textFill>
        </w:rPr>
        <w:t xml:space="preserve"> </w:t>
      </w:r>
      <w:r>
        <w:rPr>
          <w:rFonts w:ascii="宋体" w:hAnsi="宋体" w:cs="宋体"/>
          <w:b/>
          <w:bCs/>
          <w:snapToGrid w:val="0"/>
          <w:color w:val="000000" w:themeColor="text1"/>
          <w:spacing w:val="-1"/>
          <w:kern w:val="0"/>
          <w:sz w:val="24"/>
          <w:highlight w:val="none"/>
          <w14:textFill>
            <w14:solidFill>
              <w14:schemeClr w14:val="tx1"/>
            </w14:solidFill>
          </w14:textFill>
        </w:rPr>
        <w:t>次使用（或不使用）</w:t>
      </w:r>
      <w:r>
        <w:rPr>
          <w:rFonts w:ascii="宋体" w:hAnsi="宋体" w:cs="宋体"/>
          <w:snapToGrid w:val="0"/>
          <w:color w:val="000000" w:themeColor="text1"/>
          <w:spacing w:val="-1"/>
          <w:kern w:val="0"/>
          <w:sz w:val="24"/>
          <w:highlight w:val="none"/>
          <w14:textFill>
            <w14:solidFill>
              <w14:schemeClr w14:val="tx1"/>
            </w14:solidFill>
          </w14:textFill>
        </w:rPr>
        <w:t>广东省交通运输厅发布的</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年度信用评价</w:t>
      </w:r>
      <w:r>
        <w:rPr>
          <w:rFonts w:ascii="宋体" w:hAnsi="宋体" w:cs="宋体"/>
          <w:snapToGrid w:val="0"/>
          <w:color w:val="000000" w:themeColor="text1"/>
          <w:spacing w:val="-118"/>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等级结果</w:t>
      </w:r>
      <w:r>
        <w:rPr>
          <w:rFonts w:ascii="宋体" w:hAnsi="宋体" w:cs="宋体"/>
          <w:snapToGrid w:val="0"/>
          <w:color w:val="000000" w:themeColor="text1"/>
          <w:spacing w:val="-2"/>
          <w:kern w:val="0"/>
          <w:sz w:val="24"/>
          <w:highlight w:val="none"/>
          <w14:textFill>
            <w14:solidFill>
              <w14:schemeClr w14:val="tx1"/>
            </w14:solidFill>
          </w14:textFill>
        </w:rPr>
        <w:t>和对应等级分值。</w:t>
      </w:r>
    </w:p>
    <w:p w14:paraId="71EEAF6C">
      <w:pPr>
        <w:widowControl/>
        <w:kinsoku w:val="0"/>
        <w:autoSpaceDE w:val="0"/>
        <w:autoSpaceDN w:val="0"/>
        <w:adjustRightInd w:val="0"/>
        <w:snapToGrid w:val="0"/>
        <w:spacing w:before="183" w:line="313" w:lineRule="auto"/>
        <w:ind w:left="7" w:right="2" w:firstLine="48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二、我单位承诺，在递交本次申请后，我单位将失去一次使用</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等级结果</w:t>
      </w:r>
      <w:r>
        <w:rPr>
          <w:rFonts w:ascii="宋体" w:hAnsi="宋体" w:cs="宋体"/>
          <w:b/>
          <w:bCs/>
          <w:snapToGrid w:val="0"/>
          <w:color w:val="000000" w:themeColor="text1"/>
          <w:spacing w:val="-2"/>
          <w:kern w:val="0"/>
          <w:sz w:val="24"/>
          <w:highlight w:val="none"/>
          <w14:textFill>
            <w14:solidFill>
              <w14:schemeClr w14:val="tx1"/>
            </w14:solidFill>
          </w14:textFill>
        </w:rPr>
        <w:t>（不</w:t>
      </w:r>
      <w:r>
        <w:rPr>
          <w:rFonts w:ascii="宋体" w:hAnsi="宋体" w:cs="宋体"/>
          <w:b/>
          <w:bCs/>
          <w:snapToGrid w:val="0"/>
          <w:color w:val="000000" w:themeColor="text1"/>
          <w:kern w:val="0"/>
          <w:sz w:val="24"/>
          <w:highlight w:val="none"/>
          <w14:textFill>
            <w14:solidFill>
              <w14:schemeClr w14:val="tx1"/>
            </w14:solidFill>
          </w14:textFill>
        </w:rPr>
        <w:t>使用时上述填“/</w:t>
      </w:r>
      <w:r>
        <w:rPr>
          <w:rFonts w:ascii="宋体" w:hAnsi="宋体" w:cs="宋体"/>
          <w:snapToGrid w:val="0"/>
          <w:color w:val="000000" w:themeColor="text1"/>
          <w:spacing w:val="-83"/>
          <w:kern w:val="0"/>
          <w:sz w:val="24"/>
          <w:highlight w:val="none"/>
          <w14:textFill>
            <w14:solidFill>
              <w14:schemeClr w14:val="tx1"/>
            </w14:solidFill>
          </w14:textFill>
        </w:rPr>
        <w:t xml:space="preserve"> </w:t>
      </w:r>
      <w:r>
        <w:rPr>
          <w:rFonts w:ascii="宋体" w:hAnsi="宋体" w:cs="宋体"/>
          <w:b/>
          <w:bCs/>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参与投标的机会。当累计使用超过规定的次数，我单位同意按降</w:t>
      </w:r>
      <w:r>
        <w:rPr>
          <w:rFonts w:ascii="宋体" w:hAnsi="宋体" w:cs="宋体"/>
          <w:snapToGrid w:val="0"/>
          <w:color w:val="000000" w:themeColor="text1"/>
          <w:spacing w:val="-1"/>
          <w:kern w:val="0"/>
          <w:sz w:val="24"/>
          <w:highlight w:val="none"/>
          <w14:textFill>
            <w14:solidFill>
              <w14:schemeClr w14:val="tx1"/>
            </w14:solidFill>
          </w14:textFill>
        </w:rPr>
        <w:t>低一个信用等级对应分值来认定参与投标评审。</w:t>
      </w:r>
    </w:p>
    <w:p w14:paraId="7FAEDE6F">
      <w:pPr>
        <w:widowControl/>
        <w:kinsoku w:val="0"/>
        <w:autoSpaceDE w:val="0"/>
        <w:autoSpaceDN w:val="0"/>
        <w:adjustRightInd w:val="0"/>
        <w:snapToGrid w:val="0"/>
        <w:spacing w:before="182" w:line="290" w:lineRule="auto"/>
        <w:ind w:left="14" w:right="2" w:firstLine="47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三、如果我单位发生违反规定使用信用等级结果的情形，自愿接受省级交通运输主</w:t>
      </w:r>
      <w:r>
        <w:rPr>
          <w:rFonts w:ascii="宋体" w:hAnsi="宋体" w:cs="宋体"/>
          <w:snapToGrid w:val="0"/>
          <w:color w:val="000000" w:themeColor="text1"/>
          <w:spacing w:val="-3"/>
          <w:kern w:val="0"/>
          <w:sz w:val="24"/>
          <w:highlight w:val="none"/>
          <w14:textFill>
            <w14:solidFill>
              <w14:schemeClr w14:val="tx1"/>
            </w14:solidFill>
          </w14:textFill>
        </w:rPr>
        <w:t>管部门的处理。</w:t>
      </w:r>
    </w:p>
    <w:p w14:paraId="0F3921F5">
      <w:pPr>
        <w:widowControl/>
        <w:kinsoku w:val="0"/>
        <w:autoSpaceDE w:val="0"/>
        <w:autoSpaceDN w:val="0"/>
        <w:adjustRightInd w:val="0"/>
        <w:snapToGrid w:val="0"/>
        <w:spacing w:before="183" w:line="362" w:lineRule="auto"/>
        <w:ind w:left="488" w:right="434" w:firstLine="1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附件：</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单位使用</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10"/>
          <w:kern w:val="0"/>
          <w:sz w:val="24"/>
          <w:highlight w:val="non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年度广东省公路工程从</w:t>
      </w:r>
      <w:r>
        <w:rPr>
          <w:rFonts w:ascii="宋体" w:hAnsi="宋体" w:cs="宋体"/>
          <w:snapToGrid w:val="0"/>
          <w:color w:val="000000" w:themeColor="text1"/>
          <w:spacing w:val="-2"/>
          <w:kern w:val="0"/>
          <w:sz w:val="24"/>
          <w:highlight w:val="none"/>
          <w14:textFill>
            <w14:solidFill>
              <w14:schemeClr w14:val="tx1"/>
            </w14:solidFill>
          </w14:textFill>
        </w:rPr>
        <w:t>业单位信用等级情况汇总表</w:t>
      </w:r>
      <w:r>
        <w:rPr>
          <w:rFonts w:ascii="宋体" w:hAnsi="宋体" w:cs="宋体"/>
          <w:snapToGrid w:val="0"/>
          <w:color w:val="000000" w:themeColor="text1"/>
          <w:spacing w:val="-3"/>
          <w:kern w:val="0"/>
          <w:sz w:val="24"/>
          <w:highlight w:val="none"/>
          <w14:textFill>
            <w14:solidFill>
              <w14:schemeClr w14:val="tx1"/>
            </w14:solidFill>
          </w14:textFill>
        </w:rPr>
        <w:t>特此承诺</w:t>
      </w:r>
    </w:p>
    <w:p w14:paraId="59E5A77A">
      <w:pPr>
        <w:kinsoku w:val="0"/>
        <w:autoSpaceDE w:val="0"/>
        <w:autoSpaceDN w:val="0"/>
        <w:adjustRightInd w:val="0"/>
        <w:snapToGrid w:val="0"/>
        <w:spacing w:line="38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97773A2">
      <w:pPr>
        <w:widowControl/>
        <w:kinsoku w:val="0"/>
        <w:autoSpaceDE w:val="0"/>
        <w:autoSpaceDN w:val="0"/>
        <w:adjustRightInd w:val="0"/>
        <w:snapToGrid w:val="0"/>
        <w:spacing w:before="78" w:line="360" w:lineRule="auto"/>
        <w:ind w:left="3131" w:right="194"/>
        <w:jc w:val="left"/>
        <w:textAlignment w:val="baseline"/>
        <w:rPr>
          <w:rFonts w:hint="eastAsia" w:ascii="宋体" w:hAnsi="宋体" w:cs="宋体"/>
          <w:snapToGrid w:val="0"/>
          <w:color w:val="000000" w:themeColor="text1"/>
          <w:kern w:val="0"/>
          <w:sz w:val="24"/>
          <w:highlight w:val="none"/>
          <w:u w:val="singl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投标人（单位全称</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50534365">
      <w:pPr>
        <w:widowControl/>
        <w:kinsoku w:val="0"/>
        <w:autoSpaceDE w:val="0"/>
        <w:autoSpaceDN w:val="0"/>
        <w:adjustRightInd w:val="0"/>
        <w:snapToGrid w:val="0"/>
        <w:spacing w:before="78" w:line="360" w:lineRule="auto"/>
        <w:ind w:left="3131" w:right="19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投标人的法定代表人或其委托代理人签名</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ascii="宋体" w:hAnsi="宋体" w:cs="宋体"/>
          <w:snapToGrid w:val="0"/>
          <w:color w:val="000000" w:themeColor="text1"/>
          <w:spacing w:val="-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p>
    <w:p w14:paraId="3BC38F84">
      <w:pPr>
        <w:widowControl/>
        <w:tabs>
          <w:tab w:val="left" w:pos="6597"/>
        </w:tabs>
        <w:kinsoku w:val="0"/>
        <w:autoSpaceDE w:val="0"/>
        <w:autoSpaceDN w:val="0"/>
        <w:adjustRightInd w:val="0"/>
        <w:snapToGrid w:val="0"/>
        <w:spacing w:before="1" w:line="219" w:lineRule="auto"/>
        <w:ind w:left="5998"/>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u w:val="single"/>
          <w14:textFill>
            <w14:solidFill>
              <w14:schemeClr w14:val="tx1"/>
            </w14:solidFill>
          </w14:textFill>
        </w:rPr>
        <w:tab/>
      </w:r>
      <w:r>
        <w:rPr>
          <w:rFonts w:ascii="宋体" w:hAnsi="宋体" w:cs="宋体"/>
          <w:snapToGrid w:val="0"/>
          <w:color w:val="000000" w:themeColor="text1"/>
          <w:spacing w:val="-10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年</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05"/>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月</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69"/>
          <w:kern w:val="0"/>
          <w:sz w:val="24"/>
          <w:highlight w:val="none"/>
          <w14:textFill>
            <w14:solidFill>
              <w14:schemeClr w14:val="tx1"/>
            </w14:solidFill>
          </w14:textFill>
        </w:rPr>
        <w:t xml:space="preserve"> </w:t>
      </w:r>
      <w:r>
        <w:rPr>
          <w:rFonts w:ascii="宋体" w:hAnsi="宋体" w:cs="宋体"/>
          <w:snapToGrid w:val="0"/>
          <w:color w:val="000000" w:themeColor="text1"/>
          <w:spacing w:val="-9"/>
          <w:kern w:val="0"/>
          <w:sz w:val="24"/>
          <w:highlight w:val="none"/>
          <w14:textFill>
            <w14:solidFill>
              <w14:schemeClr w14:val="tx1"/>
            </w14:solidFill>
          </w14:textFill>
        </w:rPr>
        <w:t>日</w:t>
      </w:r>
    </w:p>
    <w:p w14:paraId="7B998D79">
      <w:pPr>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3831B70A">
      <w:pPr>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402AAC03">
      <w:pPr>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57BA0D83">
      <w:pPr>
        <w:kinsoku w:val="0"/>
        <w:autoSpaceDE w:val="0"/>
        <w:autoSpaceDN w:val="0"/>
        <w:adjustRightInd w:val="0"/>
        <w:snapToGrid w:val="0"/>
        <w:spacing w:line="241"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1640A50">
      <w:pPr>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6B4C355">
      <w:pPr>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470F892">
      <w:pPr>
        <w:widowControl/>
        <w:kinsoku w:val="0"/>
        <w:autoSpaceDE w:val="0"/>
        <w:autoSpaceDN w:val="0"/>
        <w:adjustRightInd w:val="0"/>
        <w:snapToGrid w:val="0"/>
        <w:spacing w:before="65" w:line="232" w:lineRule="auto"/>
        <w:ind w:left="7"/>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kern w:val="0"/>
          <w:sz w:val="20"/>
          <w:szCs w:val="20"/>
          <w:highlight w:val="none"/>
          <w14:textFill>
            <w14:solidFill>
              <w14:schemeClr w14:val="tx1"/>
            </w14:solidFill>
          </w14:textFill>
        </w:rPr>
        <w:t>注：</w:t>
      </w:r>
    </w:p>
    <w:p w14:paraId="5E2089D1">
      <w:pPr>
        <w:widowControl/>
        <w:kinsoku w:val="0"/>
        <w:autoSpaceDE w:val="0"/>
        <w:autoSpaceDN w:val="0"/>
        <w:adjustRightInd w:val="0"/>
        <w:snapToGrid w:val="0"/>
        <w:spacing w:before="60" w:line="258" w:lineRule="auto"/>
        <w:ind w:left="6" w:right="2" w:firstLine="1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2"/>
          <w:kern w:val="0"/>
          <w:sz w:val="20"/>
          <w:szCs w:val="20"/>
          <w:highlight w:val="none"/>
          <w14:textFill>
            <w14:solidFill>
              <w14:schemeClr w14:val="tx1"/>
            </w14:solidFill>
          </w14:textFill>
        </w:rPr>
        <w:t>1、</w:t>
      </w:r>
      <w:r>
        <w:rPr>
          <w:rFonts w:ascii="宋体" w:hAnsi="宋体" w:cs="宋体"/>
          <w:snapToGrid w:val="0"/>
          <w:color w:val="000000" w:themeColor="text1"/>
          <w:kern w:val="0"/>
          <w:sz w:val="20"/>
          <w:szCs w:val="20"/>
          <w:highlight w:val="none"/>
          <w14:textFill>
            <w14:solidFill>
              <w14:schemeClr w14:val="tx1"/>
            </w14:solidFill>
          </w14:textFill>
        </w:rPr>
        <w:t>AA</w:t>
      </w:r>
      <w:r>
        <w:rPr>
          <w:rFonts w:ascii="宋体" w:hAnsi="宋体" w:cs="宋体"/>
          <w:snapToGrid w:val="0"/>
          <w:color w:val="000000" w:themeColor="text1"/>
          <w:spacing w:val="2"/>
          <w:kern w:val="0"/>
          <w:sz w:val="20"/>
          <w:szCs w:val="20"/>
          <w:highlight w:val="none"/>
          <w14:textFill>
            <w14:solidFill>
              <w14:schemeClr w14:val="tx1"/>
            </w14:solidFill>
          </w14:textFill>
        </w:rPr>
        <w:t>、A</w:t>
      </w:r>
      <w:r>
        <w:rPr>
          <w:rFonts w:ascii="宋体" w:hAnsi="宋体" w:cs="宋体"/>
          <w:snapToGrid w:val="0"/>
          <w:color w:val="000000" w:themeColor="text1"/>
          <w:spacing w:val="-1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级信用等级企业必须填写此申请承诺书；选择“使用</w:t>
      </w:r>
      <w:r>
        <w:rPr>
          <w:rFonts w:ascii="宋体" w:hAnsi="宋体" w:cs="宋体"/>
          <w:snapToGrid w:val="0"/>
          <w:color w:val="000000" w:themeColor="text1"/>
          <w:spacing w:val="-7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”时需和附表（</w:t>
      </w:r>
      <w:r>
        <w:rPr>
          <w:rFonts w:ascii="宋体" w:hAnsi="宋体" w:cs="宋体"/>
          <w:snapToGrid w:val="0"/>
          <w:color w:val="000000" w:themeColor="text1"/>
          <w:spacing w:val="2"/>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9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单位使用</w:t>
      </w:r>
      <w:r>
        <w:rPr>
          <w:rFonts w:ascii="宋体" w:hAnsi="宋体" w:cs="宋体"/>
          <w:snapToGrid w:val="0"/>
          <w:color w:val="000000" w:themeColor="text1"/>
          <w:spacing w:val="-9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5"/>
          <w:kern w:val="0"/>
          <w:sz w:val="20"/>
          <w:szCs w:val="20"/>
          <w:highlight w:val="none"/>
          <w:u w:val="single"/>
          <w14:textFill>
            <w14:solidFill>
              <w14:schemeClr w14:val="tx1"/>
            </w14:solidFill>
          </w14:textFill>
        </w:rPr>
        <w:t xml:space="preserve">     </w:t>
      </w:r>
      <w:r>
        <w:rPr>
          <w:rFonts w:ascii="宋体" w:hAnsi="宋体" w:cs="宋体"/>
          <w:snapToGrid w:val="0"/>
          <w:color w:val="000000" w:themeColor="text1"/>
          <w:spacing w:val="-90"/>
          <w:kern w:val="0"/>
          <w:sz w:val="20"/>
          <w:szCs w:val="20"/>
          <w:highlight w:val="none"/>
          <w14:textFill>
            <w14:solidFill>
              <w14:schemeClr w14:val="tx1"/>
            </w14:solidFill>
          </w14:textFill>
        </w:rPr>
        <w:t xml:space="preserve"> </w:t>
      </w:r>
      <w:r>
        <w:rPr>
          <w:rFonts w:ascii="宋体" w:hAnsi="宋体" w:cs="宋体"/>
          <w:snapToGrid w:val="0"/>
          <w:color w:val="000000" w:themeColor="text1"/>
          <w:spacing w:val="2"/>
          <w:kern w:val="0"/>
          <w:sz w:val="20"/>
          <w:szCs w:val="20"/>
          <w:highlight w:val="none"/>
          <w14:textFill>
            <w14:solidFill>
              <w14:schemeClr w14:val="tx1"/>
            </w14:solidFill>
          </w14:textFill>
        </w:rPr>
        <w:t>年</w:t>
      </w:r>
      <w:r>
        <w:rPr>
          <w:rFonts w:ascii="宋体" w:hAnsi="宋体" w:cs="宋体"/>
          <w:snapToGrid w:val="0"/>
          <w:color w:val="000000" w:themeColor="text1"/>
          <w:spacing w:val="9"/>
          <w:kern w:val="0"/>
          <w:sz w:val="20"/>
          <w:szCs w:val="20"/>
          <w:highlight w:val="none"/>
          <w14:textFill>
            <w14:solidFill>
              <w14:schemeClr w14:val="tx1"/>
            </w14:solidFill>
          </w14:textFill>
        </w:rPr>
        <w:t>度广东省公路工程从业单位信用等级情况汇总表）一起编入投标文件中。</w:t>
      </w:r>
    </w:p>
    <w:p w14:paraId="76B646F8">
      <w:pPr>
        <w:widowControl/>
        <w:kinsoku w:val="0"/>
        <w:autoSpaceDE w:val="0"/>
        <w:autoSpaceDN w:val="0"/>
        <w:adjustRightInd w:val="0"/>
        <w:snapToGrid w:val="0"/>
        <w:spacing w:before="64" w:line="273" w:lineRule="auto"/>
        <w:ind w:left="5" w:right="2" w:firstLine="4"/>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2、</w:t>
      </w:r>
      <w:r>
        <w:rPr>
          <w:rFonts w:ascii="宋体" w:hAnsi="宋体" w:cs="宋体"/>
          <w:snapToGrid w:val="0"/>
          <w:color w:val="000000" w:themeColor="text1"/>
          <w:kern w:val="0"/>
          <w:sz w:val="20"/>
          <w:szCs w:val="20"/>
          <w:highlight w:val="none"/>
          <w14:textFill>
            <w14:solidFill>
              <w14:schemeClr w14:val="tx1"/>
            </w14:solidFill>
          </w14:textFill>
        </w:rPr>
        <w:t>AA</w:t>
      </w:r>
      <w:r>
        <w:rPr>
          <w:rFonts w:ascii="宋体" w:hAnsi="宋体" w:cs="宋体"/>
          <w:snapToGrid w:val="0"/>
          <w:color w:val="000000" w:themeColor="text1"/>
          <w:spacing w:val="8"/>
          <w:kern w:val="0"/>
          <w:sz w:val="20"/>
          <w:szCs w:val="20"/>
          <w:highlight w:val="none"/>
          <w14:textFill>
            <w14:solidFill>
              <w14:schemeClr w14:val="tx1"/>
            </w14:solidFill>
          </w14:textFill>
        </w:rPr>
        <w:t>、A 级信用等级企业应区分标段、分别填写并提交此申请承诺书；如同时对多个标段选择“使</w:t>
      </w:r>
      <w:r>
        <w:rPr>
          <w:rFonts w:ascii="宋体" w:hAnsi="宋体" w:cs="宋体"/>
          <w:snapToGrid w:val="0"/>
          <w:color w:val="000000" w:themeColor="text1"/>
          <w:spacing w:val="9"/>
          <w:kern w:val="0"/>
          <w:sz w:val="20"/>
          <w:szCs w:val="20"/>
          <w:highlight w:val="none"/>
          <w14:textFill>
            <w14:solidFill>
              <w14:schemeClr w14:val="tx1"/>
            </w14:solidFill>
          </w14:textFill>
        </w:rPr>
        <w:t>用</w:t>
      </w:r>
      <w:r>
        <w:rPr>
          <w:rFonts w:ascii="宋体" w:hAnsi="宋体" w:cs="宋体"/>
          <w:snapToGrid w:val="0"/>
          <w:color w:val="000000" w:themeColor="text1"/>
          <w:spacing w:val="-65"/>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”时，使用次数应按标段累加（即各个标段申请承诺书的使用次数应不一致）</w:t>
      </w:r>
      <w:r>
        <w:rPr>
          <w:rFonts w:ascii="宋体" w:hAnsi="宋体" w:cs="宋体"/>
          <w:snapToGrid w:val="0"/>
          <w:color w:val="000000" w:themeColor="text1"/>
          <w:spacing w:val="-58"/>
          <w:kern w:val="0"/>
          <w:sz w:val="20"/>
          <w:szCs w:val="20"/>
          <w:highlight w:val="none"/>
          <w14:textFill>
            <w14:solidFill>
              <w14:schemeClr w14:val="tx1"/>
            </w14:solidFill>
          </w14:textFill>
        </w:rPr>
        <w:t xml:space="preserve"> </w:t>
      </w:r>
      <w:r>
        <w:rPr>
          <w:rFonts w:ascii="宋体" w:hAnsi="宋体" w:cs="宋体"/>
          <w:snapToGrid w:val="0"/>
          <w:color w:val="000000" w:themeColor="text1"/>
          <w:spacing w:val="9"/>
          <w:kern w:val="0"/>
          <w:sz w:val="20"/>
          <w:szCs w:val="20"/>
          <w:highlight w:val="none"/>
          <w14:textFill>
            <w14:solidFill>
              <w14:schemeClr w14:val="tx1"/>
            </w14:solidFill>
          </w14:textFill>
        </w:rPr>
        <w:t>。如同时对多个标</w:t>
      </w:r>
      <w:r>
        <w:rPr>
          <w:rFonts w:ascii="宋体" w:hAnsi="宋体" w:cs="宋体"/>
          <w:snapToGrid w:val="0"/>
          <w:color w:val="000000" w:themeColor="text1"/>
          <w:spacing w:val="10"/>
          <w:kern w:val="0"/>
          <w:sz w:val="20"/>
          <w:szCs w:val="20"/>
          <w:highlight w:val="none"/>
          <w14:textFill>
            <w14:solidFill>
              <w14:schemeClr w14:val="tx1"/>
            </w14:solidFill>
          </w14:textFill>
        </w:rPr>
        <w:t>段选择“使用</w:t>
      </w:r>
      <w:r>
        <w:rPr>
          <w:rFonts w:ascii="宋体" w:hAnsi="宋体" w:cs="宋体"/>
          <w:snapToGrid w:val="0"/>
          <w:color w:val="000000" w:themeColor="text1"/>
          <w:spacing w:val="-66"/>
          <w:kern w:val="0"/>
          <w:sz w:val="20"/>
          <w:szCs w:val="20"/>
          <w:highlight w:val="none"/>
          <w14:textFill>
            <w14:solidFill>
              <w14:schemeClr w14:val="tx1"/>
            </w14:solidFill>
          </w14:textFill>
        </w:rPr>
        <w:t xml:space="preserve"> </w:t>
      </w:r>
      <w:r>
        <w:rPr>
          <w:rFonts w:ascii="宋体" w:hAnsi="宋体" w:cs="宋体"/>
          <w:snapToGrid w:val="0"/>
          <w:color w:val="000000" w:themeColor="text1"/>
          <w:spacing w:val="10"/>
          <w:kern w:val="0"/>
          <w:sz w:val="20"/>
          <w:szCs w:val="20"/>
          <w:highlight w:val="none"/>
          <w14:textFill>
            <w14:solidFill>
              <w14:schemeClr w14:val="tx1"/>
            </w14:solidFill>
          </w14:textFill>
        </w:rPr>
        <w:t>”而多个标段所附申请承诺书的使用次数为同一次时，多个标段均视为未正确填报申</w:t>
      </w:r>
      <w:r>
        <w:rPr>
          <w:rFonts w:ascii="宋体" w:hAnsi="宋体" w:cs="宋体"/>
          <w:snapToGrid w:val="0"/>
          <w:color w:val="000000" w:themeColor="text1"/>
          <w:spacing w:val="9"/>
          <w:kern w:val="0"/>
          <w:sz w:val="20"/>
          <w:szCs w:val="20"/>
          <w:highlight w:val="none"/>
          <w14:textFill>
            <w14:solidFill>
              <w14:schemeClr w14:val="tx1"/>
            </w14:solidFill>
          </w14:textFill>
        </w:rPr>
        <w:t>请承诺书，均按不承诺使用对应的信用等级处理。</w:t>
      </w:r>
    </w:p>
    <w:p w14:paraId="260439E0">
      <w:pPr>
        <w:widowControl/>
        <w:kinsoku w:val="0"/>
        <w:autoSpaceDE w:val="0"/>
        <w:autoSpaceDN w:val="0"/>
        <w:adjustRightInd w:val="0"/>
        <w:snapToGrid w:val="0"/>
        <w:spacing w:before="66" w:line="259" w:lineRule="auto"/>
        <w:ind w:left="7" w:right="4" w:firstLine="3"/>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8"/>
          <w:kern w:val="0"/>
          <w:sz w:val="20"/>
          <w:szCs w:val="20"/>
          <w:highlight w:val="none"/>
          <w14:textFill>
            <w14:solidFill>
              <w14:schemeClr w14:val="tx1"/>
            </w14:solidFill>
          </w14:textFill>
        </w:rPr>
        <w:t>3、中标候选人公示中，将对所有承诺使用最新年度</w:t>
      </w:r>
      <w:r>
        <w:rPr>
          <w:rFonts w:ascii="宋体" w:hAnsi="宋体" w:cs="宋体"/>
          <w:snapToGrid w:val="0"/>
          <w:color w:val="000000" w:themeColor="text1"/>
          <w:spacing w:val="-46"/>
          <w:kern w:val="0"/>
          <w:sz w:val="20"/>
          <w:szCs w:val="20"/>
          <w:highlight w:val="none"/>
          <w14:textFill>
            <w14:solidFill>
              <w14:schemeClr w14:val="tx1"/>
            </w14:solidFill>
          </w14:textFill>
        </w:rPr>
        <w:t xml:space="preserve"> </w:t>
      </w:r>
      <w:r>
        <w:rPr>
          <w:rFonts w:ascii="宋体" w:hAnsi="宋体" w:cs="宋体"/>
          <w:snapToGrid w:val="0"/>
          <w:color w:val="000000" w:themeColor="text1"/>
          <w:kern w:val="0"/>
          <w:sz w:val="20"/>
          <w:szCs w:val="20"/>
          <w:highlight w:val="none"/>
          <w14:textFill>
            <w14:solidFill>
              <w14:schemeClr w14:val="tx1"/>
            </w14:solidFill>
          </w14:textFill>
        </w:rPr>
        <w:t>AA</w:t>
      </w:r>
      <w:r>
        <w:rPr>
          <w:rFonts w:ascii="宋体" w:hAnsi="宋体" w:cs="宋体"/>
          <w:snapToGrid w:val="0"/>
          <w:color w:val="000000" w:themeColor="text1"/>
          <w:spacing w:val="8"/>
          <w:kern w:val="0"/>
          <w:sz w:val="20"/>
          <w:szCs w:val="20"/>
          <w:highlight w:val="none"/>
          <w14:textFill>
            <w14:solidFill>
              <w14:schemeClr w14:val="tx1"/>
            </w14:solidFill>
          </w14:textFill>
        </w:rPr>
        <w:t>、A</w:t>
      </w:r>
      <w:r>
        <w:rPr>
          <w:rFonts w:ascii="宋体" w:hAnsi="宋体" w:cs="宋体"/>
          <w:snapToGrid w:val="0"/>
          <w:color w:val="000000" w:themeColor="text1"/>
          <w:spacing w:val="-37"/>
          <w:kern w:val="0"/>
          <w:sz w:val="20"/>
          <w:szCs w:val="20"/>
          <w:highlight w:val="none"/>
          <w14:textFill>
            <w14:solidFill>
              <w14:schemeClr w14:val="tx1"/>
            </w14:solidFill>
          </w14:textFill>
        </w:rPr>
        <w:t xml:space="preserve"> </w:t>
      </w:r>
      <w:r>
        <w:rPr>
          <w:rFonts w:ascii="宋体" w:hAnsi="宋体" w:cs="宋体"/>
          <w:snapToGrid w:val="0"/>
          <w:color w:val="000000" w:themeColor="text1"/>
          <w:spacing w:val="8"/>
          <w:kern w:val="0"/>
          <w:sz w:val="20"/>
          <w:szCs w:val="20"/>
          <w:highlight w:val="none"/>
          <w14:textFill>
            <w14:solidFill>
              <w14:schemeClr w14:val="tx1"/>
            </w14:solidFill>
          </w14:textFill>
        </w:rPr>
        <w:t>级投标人的年度信用等级使用</w:t>
      </w:r>
      <w:r>
        <w:rPr>
          <w:rFonts w:ascii="宋体" w:hAnsi="宋体" w:cs="宋体"/>
          <w:snapToGrid w:val="0"/>
          <w:color w:val="000000" w:themeColor="text1"/>
          <w:spacing w:val="7"/>
          <w:kern w:val="0"/>
          <w:sz w:val="20"/>
          <w:szCs w:val="20"/>
          <w:highlight w:val="none"/>
          <w14:textFill>
            <w14:solidFill>
              <w14:schemeClr w14:val="tx1"/>
            </w14:solidFill>
          </w14:textFill>
        </w:rPr>
        <w:t>情况进行公</w:t>
      </w:r>
      <w:r>
        <w:rPr>
          <w:rFonts w:ascii="宋体" w:hAnsi="宋体" w:cs="宋体"/>
          <w:snapToGrid w:val="0"/>
          <w:color w:val="000000" w:themeColor="text1"/>
          <w:kern w:val="0"/>
          <w:sz w:val="20"/>
          <w:szCs w:val="20"/>
          <w:highlight w:val="none"/>
          <w14:textFill>
            <w14:solidFill>
              <w14:schemeClr w14:val="tx1"/>
            </w14:solidFill>
          </w14:textFill>
        </w:rPr>
        <w:t>开。</w:t>
      </w:r>
    </w:p>
    <w:p w14:paraId="23250CB9">
      <w:pPr>
        <w:widowControl/>
        <w:kinsoku w:val="0"/>
        <w:autoSpaceDE w:val="0"/>
        <w:autoSpaceDN w:val="0"/>
        <w:adjustRightInd w:val="0"/>
        <w:snapToGrid w:val="0"/>
        <w:spacing w:before="64" w:line="228" w:lineRule="auto"/>
        <w:ind w:left="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4、以联合体形式投标的，联合体各成员应分别填</w:t>
      </w:r>
      <w:r>
        <w:rPr>
          <w:rFonts w:ascii="宋体" w:hAnsi="宋体" w:cs="宋体"/>
          <w:snapToGrid w:val="0"/>
          <w:color w:val="000000" w:themeColor="text1"/>
          <w:spacing w:val="8"/>
          <w:kern w:val="0"/>
          <w:sz w:val="20"/>
          <w:szCs w:val="20"/>
          <w:highlight w:val="none"/>
          <w14:textFill>
            <w14:solidFill>
              <w14:schemeClr w14:val="tx1"/>
            </w14:solidFill>
          </w14:textFill>
        </w:rPr>
        <w:t>写。</w:t>
      </w:r>
    </w:p>
    <w:p w14:paraId="42E11F25">
      <w:pPr>
        <w:spacing w:line="228" w:lineRule="auto"/>
        <w:rPr>
          <w:rFonts w:hint="eastAsia" w:ascii="宋体" w:hAnsi="宋体" w:cs="宋体"/>
          <w:color w:val="000000" w:themeColor="text1"/>
          <w:sz w:val="20"/>
          <w:szCs w:val="20"/>
          <w:highlight w:val="none"/>
          <w14:textFill>
            <w14:solidFill>
              <w14:schemeClr w14:val="tx1"/>
            </w14:solidFill>
          </w14:textFill>
        </w:rPr>
        <w:sectPr>
          <w:headerReference r:id="rId118" w:type="default"/>
          <w:footerReference r:id="rId119" w:type="default"/>
          <w:pgSz w:w="11906" w:h="16839"/>
          <w:pgMar w:top="1182" w:right="1415" w:bottom="1168" w:left="1417" w:header="849" w:footer="934" w:gutter="0"/>
          <w:cols w:space="720" w:num="1"/>
        </w:sectPr>
      </w:pPr>
    </w:p>
    <w:p w14:paraId="563E9BF2">
      <w:pPr>
        <w:kinsoku w:val="0"/>
        <w:autoSpaceDE w:val="0"/>
        <w:autoSpaceDN w:val="0"/>
        <w:adjustRightInd w:val="0"/>
        <w:snapToGrid w:val="0"/>
        <w:spacing w:line="27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276F99E">
      <w:pPr>
        <w:widowControl/>
        <w:kinsoku w:val="0"/>
        <w:autoSpaceDE w:val="0"/>
        <w:autoSpaceDN w:val="0"/>
        <w:adjustRightInd w:val="0"/>
        <w:snapToGrid w:val="0"/>
        <w:spacing w:before="78" w:line="219" w:lineRule="auto"/>
        <w:ind w:left="263"/>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10"/>
          <w:kern w:val="0"/>
          <w:sz w:val="24"/>
          <w:highlight w:val="none"/>
          <w:lang w:eastAsia="en-US"/>
          <w14:textFill>
            <w14:solidFill>
              <w14:schemeClr w14:val="tx1"/>
            </w14:solidFill>
          </w14:textFill>
        </w:rPr>
        <w:t>附表：</w:t>
      </w:r>
    </w:p>
    <w:tbl>
      <w:tblPr>
        <w:tblStyle w:val="45"/>
        <w:tblpPr w:leftFromText="180" w:rightFromText="180" w:vertAnchor="text" w:horzAnchor="page" w:tblpX="1200" w:tblpY="2138"/>
        <w:tblOverlap w:val="never"/>
        <w:tblW w:w="95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6"/>
        <w:gridCol w:w="3163"/>
        <w:gridCol w:w="1259"/>
        <w:gridCol w:w="1668"/>
        <w:gridCol w:w="1575"/>
        <w:gridCol w:w="1008"/>
      </w:tblGrid>
      <w:tr w14:paraId="4684F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866" w:type="dxa"/>
          </w:tcPr>
          <w:p w14:paraId="45D19457">
            <w:pPr>
              <w:widowControl/>
              <w:kinsoku w:val="0"/>
              <w:autoSpaceDE w:val="0"/>
              <w:autoSpaceDN w:val="0"/>
              <w:adjustRightInd w:val="0"/>
              <w:snapToGrid w:val="0"/>
              <w:spacing w:line="400" w:lineRule="auto"/>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p>
          <w:p w14:paraId="4A8FCDC6">
            <w:pPr>
              <w:kinsoku w:val="0"/>
              <w:autoSpaceDE w:val="0"/>
              <w:autoSpaceDN w:val="0"/>
              <w:adjustRightInd w:val="0"/>
              <w:snapToGrid w:val="0"/>
              <w:spacing w:before="65" w:line="229" w:lineRule="auto"/>
              <w:ind w:left="22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5"/>
                <w:kern w:val="0"/>
                <w:szCs w:val="21"/>
                <w:highlight w:val="none"/>
                <w:lang w:eastAsia="en-US"/>
                <w14:textFill>
                  <w14:solidFill>
                    <w14:schemeClr w14:val="tx1"/>
                  </w14:solidFill>
                </w14:textFill>
              </w:rPr>
              <w:t>序号</w:t>
            </w:r>
          </w:p>
        </w:tc>
        <w:tc>
          <w:tcPr>
            <w:tcW w:w="3163" w:type="dxa"/>
          </w:tcPr>
          <w:p w14:paraId="0329B801">
            <w:pPr>
              <w:widowControl/>
              <w:kinsoku w:val="0"/>
              <w:autoSpaceDE w:val="0"/>
              <w:autoSpaceDN w:val="0"/>
              <w:adjustRightInd w:val="0"/>
              <w:snapToGrid w:val="0"/>
              <w:spacing w:line="40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2352EB6">
            <w:pPr>
              <w:kinsoku w:val="0"/>
              <w:autoSpaceDE w:val="0"/>
              <w:autoSpaceDN w:val="0"/>
              <w:adjustRightInd w:val="0"/>
              <w:snapToGrid w:val="0"/>
              <w:spacing w:before="65" w:line="228" w:lineRule="auto"/>
              <w:ind w:left="106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招标人名称</w:t>
            </w:r>
          </w:p>
        </w:tc>
        <w:tc>
          <w:tcPr>
            <w:tcW w:w="1259" w:type="dxa"/>
          </w:tcPr>
          <w:p w14:paraId="153BD9E7">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BA3BD25">
            <w:pPr>
              <w:kinsoku w:val="0"/>
              <w:autoSpaceDE w:val="0"/>
              <w:autoSpaceDN w:val="0"/>
              <w:adjustRightInd w:val="0"/>
              <w:snapToGrid w:val="0"/>
              <w:spacing w:before="66" w:line="290" w:lineRule="auto"/>
              <w:ind w:left="216" w:right="105" w:hanging="103"/>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标类或（标段）名称</w:t>
            </w:r>
          </w:p>
        </w:tc>
        <w:tc>
          <w:tcPr>
            <w:tcW w:w="1668" w:type="dxa"/>
          </w:tcPr>
          <w:p w14:paraId="6FEF7DDE">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7CAFF464">
            <w:pPr>
              <w:kinsoku w:val="0"/>
              <w:autoSpaceDE w:val="0"/>
              <w:autoSpaceDN w:val="0"/>
              <w:adjustRightInd w:val="0"/>
              <w:snapToGrid w:val="0"/>
              <w:spacing w:before="65" w:line="289" w:lineRule="auto"/>
              <w:ind w:left="261" w:right="142" w:hanging="114"/>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8"/>
                <w:kern w:val="0"/>
                <w:szCs w:val="21"/>
                <w:highlight w:val="none"/>
                <w14:textFill>
                  <w14:solidFill>
                    <w14:schemeClr w14:val="tx1"/>
                  </w14:solidFill>
                </w14:textFill>
              </w:rPr>
              <w:t>递交文件时间</w:t>
            </w:r>
            <w:r>
              <w:rPr>
                <w:rFonts w:ascii="宋体" w:hAnsi="宋体" w:cs="宋体"/>
                <w:snapToGrid w:val="0"/>
                <w:color w:val="000000" w:themeColor="text1"/>
                <w:spacing w:val="3"/>
                <w:kern w:val="0"/>
                <w:szCs w:val="21"/>
                <w:highlight w:val="none"/>
                <w14:textFill>
                  <w14:solidFill>
                    <w14:schemeClr w14:val="tx1"/>
                  </w14:solidFill>
                </w14:textFill>
              </w:rPr>
              <w:t>（年月日）</w:t>
            </w:r>
          </w:p>
        </w:tc>
        <w:tc>
          <w:tcPr>
            <w:tcW w:w="1575" w:type="dxa"/>
          </w:tcPr>
          <w:p w14:paraId="66B9AF9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64A16652">
            <w:pPr>
              <w:kinsoku w:val="0"/>
              <w:autoSpaceDE w:val="0"/>
              <w:autoSpaceDN w:val="0"/>
              <w:adjustRightInd w:val="0"/>
              <w:snapToGrid w:val="0"/>
              <w:spacing w:before="65" w:line="290" w:lineRule="auto"/>
              <w:ind w:left="189" w:right="176" w:hanging="2"/>
              <w:jc w:val="left"/>
              <w:textAlignment w:val="baseline"/>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spacing w:val="7"/>
                <w:kern w:val="0"/>
                <w:szCs w:val="21"/>
                <w:highlight w:val="none"/>
                <w14:textFill>
                  <w14:solidFill>
                    <w14:schemeClr w14:val="tx1"/>
                  </w14:solidFill>
                </w14:textFill>
              </w:rPr>
              <w:t>使用信用等</w:t>
            </w:r>
            <w:r>
              <w:rPr>
                <w:rFonts w:ascii="宋体" w:hAnsi="宋体" w:cs="宋体"/>
                <w:snapToGrid w:val="0"/>
                <w:color w:val="000000" w:themeColor="text1"/>
                <w:spacing w:val="5"/>
                <w:kern w:val="0"/>
                <w:szCs w:val="21"/>
                <w:highlight w:val="none"/>
                <w14:textFill>
                  <w14:solidFill>
                    <w14:schemeClr w14:val="tx1"/>
                  </w14:solidFill>
                </w14:textFill>
              </w:rPr>
              <w:t>级（</w:t>
            </w:r>
            <w:r>
              <w:rPr>
                <w:rFonts w:ascii="宋体" w:hAnsi="宋体" w:cs="宋体"/>
                <w:snapToGrid w:val="0"/>
                <w:color w:val="000000" w:themeColor="text1"/>
                <w:kern w:val="0"/>
                <w:szCs w:val="21"/>
                <w:highlight w:val="none"/>
                <w14:textFill>
                  <w14:solidFill>
                    <w14:schemeClr w14:val="tx1"/>
                  </w14:solidFill>
                </w14:textFill>
              </w:rPr>
              <w:t>AA</w:t>
            </w:r>
            <w:r>
              <w:rPr>
                <w:rFonts w:ascii="宋体" w:hAnsi="宋体" w:cs="宋体"/>
                <w:snapToGrid w:val="0"/>
                <w:color w:val="000000" w:themeColor="text1"/>
                <w:spacing w:val="5"/>
                <w:kern w:val="0"/>
                <w:szCs w:val="21"/>
                <w:highlight w:val="none"/>
                <w14:textFill>
                  <w14:solidFill>
                    <w14:schemeClr w14:val="tx1"/>
                  </w14:solidFill>
                </w14:textFill>
              </w:rPr>
              <w:t>/A）</w:t>
            </w:r>
          </w:p>
        </w:tc>
        <w:tc>
          <w:tcPr>
            <w:tcW w:w="1008" w:type="dxa"/>
          </w:tcPr>
          <w:p w14:paraId="454F5BF7">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06F98AA">
            <w:pPr>
              <w:kinsoku w:val="0"/>
              <w:autoSpaceDE w:val="0"/>
              <w:autoSpaceDN w:val="0"/>
              <w:adjustRightInd w:val="0"/>
              <w:snapToGrid w:val="0"/>
              <w:spacing w:before="65" w:line="229" w:lineRule="auto"/>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szCs w:val="21"/>
                <w:highlight w:val="none"/>
                <w:lang w:eastAsia="en-US"/>
                <w14:textFill>
                  <w14:solidFill>
                    <w14:schemeClr w14:val="tx1"/>
                  </w14:solidFill>
                </w14:textFill>
              </w:rPr>
              <w:t>备注</w:t>
            </w:r>
          </w:p>
        </w:tc>
      </w:tr>
      <w:tr w14:paraId="6D9E1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4211838F">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EE59AB0">
            <w:pPr>
              <w:kinsoku w:val="0"/>
              <w:autoSpaceDE w:val="0"/>
              <w:autoSpaceDN w:val="0"/>
              <w:adjustRightInd w:val="0"/>
              <w:snapToGrid w:val="0"/>
              <w:spacing w:before="65" w:line="271" w:lineRule="exact"/>
              <w:ind w:left="40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1</w:t>
            </w:r>
          </w:p>
        </w:tc>
        <w:tc>
          <w:tcPr>
            <w:tcW w:w="3163" w:type="dxa"/>
            <w:vAlign w:val="center"/>
          </w:tcPr>
          <w:p w14:paraId="5424588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702F0C1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35AF66B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28CC29D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38246F3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D30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32907BC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4031F72">
            <w:pPr>
              <w:kinsoku w:val="0"/>
              <w:autoSpaceDE w:val="0"/>
              <w:autoSpaceDN w:val="0"/>
              <w:adjustRightInd w:val="0"/>
              <w:snapToGrid w:val="0"/>
              <w:spacing w:before="65" w:line="270" w:lineRule="exact"/>
              <w:ind w:left="38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2</w:t>
            </w:r>
          </w:p>
        </w:tc>
        <w:tc>
          <w:tcPr>
            <w:tcW w:w="3163" w:type="dxa"/>
            <w:vAlign w:val="center"/>
          </w:tcPr>
          <w:p w14:paraId="15E7EA0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589B560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3A6429E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4D7B420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6BEBC51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E368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6BB28F1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2C908EA">
            <w:pPr>
              <w:kinsoku w:val="0"/>
              <w:autoSpaceDE w:val="0"/>
              <w:autoSpaceDN w:val="0"/>
              <w:adjustRightInd w:val="0"/>
              <w:snapToGrid w:val="0"/>
              <w:spacing w:before="65" w:line="269" w:lineRule="exact"/>
              <w:ind w:left="38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3</w:t>
            </w:r>
          </w:p>
        </w:tc>
        <w:tc>
          <w:tcPr>
            <w:tcW w:w="3163" w:type="dxa"/>
            <w:vAlign w:val="center"/>
          </w:tcPr>
          <w:p w14:paraId="483F389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2A170A8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30168CE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2156DD7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5F680B1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EF3C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7DF8385C">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C75FF5E">
            <w:pPr>
              <w:kinsoku w:val="0"/>
              <w:autoSpaceDE w:val="0"/>
              <w:autoSpaceDN w:val="0"/>
              <w:adjustRightInd w:val="0"/>
              <w:snapToGrid w:val="0"/>
              <w:spacing w:before="65" w:line="270" w:lineRule="exact"/>
              <w:ind w:left="384"/>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4</w:t>
            </w:r>
          </w:p>
        </w:tc>
        <w:tc>
          <w:tcPr>
            <w:tcW w:w="3163" w:type="dxa"/>
            <w:vAlign w:val="center"/>
          </w:tcPr>
          <w:p w14:paraId="76AC18B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2902D30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18915D3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0C26D27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55F3A28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1FA3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191352D2">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6C1452CC">
            <w:pPr>
              <w:kinsoku w:val="0"/>
              <w:autoSpaceDE w:val="0"/>
              <w:autoSpaceDN w:val="0"/>
              <w:adjustRightInd w:val="0"/>
              <w:snapToGrid w:val="0"/>
              <w:spacing w:before="65" w:line="269" w:lineRule="exact"/>
              <w:ind w:left="389"/>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5</w:t>
            </w:r>
          </w:p>
        </w:tc>
        <w:tc>
          <w:tcPr>
            <w:tcW w:w="3163" w:type="dxa"/>
            <w:vAlign w:val="center"/>
          </w:tcPr>
          <w:p w14:paraId="263C29A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5E8DE8F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6CFED1E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2FBA2CB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3C27C63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D764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40EC4752">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39FD640A">
            <w:pPr>
              <w:kinsoku w:val="0"/>
              <w:autoSpaceDE w:val="0"/>
              <w:autoSpaceDN w:val="0"/>
              <w:adjustRightInd w:val="0"/>
              <w:snapToGrid w:val="0"/>
              <w:spacing w:before="65" w:line="268" w:lineRule="exact"/>
              <w:ind w:left="387"/>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6</w:t>
            </w:r>
          </w:p>
        </w:tc>
        <w:tc>
          <w:tcPr>
            <w:tcW w:w="3163" w:type="dxa"/>
            <w:vAlign w:val="center"/>
          </w:tcPr>
          <w:p w14:paraId="178E7B0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06BFBF6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7A34D87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185651D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3510948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44967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6372C1CD">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AD6D159">
            <w:pPr>
              <w:kinsoku w:val="0"/>
              <w:autoSpaceDE w:val="0"/>
              <w:autoSpaceDN w:val="0"/>
              <w:adjustRightInd w:val="0"/>
              <w:snapToGrid w:val="0"/>
              <w:spacing w:before="65" w:line="269" w:lineRule="exact"/>
              <w:ind w:left="390"/>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7</w:t>
            </w:r>
          </w:p>
        </w:tc>
        <w:tc>
          <w:tcPr>
            <w:tcW w:w="3163" w:type="dxa"/>
            <w:vAlign w:val="center"/>
          </w:tcPr>
          <w:p w14:paraId="143F354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7460BB5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07F46B4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55E1BCA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57A61D6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422A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5ACC388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9F81773">
            <w:pPr>
              <w:kinsoku w:val="0"/>
              <w:autoSpaceDE w:val="0"/>
              <w:autoSpaceDN w:val="0"/>
              <w:adjustRightInd w:val="0"/>
              <w:snapToGrid w:val="0"/>
              <w:spacing w:before="65" w:line="269" w:lineRule="exact"/>
              <w:ind w:left="386"/>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kern w:val="0"/>
                <w:position w:val="1"/>
                <w:szCs w:val="21"/>
                <w:highlight w:val="none"/>
                <w:lang w:eastAsia="en-US"/>
                <w14:textFill>
                  <w14:solidFill>
                    <w14:schemeClr w14:val="tx1"/>
                  </w14:solidFill>
                </w14:textFill>
              </w:rPr>
              <w:t>8</w:t>
            </w:r>
          </w:p>
        </w:tc>
        <w:tc>
          <w:tcPr>
            <w:tcW w:w="3163" w:type="dxa"/>
            <w:vAlign w:val="center"/>
          </w:tcPr>
          <w:p w14:paraId="280694A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0956A5E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090059F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0A67199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6D96B8E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39C6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866" w:type="dxa"/>
          </w:tcPr>
          <w:p w14:paraId="63087CDE">
            <w:pPr>
              <w:widowControl/>
              <w:kinsoku w:val="0"/>
              <w:autoSpaceDE w:val="0"/>
              <w:autoSpaceDN w:val="0"/>
              <w:adjustRightInd w:val="0"/>
              <w:snapToGrid w:val="0"/>
              <w:spacing w:line="40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103BEA33">
            <w:pPr>
              <w:kinsoku w:val="0"/>
              <w:autoSpaceDE w:val="0"/>
              <w:autoSpaceDN w:val="0"/>
              <w:adjustRightInd w:val="0"/>
              <w:snapToGrid w:val="0"/>
              <w:spacing w:before="65" w:line="83" w:lineRule="exact"/>
              <w:ind w:left="285"/>
              <w:jc w:val="left"/>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3"/>
                <w:kern w:val="0"/>
                <w:position w:val="1"/>
                <w:szCs w:val="21"/>
                <w:highlight w:val="none"/>
                <w:lang w:eastAsia="en-US"/>
                <w14:textFill>
                  <w14:solidFill>
                    <w14:schemeClr w14:val="tx1"/>
                  </w14:solidFill>
                </w14:textFill>
              </w:rPr>
              <w:t>...</w:t>
            </w:r>
          </w:p>
        </w:tc>
        <w:tc>
          <w:tcPr>
            <w:tcW w:w="3163" w:type="dxa"/>
            <w:vAlign w:val="center"/>
          </w:tcPr>
          <w:p w14:paraId="6B0DE07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7203719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668" w:type="dxa"/>
            <w:vAlign w:val="center"/>
          </w:tcPr>
          <w:p w14:paraId="429811D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575" w:type="dxa"/>
            <w:vAlign w:val="center"/>
          </w:tcPr>
          <w:p w14:paraId="250E87A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08" w:type="dxa"/>
            <w:vAlign w:val="center"/>
          </w:tcPr>
          <w:p w14:paraId="376B70C2">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bl>
    <w:p w14:paraId="7E9DBD6A">
      <w:pPr>
        <w:widowControl/>
        <w:tabs>
          <w:tab w:val="left" w:pos="2451"/>
        </w:tabs>
        <w:kinsoku w:val="0"/>
        <w:autoSpaceDE w:val="0"/>
        <w:autoSpaceDN w:val="0"/>
        <w:adjustRightInd w:val="0"/>
        <w:snapToGrid w:val="0"/>
        <w:spacing w:before="240" w:line="406" w:lineRule="auto"/>
        <w:ind w:left="3517" w:right="908" w:hanging="2610"/>
        <w:jc w:val="left"/>
        <w:textAlignment w:val="baseline"/>
        <w:rPr>
          <w:rFonts w:hint="eastAsia" w:ascii="宋体" w:hAnsi="宋体" w:cs="宋体"/>
          <w:b/>
          <w:bCs/>
          <w:snapToGrid w:val="0"/>
          <w:color w:val="000000" w:themeColor="text1"/>
          <w:spacing w:val="-2"/>
          <w:kern w:val="0"/>
          <w:sz w:val="28"/>
          <w:szCs w:val="28"/>
          <w:highlight w:val="none"/>
          <w14:textFill>
            <w14:solidFill>
              <w14:schemeClr w14:val="tx1"/>
            </w14:solidFill>
          </w14:textFill>
        </w:rPr>
      </w:pPr>
      <w:r>
        <w:rPr>
          <w:rFonts w:ascii="宋体" w:hAnsi="宋体" w:cs="宋体"/>
          <w:snapToGrid w:val="0"/>
          <w:color w:val="000000" w:themeColor="text1"/>
          <w:kern w:val="0"/>
          <w:sz w:val="28"/>
          <w:szCs w:val="28"/>
          <w:highlight w:val="none"/>
          <w:u w:val="single"/>
          <w14:textFill>
            <w14:solidFill>
              <w14:schemeClr w14:val="tx1"/>
            </w14:solidFill>
          </w14:textFill>
        </w:rPr>
        <w:tab/>
      </w:r>
      <w:r>
        <w:rPr>
          <w:rFonts w:ascii="宋体" w:hAnsi="宋体" w:cs="宋体"/>
          <w:snapToGrid w:val="0"/>
          <w:color w:val="000000" w:themeColor="text1"/>
          <w:spacing w:val="-126"/>
          <w:kern w:val="0"/>
          <w:sz w:val="28"/>
          <w:szCs w:val="28"/>
          <w:highlight w:val="none"/>
          <w14:textFill>
            <w14:solidFill>
              <w14:schemeClr w14:val="tx1"/>
            </w14:solidFill>
          </w14:textFill>
        </w:rPr>
        <w:t xml:space="preserve"> </w:t>
      </w:r>
      <w:r>
        <w:rPr>
          <w:rFonts w:ascii="宋体" w:hAnsi="宋体" w:cs="宋体"/>
          <w:b/>
          <w:bCs/>
          <w:snapToGrid w:val="0"/>
          <w:color w:val="000000" w:themeColor="text1"/>
          <w:spacing w:val="-2"/>
          <w:kern w:val="0"/>
          <w:sz w:val="28"/>
          <w:szCs w:val="28"/>
          <w:highlight w:val="none"/>
          <w14:textFill>
            <w14:solidFill>
              <w14:schemeClr w14:val="tx1"/>
            </w14:solidFill>
          </w14:textFill>
        </w:rPr>
        <w:t>单位使用</w:t>
      </w:r>
      <w:r>
        <w:rPr>
          <w:rFonts w:ascii="宋体" w:hAnsi="宋体" w:cs="宋体"/>
          <w:snapToGrid w:val="0"/>
          <w:color w:val="000000" w:themeColor="text1"/>
          <w:spacing w:val="-2"/>
          <w:kern w:val="0"/>
          <w:sz w:val="28"/>
          <w:szCs w:val="28"/>
          <w:highlight w:val="none"/>
          <w:u w:val="single"/>
          <w14:textFill>
            <w14:solidFill>
              <w14:schemeClr w14:val="tx1"/>
            </w14:solidFill>
          </w14:textFill>
        </w:rPr>
        <w:t xml:space="preserve">          </w:t>
      </w:r>
      <w:r>
        <w:rPr>
          <w:rFonts w:ascii="宋体" w:hAnsi="宋体" w:cs="宋体"/>
          <w:snapToGrid w:val="0"/>
          <w:color w:val="000000" w:themeColor="text1"/>
          <w:spacing w:val="-128"/>
          <w:kern w:val="0"/>
          <w:sz w:val="28"/>
          <w:szCs w:val="28"/>
          <w:highlight w:val="none"/>
          <w14:textFill>
            <w14:solidFill>
              <w14:schemeClr w14:val="tx1"/>
            </w14:solidFill>
          </w14:textFill>
        </w:rPr>
        <w:t xml:space="preserve"> </w:t>
      </w:r>
      <w:r>
        <w:rPr>
          <w:rFonts w:ascii="宋体" w:hAnsi="宋体" w:cs="宋体"/>
          <w:b/>
          <w:bCs/>
          <w:snapToGrid w:val="0"/>
          <w:color w:val="000000" w:themeColor="text1"/>
          <w:spacing w:val="-2"/>
          <w:kern w:val="0"/>
          <w:sz w:val="28"/>
          <w:szCs w:val="28"/>
          <w:highlight w:val="none"/>
          <w14:textFill>
            <w14:solidFill>
              <w14:schemeClr w14:val="tx1"/>
            </w14:solidFill>
          </w14:textFill>
        </w:rPr>
        <w:t>年度广东省公路工程从业单位</w:t>
      </w:r>
    </w:p>
    <w:p w14:paraId="3301A902">
      <w:pPr>
        <w:widowControl/>
        <w:tabs>
          <w:tab w:val="left" w:pos="2451"/>
        </w:tabs>
        <w:kinsoku w:val="0"/>
        <w:autoSpaceDE w:val="0"/>
        <w:autoSpaceDN w:val="0"/>
        <w:adjustRightInd w:val="0"/>
        <w:snapToGrid w:val="0"/>
        <w:spacing w:before="240" w:line="406" w:lineRule="auto"/>
        <w:ind w:right="908"/>
        <w:jc w:val="center"/>
        <w:textAlignment w:val="baseline"/>
        <w:rPr>
          <w:rFonts w:hint="eastAsia" w:ascii="宋体" w:hAnsi="宋体" w:cs="宋体"/>
          <w:snapToGrid w:val="0"/>
          <w:color w:val="000000" w:themeColor="text1"/>
          <w:kern w:val="0"/>
          <w:sz w:val="28"/>
          <w:szCs w:val="28"/>
          <w:highlight w:val="none"/>
          <w14:textFill>
            <w14:solidFill>
              <w14:schemeClr w14:val="tx1"/>
            </w14:solidFill>
          </w14:textFill>
        </w:rPr>
      </w:pPr>
      <w:r>
        <w:rPr>
          <w:rFonts w:ascii="宋体" w:hAnsi="宋体" w:cs="宋体"/>
          <w:b/>
          <w:bCs/>
          <w:snapToGrid w:val="0"/>
          <w:color w:val="000000" w:themeColor="text1"/>
          <w:spacing w:val="-4"/>
          <w:kern w:val="0"/>
          <w:sz w:val="28"/>
          <w:szCs w:val="28"/>
          <w:highlight w:val="none"/>
          <w14:textFill>
            <w14:solidFill>
              <w14:schemeClr w14:val="tx1"/>
            </w14:solidFill>
          </w14:textFill>
        </w:rPr>
        <w:t>信用等级情况汇总表</w:t>
      </w:r>
    </w:p>
    <w:p w14:paraId="0F5B730F">
      <w:pPr>
        <w:widowControl/>
        <w:kinsoku w:val="0"/>
        <w:autoSpaceDE w:val="0"/>
        <w:autoSpaceDN w:val="0"/>
        <w:adjustRightInd w:val="0"/>
        <w:snapToGrid w:val="0"/>
        <w:spacing w:before="60" w:line="226" w:lineRule="auto"/>
        <w:jc w:val="left"/>
        <w:textAlignment w:val="baseline"/>
        <w:rPr>
          <w:rFonts w:hint="eastAsia" w:ascii="宋体" w:hAnsi="宋体" w:cs="宋体"/>
          <w:snapToGrid w:val="0"/>
          <w:color w:val="000000" w:themeColor="text1"/>
          <w:spacing w:val="7"/>
          <w:kern w:val="0"/>
          <w:sz w:val="20"/>
          <w:szCs w:val="20"/>
          <w:highlight w:val="none"/>
          <w14:textFill>
            <w14:solidFill>
              <w14:schemeClr w14:val="tx1"/>
            </w14:solidFill>
          </w14:textFill>
        </w:rPr>
      </w:pPr>
    </w:p>
    <w:p w14:paraId="64F2DFD5">
      <w:pPr>
        <w:widowControl/>
        <w:kinsoku w:val="0"/>
        <w:autoSpaceDE w:val="0"/>
        <w:autoSpaceDN w:val="0"/>
        <w:adjustRightInd w:val="0"/>
        <w:snapToGrid w:val="0"/>
        <w:spacing w:before="60" w:line="226" w:lineRule="auto"/>
        <w:ind w:left="259"/>
        <w:jc w:val="left"/>
        <w:textAlignment w:val="baseline"/>
        <w:rPr>
          <w:rFonts w:hint="eastAsia" w:ascii="宋体" w:hAnsi="宋体" w:cs="宋体"/>
          <w:snapToGrid w:val="0"/>
          <w:color w:val="000000" w:themeColor="text1"/>
          <w:spacing w:val="7"/>
          <w:kern w:val="0"/>
          <w:sz w:val="20"/>
          <w:szCs w:val="20"/>
          <w:highlight w:val="none"/>
          <w14:textFill>
            <w14:solidFill>
              <w14:schemeClr w14:val="tx1"/>
            </w14:solidFill>
          </w14:textFill>
        </w:rPr>
      </w:pPr>
      <w:r>
        <w:rPr>
          <w:rFonts w:hint="eastAsia" w:ascii="宋体" w:hAnsi="宋体" w:cs="宋体"/>
          <w:snapToGrid w:val="0"/>
          <w:color w:val="000000" w:themeColor="text1"/>
          <w:spacing w:val="7"/>
          <w:kern w:val="0"/>
          <w:sz w:val="20"/>
          <w:szCs w:val="20"/>
          <w:highlight w:val="none"/>
          <w14:textFill>
            <w14:solidFill>
              <w14:schemeClr w14:val="tx1"/>
            </w14:solidFill>
          </w14:textFill>
        </w:rPr>
        <w:t>注：</w:t>
      </w:r>
    </w:p>
    <w:p w14:paraId="62C1AE6D">
      <w:pPr>
        <w:widowControl/>
        <w:kinsoku w:val="0"/>
        <w:autoSpaceDE w:val="0"/>
        <w:autoSpaceDN w:val="0"/>
        <w:adjustRightInd w:val="0"/>
        <w:snapToGrid w:val="0"/>
        <w:spacing w:before="60" w:line="226" w:lineRule="auto"/>
        <w:ind w:left="259"/>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7"/>
          <w:kern w:val="0"/>
          <w:sz w:val="20"/>
          <w:szCs w:val="20"/>
          <w:highlight w:val="none"/>
          <w14:textFill>
            <w14:solidFill>
              <w14:schemeClr w14:val="tx1"/>
            </w14:solidFill>
          </w14:textFill>
        </w:rPr>
        <w:t>1、应如实填报信用评价等级使用情况。</w:t>
      </w:r>
    </w:p>
    <w:p w14:paraId="025C3D9C">
      <w:pPr>
        <w:widowControl/>
        <w:kinsoku w:val="0"/>
        <w:autoSpaceDE w:val="0"/>
        <w:autoSpaceDN w:val="0"/>
        <w:adjustRightInd w:val="0"/>
        <w:snapToGrid w:val="0"/>
        <w:spacing w:before="67" w:line="228" w:lineRule="auto"/>
        <w:ind w:left="246"/>
        <w:jc w:val="left"/>
        <w:textAlignment w:val="baseline"/>
        <w:rPr>
          <w:rFonts w:hint="eastAsia" w:ascii="宋体" w:hAnsi="宋体" w:cs="宋体"/>
          <w:snapToGrid w:val="0"/>
          <w:color w:val="000000" w:themeColor="text1"/>
          <w:kern w:val="0"/>
          <w:sz w:val="20"/>
          <w:szCs w:val="20"/>
          <w:highlight w:val="none"/>
          <w14:textFill>
            <w14:solidFill>
              <w14:schemeClr w14:val="tx1"/>
            </w14:solidFill>
          </w14:textFill>
        </w:rPr>
      </w:pPr>
      <w:r>
        <w:rPr>
          <w:rFonts w:ascii="宋体" w:hAnsi="宋体" w:cs="宋体"/>
          <w:snapToGrid w:val="0"/>
          <w:color w:val="000000" w:themeColor="text1"/>
          <w:spacing w:val="9"/>
          <w:kern w:val="0"/>
          <w:sz w:val="20"/>
          <w:szCs w:val="20"/>
          <w:highlight w:val="none"/>
          <w14:textFill>
            <w14:solidFill>
              <w14:schemeClr w14:val="tx1"/>
            </w14:solidFill>
          </w14:textFill>
        </w:rPr>
        <w:t>2、以联合体形式投标的，联合体各成员应</w:t>
      </w:r>
      <w:r>
        <w:rPr>
          <w:rFonts w:ascii="宋体" w:hAnsi="宋体" w:cs="宋体"/>
          <w:snapToGrid w:val="0"/>
          <w:color w:val="000000" w:themeColor="text1"/>
          <w:spacing w:val="8"/>
          <w:kern w:val="0"/>
          <w:sz w:val="20"/>
          <w:szCs w:val="20"/>
          <w:highlight w:val="none"/>
          <w14:textFill>
            <w14:solidFill>
              <w14:schemeClr w14:val="tx1"/>
            </w14:solidFill>
          </w14:textFill>
        </w:rPr>
        <w:t>分别填写。</w:t>
      </w:r>
    </w:p>
    <w:p w14:paraId="458DDC64">
      <w:pPr>
        <w:spacing w:line="228" w:lineRule="auto"/>
        <w:rPr>
          <w:rFonts w:hint="eastAsia" w:ascii="宋体" w:hAnsi="宋体" w:cs="宋体"/>
          <w:color w:val="000000" w:themeColor="text1"/>
          <w:sz w:val="20"/>
          <w:szCs w:val="20"/>
          <w:highlight w:val="none"/>
          <w14:textFill>
            <w14:solidFill>
              <w14:schemeClr w14:val="tx1"/>
            </w14:solidFill>
          </w14:textFill>
        </w:rPr>
        <w:sectPr>
          <w:headerReference r:id="rId120" w:type="default"/>
          <w:footerReference r:id="rId121" w:type="default"/>
          <w:pgSz w:w="11906" w:h="16839"/>
          <w:pgMar w:top="1182" w:right="1181" w:bottom="1168" w:left="1180" w:header="849" w:footer="934" w:gutter="0"/>
          <w:cols w:space="720" w:num="1"/>
        </w:sectPr>
      </w:pPr>
    </w:p>
    <w:p w14:paraId="6E479CFC">
      <w:pPr>
        <w:widowControl/>
        <w:kinsoku w:val="0"/>
        <w:autoSpaceDE w:val="0"/>
        <w:autoSpaceDN w:val="0"/>
        <w:adjustRightInd w:val="0"/>
        <w:snapToGrid w:val="0"/>
        <w:spacing w:before="91" w:line="221" w:lineRule="auto"/>
        <w:ind w:left="3181"/>
        <w:jc w:val="left"/>
        <w:textAlignment w:val="baseline"/>
        <w:rPr>
          <w:rFonts w:hint="eastAsia" w:ascii="宋体" w:hAnsi="宋体" w:cs="宋体"/>
          <w:snapToGrid w:val="0"/>
          <w:color w:val="000000" w:themeColor="text1"/>
          <w:kern w:val="0"/>
          <w:sz w:val="28"/>
          <w:szCs w:val="28"/>
          <w:highlight w:val="none"/>
          <w:lang w:eastAsia="en-US"/>
          <w14:textFill>
            <w14:solidFill>
              <w14:schemeClr w14:val="tx1"/>
            </w14:solidFill>
          </w14:textFill>
        </w:rPr>
      </w:pPr>
      <w:r>
        <w:rPr>
          <w:rFonts w:ascii="宋体" w:hAnsi="宋体" w:cs="宋体"/>
          <w:b/>
          <w:bCs/>
          <w:snapToGrid w:val="0"/>
          <w:color w:val="000000" w:themeColor="text1"/>
          <w:spacing w:val="-4"/>
          <w:kern w:val="0"/>
          <w:sz w:val="28"/>
          <w:szCs w:val="28"/>
          <w:highlight w:val="none"/>
          <w:lang w:eastAsia="en-US"/>
          <w14:textFill>
            <w14:solidFill>
              <w14:schemeClr w14:val="tx1"/>
            </w14:solidFill>
          </w14:textFill>
        </w:rPr>
        <w:t>八-</w:t>
      </w:r>
      <w:r>
        <w:rPr>
          <w:rFonts w:hint="eastAsia" w:ascii="宋体" w:hAnsi="宋体" w:cs="宋体"/>
          <w:b/>
          <w:bCs/>
          <w:snapToGrid w:val="0"/>
          <w:color w:val="000000" w:themeColor="text1"/>
          <w:spacing w:val="-4"/>
          <w:kern w:val="0"/>
          <w:sz w:val="28"/>
          <w:szCs w:val="28"/>
          <w:highlight w:val="none"/>
          <w14:textFill>
            <w14:solidFill>
              <w14:schemeClr w14:val="tx1"/>
            </w14:solidFill>
          </w14:textFill>
        </w:rPr>
        <w:t>2</w:t>
      </w:r>
      <w:r>
        <w:rPr>
          <w:rFonts w:ascii="宋体" w:hAnsi="宋体" w:cs="宋体"/>
          <w:b/>
          <w:bCs/>
          <w:snapToGrid w:val="0"/>
          <w:color w:val="000000" w:themeColor="text1"/>
          <w:spacing w:val="-4"/>
          <w:kern w:val="0"/>
          <w:sz w:val="28"/>
          <w:szCs w:val="28"/>
          <w:highlight w:val="none"/>
          <w:lang w:eastAsia="en-US"/>
          <w14:textFill>
            <w14:solidFill>
              <w14:schemeClr w14:val="tx1"/>
            </w14:solidFill>
          </w14:textFill>
        </w:rPr>
        <w:t>、投标人的自评分表</w:t>
      </w:r>
    </w:p>
    <w:p w14:paraId="1AC75651">
      <w:pPr>
        <w:widowControl/>
        <w:kinsoku w:val="0"/>
        <w:autoSpaceDE w:val="0"/>
        <w:autoSpaceDN w:val="0"/>
        <w:adjustRightInd w:val="0"/>
        <w:snapToGrid w:val="0"/>
        <w:spacing w:before="32"/>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bl>
      <w:tblPr>
        <w:tblStyle w:val="45"/>
        <w:tblW w:w="94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1949"/>
        <w:gridCol w:w="1390"/>
        <w:gridCol w:w="1259"/>
        <w:gridCol w:w="1304"/>
        <w:gridCol w:w="1082"/>
        <w:gridCol w:w="1382"/>
      </w:tblGrid>
      <w:tr w14:paraId="22DD3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1054" w:type="dxa"/>
            <w:vAlign w:val="center"/>
          </w:tcPr>
          <w:p w14:paraId="764C899C">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5"/>
                <w:kern w:val="0"/>
                <w:szCs w:val="21"/>
                <w:highlight w:val="none"/>
                <w:lang w:eastAsia="en-US"/>
                <w14:textFill>
                  <w14:solidFill>
                    <w14:schemeClr w14:val="tx1"/>
                  </w14:solidFill>
                </w14:textFill>
              </w:rPr>
              <w:t>序号</w:t>
            </w:r>
          </w:p>
        </w:tc>
        <w:tc>
          <w:tcPr>
            <w:tcW w:w="1949" w:type="dxa"/>
            <w:vAlign w:val="center"/>
          </w:tcPr>
          <w:p w14:paraId="0891CDAF">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评分因素</w:t>
            </w:r>
          </w:p>
        </w:tc>
        <w:tc>
          <w:tcPr>
            <w:tcW w:w="1390" w:type="dxa"/>
            <w:vAlign w:val="center"/>
          </w:tcPr>
          <w:p w14:paraId="5AF2FBD8">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4"/>
                <w:kern w:val="0"/>
                <w:szCs w:val="21"/>
                <w:highlight w:val="none"/>
                <w:lang w:eastAsia="en-US"/>
                <w14:textFill>
                  <w14:solidFill>
                    <w14:schemeClr w14:val="tx1"/>
                  </w14:solidFill>
                </w14:textFill>
              </w:rPr>
              <w:t>满分</w:t>
            </w:r>
          </w:p>
        </w:tc>
        <w:tc>
          <w:tcPr>
            <w:tcW w:w="1259" w:type="dxa"/>
            <w:vAlign w:val="center"/>
          </w:tcPr>
          <w:p w14:paraId="197BE348">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评分标准</w:t>
            </w:r>
          </w:p>
        </w:tc>
        <w:tc>
          <w:tcPr>
            <w:tcW w:w="1304" w:type="dxa"/>
            <w:vAlign w:val="center"/>
          </w:tcPr>
          <w:p w14:paraId="45FB9372">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5"/>
                <w:kern w:val="0"/>
                <w:szCs w:val="21"/>
                <w:highlight w:val="none"/>
                <w:lang w:eastAsia="en-US"/>
                <w14:textFill>
                  <w14:solidFill>
                    <w14:schemeClr w14:val="tx1"/>
                  </w14:solidFill>
                </w14:textFill>
              </w:rPr>
              <w:t>自评分</w:t>
            </w:r>
          </w:p>
        </w:tc>
        <w:tc>
          <w:tcPr>
            <w:tcW w:w="1082" w:type="dxa"/>
            <w:vAlign w:val="center"/>
          </w:tcPr>
          <w:p w14:paraId="514EA0CE">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7"/>
                <w:kern w:val="0"/>
                <w:szCs w:val="21"/>
                <w:highlight w:val="none"/>
                <w:lang w:eastAsia="en-US"/>
                <w14:textFill>
                  <w14:solidFill>
                    <w14:schemeClr w14:val="tx1"/>
                  </w14:solidFill>
                </w14:textFill>
              </w:rPr>
              <w:t>评分情况</w:t>
            </w:r>
            <w:r>
              <w:rPr>
                <w:rFonts w:ascii="宋体" w:hAnsi="宋体" w:cs="宋体"/>
                <w:snapToGrid w:val="0"/>
                <w:color w:val="000000" w:themeColor="text1"/>
                <w:spacing w:val="3"/>
                <w:kern w:val="0"/>
                <w:szCs w:val="21"/>
                <w:highlight w:val="none"/>
                <w:lang w:eastAsia="en-US"/>
                <w14:textFill>
                  <w14:solidFill>
                    <w14:schemeClr w14:val="tx1"/>
                  </w14:solidFill>
                </w14:textFill>
              </w:rPr>
              <w:t>说明</w:t>
            </w:r>
          </w:p>
        </w:tc>
        <w:tc>
          <w:tcPr>
            <w:tcW w:w="1382" w:type="dxa"/>
            <w:vAlign w:val="center"/>
          </w:tcPr>
          <w:p w14:paraId="260F4C5C">
            <w:pPr>
              <w:kinsoku w:val="0"/>
              <w:autoSpaceDE w:val="0"/>
              <w:autoSpaceDN w:val="0"/>
              <w:adjustRightInd w:val="0"/>
              <w:snapToGrid w:val="0"/>
              <w:jc w:val="center"/>
              <w:textAlignment w:val="baseline"/>
              <w:rPr>
                <w:rFonts w:hint="eastAsia" w:ascii="宋体" w:hAnsi="宋体" w:cs="宋体"/>
                <w:snapToGrid w:val="0"/>
                <w:color w:val="000000" w:themeColor="text1"/>
                <w:kern w:val="0"/>
                <w:szCs w:val="21"/>
                <w:highlight w:val="none"/>
                <w:lang w:eastAsia="en-US"/>
                <w14:textFill>
                  <w14:solidFill>
                    <w14:schemeClr w14:val="tx1"/>
                  </w14:solidFill>
                </w14:textFill>
              </w:rPr>
            </w:pPr>
            <w:r>
              <w:rPr>
                <w:rFonts w:ascii="宋体" w:hAnsi="宋体" w:cs="宋体"/>
                <w:snapToGrid w:val="0"/>
                <w:color w:val="000000" w:themeColor="text1"/>
                <w:spacing w:val="6"/>
                <w:kern w:val="0"/>
                <w:szCs w:val="21"/>
                <w:highlight w:val="none"/>
                <w:lang w:eastAsia="en-US"/>
                <w14:textFill>
                  <w14:solidFill>
                    <w14:schemeClr w14:val="tx1"/>
                  </w14:solidFill>
                </w14:textFill>
              </w:rPr>
              <w:t>页码索引</w:t>
            </w:r>
          </w:p>
        </w:tc>
      </w:tr>
      <w:tr w14:paraId="5174C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57D096CD">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280F958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7F0422D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655041C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4EB6F0D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1C26F43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22420F0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327D3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5B149BC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49A94AE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3578EC8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7E34EA1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3A7F0C8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4CA1DBA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6689F47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71F6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0E714348">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70A30EF0">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7211005E">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63C8C197">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1E10024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427B35E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04C4570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02C9A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1054" w:type="dxa"/>
            <w:vAlign w:val="center"/>
          </w:tcPr>
          <w:p w14:paraId="41EF2E5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4E483D8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5125E27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6C76E399">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35B5AEA1">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5B6A5B3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1965E21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2105C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06C47A9F">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949" w:type="dxa"/>
            <w:vAlign w:val="center"/>
          </w:tcPr>
          <w:p w14:paraId="60A4E146">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90" w:type="dxa"/>
            <w:vAlign w:val="center"/>
          </w:tcPr>
          <w:p w14:paraId="3BD2E104">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73D76DA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04" w:type="dxa"/>
            <w:vAlign w:val="center"/>
          </w:tcPr>
          <w:p w14:paraId="4260A3E5">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082" w:type="dxa"/>
            <w:vAlign w:val="center"/>
          </w:tcPr>
          <w:p w14:paraId="5BBC813C">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382" w:type="dxa"/>
            <w:vAlign w:val="center"/>
          </w:tcPr>
          <w:p w14:paraId="5A523FAA">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r>
      <w:tr w14:paraId="7EEEF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3003" w:type="dxa"/>
            <w:gridSpan w:val="2"/>
          </w:tcPr>
          <w:p w14:paraId="7B14BBEC">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23DCD01">
            <w:pPr>
              <w:kinsoku w:val="0"/>
              <w:autoSpaceDE w:val="0"/>
              <w:autoSpaceDN w:val="0"/>
              <w:adjustRightInd w:val="0"/>
              <w:snapToGrid w:val="0"/>
              <w:spacing w:before="65" w:line="229" w:lineRule="auto"/>
              <w:ind w:left="1298"/>
              <w:jc w:val="left"/>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spacing w:val="4"/>
                <w:kern w:val="0"/>
                <w:sz w:val="20"/>
                <w:szCs w:val="20"/>
                <w:highlight w:val="none"/>
                <w:lang w:eastAsia="en-US"/>
                <w14:textFill>
                  <w14:solidFill>
                    <w14:schemeClr w14:val="tx1"/>
                  </w14:solidFill>
                </w14:textFill>
              </w:rPr>
              <w:t>合计</w:t>
            </w:r>
          </w:p>
        </w:tc>
        <w:tc>
          <w:tcPr>
            <w:tcW w:w="1390" w:type="dxa"/>
            <w:vAlign w:val="center"/>
          </w:tcPr>
          <w:p w14:paraId="586E1023">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1259" w:type="dxa"/>
            <w:vAlign w:val="center"/>
          </w:tcPr>
          <w:p w14:paraId="38ED5538">
            <w:pPr>
              <w:kinsoku w:val="0"/>
              <w:autoSpaceDE w:val="0"/>
              <w:autoSpaceDN w:val="0"/>
              <w:adjustRightInd w:val="0"/>
              <w:snapToGrid w:val="0"/>
              <w:spacing w:before="65" w:line="136" w:lineRule="exact"/>
              <w:ind w:left="581"/>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3"/>
                <w:sz w:val="20"/>
                <w:szCs w:val="20"/>
                <w:highlight w:val="none"/>
                <w:lang w:eastAsia="en-US"/>
                <w14:textFill>
                  <w14:solidFill>
                    <w14:schemeClr w14:val="tx1"/>
                  </w14:solidFill>
                </w14:textFill>
              </w:rPr>
              <w:t>-</w:t>
            </w:r>
          </w:p>
        </w:tc>
        <w:tc>
          <w:tcPr>
            <w:tcW w:w="1304" w:type="dxa"/>
            <w:vAlign w:val="center"/>
          </w:tcPr>
          <w:p w14:paraId="2D8390BB">
            <w:pPr>
              <w:widowControl/>
              <w:kinsoku w:val="0"/>
              <w:autoSpaceDE w:val="0"/>
              <w:autoSpaceDN w:val="0"/>
              <w:adjustRightInd w:val="0"/>
              <w:snapToGrid w:val="0"/>
              <w:jc w:val="center"/>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tc>
        <w:tc>
          <w:tcPr>
            <w:tcW w:w="2464" w:type="dxa"/>
            <w:gridSpan w:val="2"/>
            <w:vAlign w:val="center"/>
          </w:tcPr>
          <w:p w14:paraId="0ECA67B8">
            <w:pPr>
              <w:kinsoku w:val="0"/>
              <w:autoSpaceDE w:val="0"/>
              <w:autoSpaceDN w:val="0"/>
              <w:adjustRightInd w:val="0"/>
              <w:snapToGrid w:val="0"/>
              <w:spacing w:before="65" w:line="136" w:lineRule="exact"/>
              <w:ind w:left="1182"/>
              <w:textAlignment w:val="baseline"/>
              <w:rPr>
                <w:rFonts w:hint="eastAsia" w:ascii="宋体" w:hAnsi="宋体" w:cs="宋体"/>
                <w:snapToGrid w:val="0"/>
                <w:color w:val="000000" w:themeColor="text1"/>
                <w:kern w:val="0"/>
                <w:sz w:val="20"/>
                <w:szCs w:val="20"/>
                <w:highlight w:val="none"/>
                <w:lang w:eastAsia="en-US"/>
                <w14:textFill>
                  <w14:solidFill>
                    <w14:schemeClr w14:val="tx1"/>
                  </w14:solidFill>
                </w14:textFill>
              </w:rPr>
            </w:pPr>
            <w:r>
              <w:rPr>
                <w:rFonts w:ascii="宋体" w:hAnsi="宋体" w:cs="宋体"/>
                <w:snapToGrid w:val="0"/>
                <w:color w:val="000000" w:themeColor="text1"/>
                <w:kern w:val="0"/>
                <w:position w:val="-3"/>
                <w:sz w:val="20"/>
                <w:szCs w:val="20"/>
                <w:highlight w:val="none"/>
                <w:lang w:eastAsia="en-US"/>
                <w14:textFill>
                  <w14:solidFill>
                    <w14:schemeClr w14:val="tx1"/>
                  </w14:solidFill>
                </w14:textFill>
              </w:rPr>
              <w:t>-</w:t>
            </w:r>
          </w:p>
        </w:tc>
      </w:tr>
    </w:tbl>
    <w:p w14:paraId="17FBD6A2">
      <w:pPr>
        <w:kinsoku w:val="0"/>
        <w:autoSpaceDE w:val="0"/>
        <w:autoSpaceDN w:val="0"/>
        <w:adjustRightInd w:val="0"/>
        <w:snapToGrid w:val="0"/>
        <w:spacing w:line="250"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2D23C13D">
      <w:pPr>
        <w:kinsoku w:val="0"/>
        <w:autoSpaceDE w:val="0"/>
        <w:autoSpaceDN w:val="0"/>
        <w:adjustRightInd w:val="0"/>
        <w:snapToGrid w:val="0"/>
        <w:spacing w:line="251" w:lineRule="auto"/>
        <w:jc w:val="left"/>
        <w:textAlignment w:val="baseline"/>
        <w:rPr>
          <w:rFonts w:ascii="Arial" w:hAnsi="Arial" w:eastAsia="Arial" w:cs="Arial"/>
          <w:snapToGrid w:val="0"/>
          <w:color w:val="000000" w:themeColor="text1"/>
          <w:kern w:val="0"/>
          <w:szCs w:val="21"/>
          <w:highlight w:val="none"/>
          <w:lang w:eastAsia="en-US"/>
          <w14:textFill>
            <w14:solidFill>
              <w14:schemeClr w14:val="tx1"/>
            </w14:solidFill>
          </w14:textFill>
        </w:rPr>
      </w:pPr>
    </w:p>
    <w:p w14:paraId="56B541FA">
      <w:pPr>
        <w:widowControl/>
        <w:kinsoku w:val="0"/>
        <w:autoSpaceDE w:val="0"/>
        <w:autoSpaceDN w:val="0"/>
        <w:adjustRightInd w:val="0"/>
        <w:snapToGrid w:val="0"/>
        <w:spacing w:before="78" w:line="360" w:lineRule="auto"/>
        <w:ind w:left="3308"/>
        <w:jc w:val="left"/>
        <w:textAlignment w:val="baseline"/>
        <w:rPr>
          <w:rFonts w:hint="eastAsia" w:ascii="宋体" w:hAnsi="宋体" w:cs="宋体"/>
          <w:snapToGrid w:val="0"/>
          <w:color w:val="000000" w:themeColor="text1"/>
          <w:kern w:val="0"/>
          <w:sz w:val="24"/>
          <w:highlight w:val="none"/>
          <w:lang w:eastAsia="en-US"/>
          <w14:textFill>
            <w14:solidFill>
              <w14:schemeClr w14:val="tx1"/>
            </w14:solidFill>
          </w14:textFill>
        </w:rPr>
      </w:pPr>
      <w:r>
        <w:rPr>
          <w:rFonts w:ascii="宋体" w:hAnsi="宋体" w:cs="宋体"/>
          <w:snapToGrid w:val="0"/>
          <w:color w:val="000000" w:themeColor="text1"/>
          <w:spacing w:val="2"/>
          <w:kern w:val="0"/>
          <w:sz w:val="24"/>
          <w:highlight w:val="none"/>
          <w:lang w:eastAsia="en-US"/>
          <w14:textFill>
            <w14:solidFill>
              <w14:schemeClr w14:val="tx1"/>
            </w14:solidFill>
          </w14:textFill>
        </w:rPr>
        <w:t>投标人</w:t>
      </w:r>
      <w:r>
        <w:rPr>
          <w:rFonts w:ascii="宋体" w:hAnsi="宋体" w:cs="宋体"/>
          <w:snapToGrid w:val="0"/>
          <w:color w:val="000000" w:themeColor="text1"/>
          <w:spacing w:val="-15"/>
          <w:kern w:val="0"/>
          <w:sz w:val="24"/>
          <w:highlight w:val="none"/>
          <w:lang w:eastAsia="en-US"/>
          <w14:textFill>
            <w14:solidFill>
              <w14:schemeClr w14:val="tx1"/>
            </w14:solidFill>
          </w14:textFill>
        </w:rPr>
        <w:t>：</w:t>
      </w:r>
      <w:r>
        <w:rPr>
          <w:rFonts w:ascii="宋体" w:hAnsi="宋体" w:cs="宋体"/>
          <w:snapToGrid w:val="0"/>
          <w:color w:val="000000" w:themeColor="text1"/>
          <w:kern w:val="0"/>
          <w:sz w:val="24"/>
          <w:highlight w:val="none"/>
          <w:u w:val="single"/>
          <w:lang w:eastAsia="en-US"/>
          <w14:textFill>
            <w14:solidFill>
              <w14:schemeClr w14:val="tx1"/>
            </w14:solidFill>
          </w14:textFill>
        </w:rPr>
        <w:t xml:space="preserve">                       </w:t>
      </w:r>
      <w:r>
        <w:rPr>
          <w:rFonts w:ascii="宋体" w:hAnsi="宋体" w:cs="宋体"/>
          <w:snapToGrid w:val="0"/>
          <w:color w:val="000000" w:themeColor="text1"/>
          <w:spacing w:val="-15"/>
          <w:kern w:val="0"/>
          <w:sz w:val="24"/>
          <w:highlight w:val="none"/>
          <w:lang w:eastAsia="en-US"/>
          <w14:textFill>
            <w14:solidFill>
              <w14:schemeClr w14:val="tx1"/>
            </w14:solidFill>
          </w14:textFill>
        </w:rPr>
        <w:t>（</w:t>
      </w:r>
      <w:r>
        <w:rPr>
          <w:rFonts w:ascii="宋体" w:hAnsi="宋体" w:cs="宋体"/>
          <w:snapToGrid w:val="0"/>
          <w:color w:val="000000" w:themeColor="text1"/>
          <w:spacing w:val="2"/>
          <w:kern w:val="0"/>
          <w:sz w:val="24"/>
          <w:highlight w:val="none"/>
          <w:lang w:eastAsia="en-US"/>
          <w14:textFill>
            <w14:solidFill>
              <w14:schemeClr w14:val="tx1"/>
            </w14:solidFill>
          </w14:textFill>
        </w:rPr>
        <w:t>盖单位章）</w:t>
      </w:r>
    </w:p>
    <w:p w14:paraId="59501941">
      <w:pPr>
        <w:widowControl/>
        <w:kinsoku w:val="0"/>
        <w:autoSpaceDE w:val="0"/>
        <w:autoSpaceDN w:val="0"/>
        <w:adjustRightInd w:val="0"/>
        <w:snapToGrid w:val="0"/>
        <w:spacing w:before="184" w:line="360" w:lineRule="auto"/>
        <w:ind w:left="3306"/>
        <w:jc w:val="left"/>
        <w:textAlignment w:val="baseline"/>
        <w:rPr>
          <w:rFonts w:hint="eastAsia" w:ascii="宋体" w:hAnsi="宋体" w:cs="宋体"/>
          <w:snapToGrid w:val="0"/>
          <w:color w:val="000000" w:themeColor="text1"/>
          <w:spacing w:val="1"/>
          <w:kern w:val="0"/>
          <w:sz w:val="24"/>
          <w:highlight w:val="none"/>
          <w14:textFill>
            <w14:solidFill>
              <w14:schemeClr w14:val="tx1"/>
            </w14:solidFill>
          </w14:textFill>
        </w:rPr>
      </w:pPr>
      <w:r>
        <w:rPr>
          <w:rFonts w:ascii="宋体" w:hAnsi="宋体" w:cs="宋体"/>
          <w:snapToGrid w:val="0"/>
          <w:color w:val="000000" w:themeColor="text1"/>
          <w:spacing w:val="1"/>
          <w:kern w:val="0"/>
          <w:sz w:val="24"/>
          <w:highlight w:val="none"/>
          <w14:textFill>
            <w14:solidFill>
              <w14:schemeClr w14:val="tx1"/>
            </w14:solidFill>
          </w14:textFill>
        </w:rPr>
        <w:t>法定代表人或其委托代理人</w:t>
      </w:r>
      <w:r>
        <w:rPr>
          <w:rFonts w:ascii="宋体" w:hAnsi="宋体" w:cs="宋体"/>
          <w:snapToGrid w:val="0"/>
          <w:color w:val="000000" w:themeColor="text1"/>
          <w:spacing w:val="-14"/>
          <w:kern w:val="0"/>
          <w:sz w:val="24"/>
          <w:highlight w:val="none"/>
          <w14:textFill>
            <w14:solidFill>
              <w14:schemeClr w14:val="tx1"/>
            </w14:solidFill>
          </w14:textFill>
        </w:rPr>
        <w:t>：</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4"/>
          <w:kern w:val="0"/>
          <w:sz w:val="24"/>
          <w:highlight w:val="none"/>
          <w14:textFill>
            <w14:solidFill>
              <w14:schemeClr w14:val="tx1"/>
            </w14:solidFill>
          </w14:textFill>
        </w:rPr>
        <w:t>（</w:t>
      </w:r>
      <w:r>
        <w:rPr>
          <w:rFonts w:ascii="宋体" w:hAnsi="宋体" w:cs="宋体"/>
          <w:snapToGrid w:val="0"/>
          <w:color w:val="000000" w:themeColor="text1"/>
          <w:spacing w:val="1"/>
          <w:kern w:val="0"/>
          <w:sz w:val="24"/>
          <w:highlight w:val="none"/>
          <w14:textFill>
            <w14:solidFill>
              <w14:schemeClr w14:val="tx1"/>
            </w14:solidFill>
          </w14:textFill>
        </w:rPr>
        <w:t>签字</w:t>
      </w:r>
      <w:r>
        <w:rPr>
          <w:rFonts w:hint="eastAsia" w:ascii="宋体" w:hAnsi="宋体" w:cs="宋体"/>
          <w:snapToGrid w:val="0"/>
          <w:color w:val="000000" w:themeColor="text1"/>
          <w:spacing w:val="3"/>
          <w:kern w:val="0"/>
          <w:sz w:val="24"/>
          <w:highlight w:val="none"/>
          <w14:textFill>
            <w14:solidFill>
              <w14:schemeClr w14:val="tx1"/>
            </w14:solidFill>
          </w14:textFill>
        </w:rPr>
        <w:t>或盖章</w:t>
      </w:r>
      <w:r>
        <w:rPr>
          <w:rFonts w:ascii="宋体" w:hAnsi="宋体" w:cs="宋体"/>
          <w:snapToGrid w:val="0"/>
          <w:color w:val="000000" w:themeColor="text1"/>
          <w:spacing w:val="1"/>
          <w:kern w:val="0"/>
          <w:sz w:val="24"/>
          <w:highlight w:val="none"/>
          <w14:textFill>
            <w14:solidFill>
              <w14:schemeClr w14:val="tx1"/>
            </w14:solidFill>
          </w14:textFill>
        </w:rPr>
        <w:t>）</w:t>
      </w:r>
    </w:p>
    <w:p w14:paraId="450CE42C">
      <w:pPr>
        <w:pStyle w:val="55"/>
        <w:rPr>
          <w:color w:val="000000" w:themeColor="text1"/>
          <w:highlight w:val="none"/>
          <w14:textFill>
            <w14:solidFill>
              <w14:schemeClr w14:val="tx1"/>
            </w14:solidFill>
          </w14:textFill>
        </w:rPr>
      </w:pPr>
    </w:p>
    <w:p w14:paraId="4A529C68">
      <w:pPr>
        <w:spacing w:line="219" w:lineRule="auto"/>
        <w:rPr>
          <w:rFonts w:hint="eastAsia" w:ascii="宋体" w:hAnsi="宋体" w:cs="宋体"/>
          <w:color w:val="000000" w:themeColor="text1"/>
          <w:sz w:val="24"/>
          <w:highlight w:val="none"/>
          <w14:textFill>
            <w14:solidFill>
              <w14:schemeClr w14:val="tx1"/>
            </w14:solidFill>
          </w14:textFill>
        </w:rPr>
        <w:sectPr>
          <w:headerReference r:id="rId122" w:type="default"/>
          <w:footerReference r:id="rId123" w:type="default"/>
          <w:pgSz w:w="11906" w:h="16839"/>
          <w:pgMar w:top="1182" w:right="1240" w:bottom="1168" w:left="1240" w:header="849" w:footer="934" w:gutter="0"/>
          <w:cols w:space="720" w:num="1"/>
        </w:sectPr>
      </w:pPr>
    </w:p>
    <w:bookmarkEnd w:id="439"/>
    <w:p w14:paraId="3BBB4FCE">
      <w:pPr>
        <w:spacing w:line="360" w:lineRule="auto"/>
        <w:rPr>
          <w:rFonts w:ascii="Arial"/>
          <w:color w:val="000000" w:themeColor="text1"/>
          <w:highlight w:val="none"/>
          <w14:textFill>
            <w14:solidFill>
              <w14:schemeClr w14:val="tx1"/>
            </w14:solidFill>
          </w14:textFill>
        </w:rPr>
      </w:pPr>
    </w:p>
    <w:p w14:paraId="42A05CE0">
      <w:pPr>
        <w:spacing w:line="360" w:lineRule="auto"/>
        <w:rPr>
          <w:rFonts w:ascii="Arial"/>
          <w:color w:val="000000" w:themeColor="text1"/>
          <w:highlight w:val="none"/>
          <w14:textFill>
            <w14:solidFill>
              <w14:schemeClr w14:val="tx1"/>
            </w14:solidFill>
          </w14:textFill>
        </w:rPr>
      </w:pPr>
    </w:p>
    <w:p w14:paraId="04911CF4">
      <w:pPr>
        <w:spacing w:before="140" w:line="360" w:lineRule="auto"/>
        <w:ind w:left="3886"/>
        <w:rPr>
          <w:rFonts w:hint="eastAsia" w:ascii="宋体" w:hAnsi="宋体" w:cs="宋体"/>
          <w:b/>
          <w:bCs/>
          <w:color w:val="000000" w:themeColor="text1"/>
          <w:sz w:val="43"/>
          <w:szCs w:val="43"/>
          <w:highlight w:val="none"/>
          <w14:textFill>
            <w14:solidFill>
              <w14:schemeClr w14:val="tx1"/>
            </w14:solidFill>
          </w14:textFill>
        </w:rPr>
      </w:pPr>
      <w:r>
        <w:rPr>
          <w:rFonts w:ascii="宋体" w:hAnsi="宋体" w:cs="宋体"/>
          <w:b/>
          <w:bCs/>
          <w:color w:val="000000" w:themeColor="text1"/>
          <w:spacing w:val="4"/>
          <w:sz w:val="43"/>
          <w:szCs w:val="43"/>
          <w:highlight w:val="none"/>
          <w14:textFill>
            <w14:solidFill>
              <w14:schemeClr w14:val="tx1"/>
            </w14:solidFill>
          </w14:textFill>
        </w:rPr>
        <w:t>广东省</w:t>
      </w:r>
    </w:p>
    <w:p w14:paraId="38318BD3">
      <w:pPr>
        <w:spacing w:line="360" w:lineRule="auto"/>
        <w:rPr>
          <w:rFonts w:ascii="Arial"/>
          <w:b/>
          <w:bCs/>
          <w:color w:val="000000" w:themeColor="text1"/>
          <w:highlight w:val="none"/>
          <w14:textFill>
            <w14:solidFill>
              <w14:schemeClr w14:val="tx1"/>
            </w14:solidFill>
          </w14:textFill>
        </w:rPr>
      </w:pPr>
    </w:p>
    <w:p w14:paraId="042806D3">
      <w:pPr>
        <w:spacing w:line="360" w:lineRule="auto"/>
        <w:rPr>
          <w:rFonts w:ascii="Arial"/>
          <w:b/>
          <w:bCs/>
          <w:color w:val="000000" w:themeColor="text1"/>
          <w:highlight w:val="none"/>
          <w14:textFill>
            <w14:solidFill>
              <w14:schemeClr w14:val="tx1"/>
            </w14:solidFill>
          </w14:textFill>
        </w:rPr>
      </w:pPr>
    </w:p>
    <w:p w14:paraId="390B7425">
      <w:pPr>
        <w:spacing w:line="360" w:lineRule="auto"/>
        <w:rPr>
          <w:rFonts w:ascii="Arial"/>
          <w:b/>
          <w:bCs/>
          <w:color w:val="000000" w:themeColor="text1"/>
          <w:highlight w:val="none"/>
          <w14:textFill>
            <w14:solidFill>
              <w14:schemeClr w14:val="tx1"/>
            </w14:solidFill>
          </w14:textFill>
        </w:rPr>
      </w:pPr>
    </w:p>
    <w:p w14:paraId="6835E644">
      <w:pPr>
        <w:tabs>
          <w:tab w:val="left" w:pos="2346"/>
        </w:tabs>
        <w:spacing w:before="98" w:line="360" w:lineRule="auto"/>
        <w:ind w:firstLine="1355" w:firstLineChars="300"/>
        <w:rPr>
          <w:rFonts w:hint="eastAsia" w:ascii="宋体" w:hAnsi="宋体" w:cs="宋体"/>
          <w:b/>
          <w:bCs/>
          <w:color w:val="000000" w:themeColor="text1"/>
          <w:spacing w:val="-7"/>
          <w:sz w:val="43"/>
          <w:szCs w:val="43"/>
          <w:highlight w:val="none"/>
          <w:u w:val="single"/>
          <w14:textFill>
            <w14:solidFill>
              <w14:schemeClr w14:val="tx1"/>
            </w14:solidFill>
          </w14:textFill>
        </w:rPr>
      </w:pPr>
      <w:r>
        <w:rPr>
          <w:rFonts w:hint="eastAsia" w:ascii="宋体" w:hAnsi="宋体" w:cs="宋体"/>
          <w:b/>
          <w:bCs/>
          <w:color w:val="000000" w:themeColor="text1"/>
          <w:spacing w:val="5"/>
          <w:sz w:val="44"/>
          <w:szCs w:val="44"/>
          <w:highlight w:val="none"/>
          <w:u w:val="single"/>
          <w14:textFill>
            <w14:solidFill>
              <w14:schemeClr w14:val="tx1"/>
            </w14:solidFill>
          </w14:textFill>
        </w:rPr>
        <w:t xml:space="preserve">    </w:t>
      </w:r>
      <w:r>
        <w:rPr>
          <w:rFonts w:ascii="宋体" w:hAnsi="宋体" w:cs="宋体"/>
          <w:b/>
          <w:bCs/>
          <w:color w:val="000000" w:themeColor="text1"/>
          <w:spacing w:val="5"/>
          <w:sz w:val="44"/>
          <w:szCs w:val="44"/>
          <w:highlight w:val="none"/>
          <w:u w:val="single"/>
          <w14:textFill>
            <w14:solidFill>
              <w14:schemeClr w14:val="tx1"/>
            </w14:solidFill>
          </w14:textFill>
        </w:rPr>
        <w:t xml:space="preserve">(项目名称)  </w:t>
      </w:r>
      <w:r>
        <w:rPr>
          <w:rFonts w:hint="eastAsia" w:ascii="宋体" w:hAnsi="宋体" w:cs="宋体"/>
          <w:b/>
          <w:bCs/>
          <w:color w:val="000000" w:themeColor="text1"/>
          <w:spacing w:val="5"/>
          <w:sz w:val="44"/>
          <w:szCs w:val="44"/>
          <w:highlight w:val="none"/>
          <w:u w:val="single"/>
          <w14:textFill>
            <w14:solidFill>
              <w14:schemeClr w14:val="tx1"/>
            </w14:solidFill>
          </w14:textFill>
        </w:rPr>
        <w:t xml:space="preserve">  </w:t>
      </w:r>
      <w:r>
        <w:rPr>
          <w:rFonts w:ascii="宋体" w:hAnsi="宋体" w:cs="宋体"/>
          <w:b/>
          <w:bCs/>
          <w:color w:val="000000" w:themeColor="text1"/>
          <w:spacing w:val="-30"/>
          <w:sz w:val="43"/>
          <w:szCs w:val="43"/>
          <w:highlight w:val="none"/>
          <w:u w:val="single"/>
          <w14:textFill>
            <w14:solidFill>
              <w14:schemeClr w14:val="tx1"/>
            </w14:solidFill>
          </w14:textFill>
        </w:rPr>
        <w:t>（</w:t>
      </w:r>
      <w:r>
        <w:rPr>
          <w:rFonts w:ascii="宋体" w:hAnsi="宋体" w:cs="宋体"/>
          <w:b/>
          <w:bCs/>
          <w:color w:val="000000" w:themeColor="text1"/>
          <w:spacing w:val="-7"/>
          <w:sz w:val="43"/>
          <w:szCs w:val="43"/>
          <w:highlight w:val="none"/>
          <w:u w:val="single"/>
          <w14:textFill>
            <w14:solidFill>
              <w14:schemeClr w14:val="tx1"/>
            </w14:solidFill>
          </w14:textFill>
        </w:rPr>
        <w:t>标类或标段）</w:t>
      </w:r>
    </w:p>
    <w:p w14:paraId="4390C108">
      <w:pPr>
        <w:tabs>
          <w:tab w:val="left" w:pos="2346"/>
        </w:tabs>
        <w:spacing w:before="98" w:line="360" w:lineRule="auto"/>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b/>
          <w:bCs/>
          <w:color w:val="000000" w:themeColor="text1"/>
          <w:spacing w:val="-7"/>
          <w:sz w:val="43"/>
          <w:szCs w:val="43"/>
          <w:highlight w:val="none"/>
          <w14:textFill>
            <w14:solidFill>
              <w14:schemeClr w14:val="tx1"/>
            </w14:solidFill>
          </w14:textFill>
        </w:rPr>
        <w:t>施工</w:t>
      </w:r>
      <w:r>
        <w:rPr>
          <w:rFonts w:ascii="宋体" w:hAnsi="宋体" w:cs="宋体"/>
          <w:b/>
          <w:bCs/>
          <w:color w:val="000000" w:themeColor="text1"/>
          <w:spacing w:val="5"/>
          <w:sz w:val="44"/>
          <w:szCs w:val="44"/>
          <w:highlight w:val="none"/>
          <w14:textFill>
            <w14:solidFill>
              <w14:schemeClr w14:val="tx1"/>
            </w14:solidFill>
          </w14:textFill>
        </w:rPr>
        <w:t>招</w:t>
      </w:r>
      <w:r>
        <w:rPr>
          <w:rFonts w:ascii="宋体" w:hAnsi="宋体" w:cs="宋体"/>
          <w:b/>
          <w:bCs/>
          <w:color w:val="000000" w:themeColor="text1"/>
          <w:spacing w:val="4"/>
          <w:sz w:val="44"/>
          <w:szCs w:val="44"/>
          <w:highlight w:val="none"/>
          <w14:textFill>
            <w14:solidFill>
              <w14:schemeClr w14:val="tx1"/>
            </w14:solidFill>
          </w14:textFill>
        </w:rPr>
        <w:t>标</w:t>
      </w:r>
    </w:p>
    <w:p w14:paraId="5DE0F9EF">
      <w:pPr>
        <w:spacing w:line="360" w:lineRule="auto"/>
        <w:rPr>
          <w:rFonts w:ascii="Arial"/>
          <w:color w:val="000000" w:themeColor="text1"/>
          <w:highlight w:val="none"/>
          <w14:textFill>
            <w14:solidFill>
              <w14:schemeClr w14:val="tx1"/>
            </w14:solidFill>
          </w14:textFill>
        </w:rPr>
      </w:pPr>
    </w:p>
    <w:p w14:paraId="5E785F11">
      <w:pPr>
        <w:spacing w:line="360" w:lineRule="auto"/>
        <w:rPr>
          <w:rFonts w:ascii="Arial"/>
          <w:color w:val="000000" w:themeColor="text1"/>
          <w:highlight w:val="none"/>
          <w14:textFill>
            <w14:solidFill>
              <w14:schemeClr w14:val="tx1"/>
            </w14:solidFill>
          </w14:textFill>
        </w:rPr>
      </w:pPr>
    </w:p>
    <w:p w14:paraId="5D78B4BE">
      <w:pPr>
        <w:spacing w:line="360" w:lineRule="auto"/>
        <w:rPr>
          <w:rFonts w:ascii="Arial"/>
          <w:color w:val="000000" w:themeColor="text1"/>
          <w:highlight w:val="none"/>
          <w14:textFill>
            <w14:solidFill>
              <w14:schemeClr w14:val="tx1"/>
            </w14:solidFill>
          </w14:textFill>
        </w:rPr>
      </w:pPr>
    </w:p>
    <w:p w14:paraId="3701D144">
      <w:pPr>
        <w:spacing w:line="360" w:lineRule="auto"/>
        <w:rPr>
          <w:rFonts w:ascii="Arial"/>
          <w:color w:val="000000" w:themeColor="text1"/>
          <w:highlight w:val="none"/>
          <w14:textFill>
            <w14:solidFill>
              <w14:schemeClr w14:val="tx1"/>
            </w14:solidFill>
          </w14:textFill>
        </w:rPr>
      </w:pPr>
    </w:p>
    <w:p w14:paraId="629C7B66">
      <w:pPr>
        <w:spacing w:line="360" w:lineRule="auto"/>
        <w:rPr>
          <w:rFonts w:ascii="Arial"/>
          <w:color w:val="000000" w:themeColor="text1"/>
          <w:highlight w:val="none"/>
          <w14:textFill>
            <w14:solidFill>
              <w14:schemeClr w14:val="tx1"/>
            </w14:solidFill>
          </w14:textFill>
        </w:rPr>
      </w:pPr>
    </w:p>
    <w:p w14:paraId="2DF121EE">
      <w:pPr>
        <w:spacing w:line="360" w:lineRule="auto"/>
        <w:rPr>
          <w:rFonts w:ascii="Arial"/>
          <w:color w:val="000000" w:themeColor="text1"/>
          <w:highlight w:val="none"/>
          <w14:textFill>
            <w14:solidFill>
              <w14:schemeClr w14:val="tx1"/>
            </w14:solidFill>
          </w14:textFill>
        </w:rPr>
      </w:pPr>
    </w:p>
    <w:p w14:paraId="793DC269">
      <w:pPr>
        <w:spacing w:line="360" w:lineRule="auto"/>
        <w:rPr>
          <w:rFonts w:ascii="Arial"/>
          <w:color w:val="000000" w:themeColor="text1"/>
          <w:highlight w:val="none"/>
          <w14:textFill>
            <w14:solidFill>
              <w14:schemeClr w14:val="tx1"/>
            </w14:solidFill>
          </w14:textFill>
        </w:rPr>
      </w:pPr>
    </w:p>
    <w:p w14:paraId="3A5CCE4A">
      <w:pPr>
        <w:spacing w:before="159" w:line="360" w:lineRule="auto"/>
        <w:jc w:val="center"/>
        <w:rPr>
          <w:rFonts w:hint="eastAsia" w:ascii="宋体" w:hAnsi="宋体" w:cs="宋体"/>
          <w:b/>
          <w:bCs/>
          <w:color w:val="000000" w:themeColor="text1"/>
          <w:sz w:val="52"/>
          <w:szCs w:val="52"/>
          <w:highlight w:val="none"/>
          <w14:textFill>
            <w14:solidFill>
              <w14:schemeClr w14:val="tx1"/>
            </w14:solidFill>
          </w14:textFill>
        </w:rPr>
      </w:pPr>
      <w:r>
        <w:rPr>
          <w:rFonts w:ascii="宋体" w:hAnsi="宋体" w:cs="宋体"/>
          <w:b/>
          <w:bCs/>
          <w:color w:val="000000" w:themeColor="text1"/>
          <w:spacing w:val="7"/>
          <w:position w:val="34"/>
          <w:sz w:val="52"/>
          <w:szCs w:val="52"/>
          <w:highlight w:val="none"/>
          <w14:textFill>
            <w14:solidFill>
              <w14:schemeClr w14:val="tx1"/>
            </w14:solidFill>
          </w14:textFill>
        </w:rPr>
        <w:t>投</w:t>
      </w:r>
      <w:r>
        <w:rPr>
          <w:rFonts w:ascii="宋体" w:hAnsi="宋体" w:cs="宋体"/>
          <w:b/>
          <w:bCs/>
          <w:color w:val="000000" w:themeColor="text1"/>
          <w:spacing w:val="5"/>
          <w:position w:val="34"/>
          <w:sz w:val="52"/>
          <w:szCs w:val="52"/>
          <w:highlight w:val="none"/>
          <w14:textFill>
            <w14:solidFill>
              <w14:schemeClr w14:val="tx1"/>
            </w14:solidFill>
          </w14:textFill>
        </w:rPr>
        <w:t>标文件</w:t>
      </w:r>
    </w:p>
    <w:p w14:paraId="4B865B33">
      <w:pPr>
        <w:pStyle w:val="4"/>
        <w:jc w:val="center"/>
        <w:rPr>
          <w:color w:val="000000" w:themeColor="text1"/>
          <w:highlight w:val="none"/>
          <w14:textFill>
            <w14:solidFill>
              <w14:schemeClr w14:val="tx1"/>
            </w14:solidFill>
          </w14:textFill>
        </w:rPr>
      </w:pPr>
      <w:bookmarkStart w:id="450" w:name="_Toc11176"/>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第二个信封：报价文件</w:t>
      </w:r>
      <w:r>
        <w:rPr>
          <w:rFonts w:hint="eastAsia"/>
          <w:color w:val="000000" w:themeColor="text1"/>
          <w:highlight w:val="none"/>
          <w14:textFill>
            <w14:solidFill>
              <w14:schemeClr w14:val="tx1"/>
            </w14:solidFill>
          </w14:textFill>
        </w:rPr>
        <w:t>）</w:t>
      </w:r>
      <w:bookmarkEnd w:id="450"/>
    </w:p>
    <w:p w14:paraId="608CFCB7">
      <w:pPr>
        <w:spacing w:line="360" w:lineRule="auto"/>
        <w:rPr>
          <w:rFonts w:ascii="Arial"/>
          <w:color w:val="000000" w:themeColor="text1"/>
          <w:highlight w:val="none"/>
          <w14:textFill>
            <w14:solidFill>
              <w14:schemeClr w14:val="tx1"/>
            </w14:solidFill>
          </w14:textFill>
        </w:rPr>
      </w:pPr>
    </w:p>
    <w:p w14:paraId="2C177E31">
      <w:pPr>
        <w:spacing w:line="360" w:lineRule="auto"/>
        <w:rPr>
          <w:rFonts w:ascii="Arial"/>
          <w:color w:val="000000" w:themeColor="text1"/>
          <w:highlight w:val="none"/>
          <w14:textFill>
            <w14:solidFill>
              <w14:schemeClr w14:val="tx1"/>
            </w14:solidFill>
          </w14:textFill>
        </w:rPr>
      </w:pPr>
    </w:p>
    <w:p w14:paraId="3CBFDE0B">
      <w:pPr>
        <w:spacing w:line="360" w:lineRule="auto"/>
        <w:rPr>
          <w:rFonts w:ascii="Arial"/>
          <w:color w:val="000000" w:themeColor="text1"/>
          <w:highlight w:val="none"/>
          <w14:textFill>
            <w14:solidFill>
              <w14:schemeClr w14:val="tx1"/>
            </w14:solidFill>
          </w14:textFill>
        </w:rPr>
      </w:pPr>
    </w:p>
    <w:p w14:paraId="1D34AE3B">
      <w:pPr>
        <w:spacing w:line="360" w:lineRule="auto"/>
        <w:rPr>
          <w:rFonts w:ascii="Arial"/>
          <w:color w:val="000000" w:themeColor="text1"/>
          <w:highlight w:val="none"/>
          <w14:textFill>
            <w14:solidFill>
              <w14:schemeClr w14:val="tx1"/>
            </w14:solidFill>
          </w14:textFill>
        </w:rPr>
      </w:pPr>
    </w:p>
    <w:p w14:paraId="0E4F93A5">
      <w:pPr>
        <w:spacing w:line="360" w:lineRule="auto"/>
        <w:rPr>
          <w:rFonts w:ascii="Arial"/>
          <w:color w:val="000000" w:themeColor="text1"/>
          <w:highlight w:val="none"/>
          <w14:textFill>
            <w14:solidFill>
              <w14:schemeClr w14:val="tx1"/>
            </w14:solidFill>
          </w14:textFill>
        </w:rPr>
      </w:pPr>
    </w:p>
    <w:p w14:paraId="0A2C2BF9">
      <w:pPr>
        <w:spacing w:line="360" w:lineRule="auto"/>
        <w:rPr>
          <w:rFonts w:ascii="Arial"/>
          <w:color w:val="000000" w:themeColor="text1"/>
          <w:highlight w:val="none"/>
          <w14:textFill>
            <w14:solidFill>
              <w14:schemeClr w14:val="tx1"/>
            </w14:solidFill>
          </w14:textFill>
        </w:rPr>
      </w:pPr>
    </w:p>
    <w:p w14:paraId="3FC3E9AD">
      <w:pPr>
        <w:spacing w:line="360" w:lineRule="auto"/>
        <w:rPr>
          <w:rFonts w:ascii="Arial"/>
          <w:color w:val="000000" w:themeColor="text1"/>
          <w:highlight w:val="none"/>
          <w14:textFill>
            <w14:solidFill>
              <w14:schemeClr w14:val="tx1"/>
            </w14:solidFill>
          </w14:textFill>
        </w:rPr>
      </w:pPr>
    </w:p>
    <w:p w14:paraId="50C6D564">
      <w:pPr>
        <w:tabs>
          <w:tab w:val="left" w:pos="3342"/>
        </w:tabs>
        <w:spacing w:before="101" w:line="360" w:lineRule="auto"/>
        <w:ind w:left="2049" w:right="665" w:hanging="1663"/>
        <w:rPr>
          <w:color w:val="000000" w:themeColor="text1"/>
          <w:highlight w:val="none"/>
          <w14:textFill>
            <w14:solidFill>
              <w14:schemeClr w14:val="tx1"/>
            </w14:solidFill>
          </w14:textFill>
        </w:rPr>
        <w:sectPr>
          <w:headerReference r:id="rId124" w:type="default"/>
          <w:footerReference r:id="rId125" w:type="default"/>
          <w:pgSz w:w="11900" w:h="16839"/>
          <w:pgMar w:top="947" w:right="1125" w:bottom="1134" w:left="1420" w:header="707" w:footer="974" w:gutter="0"/>
          <w:cols w:space="720" w:num="1"/>
        </w:sectPr>
      </w:pPr>
      <w:r>
        <w:rPr>
          <w:rFonts w:ascii="宋体" w:hAnsi="宋体" w:cs="宋体"/>
          <w:color w:val="000000" w:themeColor="text1"/>
          <w:spacing w:val="-8"/>
          <w:sz w:val="31"/>
          <w:szCs w:val="31"/>
          <w:highlight w:val="none"/>
          <w14:textFill>
            <w14:solidFill>
              <w14:schemeClr w14:val="tx1"/>
            </w14:solidFill>
          </w14:textFill>
        </w:rPr>
        <w:t>投标人：</w:t>
      </w:r>
      <w:r>
        <w:rPr>
          <w:rFonts w:ascii="宋体" w:hAnsi="宋体" w:cs="宋体"/>
          <w:color w:val="000000" w:themeColor="text1"/>
          <w:spacing w:val="-8"/>
          <w:sz w:val="31"/>
          <w:szCs w:val="31"/>
          <w:highlight w:val="none"/>
          <w:u w:val="single"/>
          <w14:textFill>
            <w14:solidFill>
              <w14:schemeClr w14:val="tx1"/>
            </w14:solidFill>
          </w14:textFill>
        </w:rPr>
        <w:t xml:space="preserve">    </w:t>
      </w:r>
      <w:r>
        <w:rPr>
          <w:rFonts w:ascii="宋体" w:hAnsi="宋体" w:cs="宋体"/>
          <w:color w:val="000000" w:themeColor="text1"/>
          <w:spacing w:val="-6"/>
          <w:sz w:val="31"/>
          <w:szCs w:val="31"/>
          <w:highlight w:val="none"/>
          <w:u w:val="single"/>
          <w14:textFill>
            <w14:solidFill>
              <w14:schemeClr w14:val="tx1"/>
            </w14:solidFill>
          </w14:textFill>
        </w:rPr>
        <w:t xml:space="preserve"> </w:t>
      </w:r>
      <w:r>
        <w:rPr>
          <w:rFonts w:ascii="宋体" w:hAnsi="宋体" w:cs="宋体"/>
          <w:color w:val="000000" w:themeColor="text1"/>
          <w:spacing w:val="-4"/>
          <w:sz w:val="31"/>
          <w:szCs w:val="31"/>
          <w:highlight w:val="none"/>
          <w:u w:val="single"/>
          <w14:textFill>
            <w14:solidFill>
              <w14:schemeClr w14:val="tx1"/>
            </w14:solidFill>
          </w14:textFill>
        </w:rPr>
        <w:t xml:space="preserve">                                </w:t>
      </w:r>
      <w:r>
        <w:rPr>
          <w:rFonts w:ascii="宋体" w:hAnsi="宋体" w:cs="宋体"/>
          <w:color w:val="000000" w:themeColor="text1"/>
          <w:spacing w:val="-4"/>
          <w:sz w:val="31"/>
          <w:szCs w:val="31"/>
          <w:highlight w:val="none"/>
          <w14:textFill>
            <w14:solidFill>
              <w14:schemeClr w14:val="tx1"/>
            </w14:solidFill>
          </w14:textFill>
        </w:rPr>
        <w:t>(盖单位章)</w:t>
      </w:r>
      <w:r>
        <w:rPr>
          <w:rFonts w:ascii="宋体" w:hAnsi="宋体" w:cs="宋体"/>
          <w:color w:val="000000" w:themeColor="text1"/>
          <w:sz w:val="31"/>
          <w:szCs w:val="31"/>
          <w:highlight w:val="none"/>
          <w14:textFill>
            <w14:solidFill>
              <w14:schemeClr w14:val="tx1"/>
            </w14:solidFill>
          </w14:textFill>
        </w:rPr>
        <w:t xml:space="preserve"> </w:t>
      </w:r>
      <w:r>
        <w:rPr>
          <w:rFonts w:ascii="宋体" w:hAnsi="宋体" w:cs="宋体"/>
          <w:color w:val="000000" w:themeColor="text1"/>
          <w:sz w:val="31"/>
          <w:szCs w:val="31"/>
          <w:highlight w:val="none"/>
          <w:u w:val="single"/>
          <w14:textFill>
            <w14:solidFill>
              <w14:schemeClr w14:val="tx1"/>
            </w14:solidFill>
          </w14:textFill>
        </w:rPr>
        <w:tab/>
      </w:r>
      <w:r>
        <w:rPr>
          <w:rFonts w:ascii="宋体" w:hAnsi="宋体" w:cs="宋体"/>
          <w:color w:val="000000" w:themeColor="text1"/>
          <w:spacing w:val="-7"/>
          <w:sz w:val="31"/>
          <w:szCs w:val="31"/>
          <w:highlight w:val="none"/>
          <w14:textFill>
            <w14:solidFill>
              <w14:schemeClr w14:val="tx1"/>
            </w14:solidFill>
          </w14:textFill>
        </w:rPr>
        <w:t>年</w:t>
      </w:r>
      <w:r>
        <w:rPr>
          <w:rFonts w:ascii="宋体" w:hAnsi="宋体" w:cs="宋体"/>
          <w:color w:val="000000" w:themeColor="text1"/>
          <w:spacing w:val="-7"/>
          <w:sz w:val="31"/>
          <w:szCs w:val="31"/>
          <w:highlight w:val="none"/>
          <w:u w:val="single"/>
          <w14:textFill>
            <w14:solidFill>
              <w14:schemeClr w14:val="tx1"/>
            </w14:solidFill>
          </w14:textFill>
        </w:rPr>
        <w:t xml:space="preserve">        </w:t>
      </w:r>
      <w:r>
        <w:rPr>
          <w:rFonts w:ascii="宋体" w:hAnsi="宋体" w:cs="宋体"/>
          <w:color w:val="000000" w:themeColor="text1"/>
          <w:spacing w:val="-7"/>
          <w:sz w:val="31"/>
          <w:szCs w:val="31"/>
          <w:highlight w:val="none"/>
          <w14:textFill>
            <w14:solidFill>
              <w14:schemeClr w14:val="tx1"/>
            </w14:solidFill>
          </w14:textFill>
        </w:rPr>
        <w:t xml:space="preserve"> 月</w:t>
      </w:r>
      <w:r>
        <w:rPr>
          <w:rFonts w:ascii="宋体" w:hAnsi="宋体" w:cs="宋体"/>
          <w:color w:val="000000" w:themeColor="text1"/>
          <w:spacing w:val="-7"/>
          <w:sz w:val="31"/>
          <w:szCs w:val="31"/>
          <w:highlight w:val="none"/>
          <w:u w:val="single"/>
          <w14:textFill>
            <w14:solidFill>
              <w14:schemeClr w14:val="tx1"/>
            </w14:solidFill>
          </w14:textFill>
        </w:rPr>
        <w:t xml:space="preserve">         </w:t>
      </w:r>
      <w:r>
        <w:rPr>
          <w:rFonts w:ascii="宋体" w:hAnsi="宋体" w:cs="宋体"/>
          <w:color w:val="000000" w:themeColor="text1"/>
          <w:spacing w:val="-7"/>
          <w:sz w:val="31"/>
          <w:szCs w:val="31"/>
          <w:highlight w:val="none"/>
          <w14:textFill>
            <w14:solidFill>
              <w14:schemeClr w14:val="tx1"/>
            </w14:solidFill>
          </w14:textFill>
        </w:rPr>
        <w:t xml:space="preserve"> </w:t>
      </w:r>
      <w:r>
        <w:rPr>
          <w:rFonts w:ascii="宋体" w:hAnsi="宋体" w:cs="宋体"/>
          <w:color w:val="000000" w:themeColor="text1"/>
          <w:spacing w:val="-5"/>
          <w:sz w:val="31"/>
          <w:szCs w:val="31"/>
          <w:highlight w:val="none"/>
          <w14:textFill>
            <w14:solidFill>
              <w14:schemeClr w14:val="tx1"/>
            </w14:solidFill>
          </w14:textFill>
        </w:rPr>
        <w:t>日</w:t>
      </w:r>
    </w:p>
    <w:p w14:paraId="6943704B">
      <w:pPr>
        <w:spacing w:line="360" w:lineRule="auto"/>
        <w:rPr>
          <w:rFonts w:ascii="Arial"/>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0" allowOverlap="1">
                <wp:simplePos x="0" y="0"/>
                <wp:positionH relativeFrom="page">
                  <wp:posOffset>3671570</wp:posOffset>
                </wp:positionH>
                <wp:positionV relativeFrom="page">
                  <wp:posOffset>9958705</wp:posOffset>
                </wp:positionV>
                <wp:extent cx="138430" cy="127635"/>
                <wp:effectExtent l="4445" t="0" r="0" b="635"/>
                <wp:wrapNone/>
                <wp:docPr id="369702870"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38430" cy="127635"/>
                        </a:xfrm>
                        <a:prstGeom prst="rect">
                          <a:avLst/>
                        </a:prstGeom>
                        <a:noFill/>
                        <a:ln>
                          <a:noFill/>
                        </a:ln>
                      </wps:spPr>
                      <wps:txbx>
                        <w:txbxContent>
                          <w:p w14:paraId="5E7165CB">
                            <w:pPr>
                              <w:spacing w:before="19" w:line="197" w:lineRule="auto"/>
                              <w:ind w:left="20"/>
                              <w:rPr>
                                <w:rFonts w:eastAsia="Times New Roman"/>
                                <w:sz w:val="17"/>
                                <w:szCs w:val="17"/>
                              </w:rPr>
                            </w:pPr>
                          </w:p>
                        </w:txbxContent>
                      </wps:txbx>
                      <wps:bodyPr rot="0" vert="horz" wrap="square" lIns="0" tIns="0" rIns="0" bIns="0" anchor="t" anchorCtr="0" upright="1">
                        <a:noAutofit/>
                      </wps:bodyPr>
                    </wps:wsp>
                  </a:graphicData>
                </a:graphic>
              </wp:anchor>
            </w:drawing>
          </mc:Choice>
          <mc:Fallback>
            <w:pict>
              <v:shape id="文本框 15" o:spid="_x0000_s1026" o:spt="202" type="#_x0000_t202" style="position:absolute;left:0pt;margin-left:289.1pt;margin-top:784.15pt;height:10.05pt;width:10.9pt;mso-position-horizontal-relative:page;mso-position-vertical-relative:page;z-index:251659264;mso-width-relative:page;mso-height-relative:page;" filled="f" stroked="f" coordsize="21600,21600" o:allowincell="f" o:gfxdata="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eNFF9oAAAANAQAADwAA&#10;AAAAAAABACAAAAAiAAAAZHJzL2Rvd25yZXYueG1sUEsBAhQAFAAAAAgAh07iQCOcRe0UAgAADQQA&#10;AA4AAAAAAAAAAQAgAAAAKQEAAGRycy9lMm9Eb2MueG1sUEsFBgAAAAAGAAYAWQEAAK8FAAAAAA==&#10;">
                <v:fill on="f" focussize="0,0"/>
                <v:stroke on="f"/>
                <v:imagedata o:title=""/>
                <o:lock v:ext="edit" aspectratio="f"/>
                <v:textbox inset="0mm,0mm,0mm,0mm">
                  <w:txbxContent>
                    <w:p w14:paraId="5E7165CB">
                      <w:pPr>
                        <w:spacing w:before="19" w:line="197" w:lineRule="auto"/>
                        <w:ind w:left="20"/>
                        <w:rPr>
                          <w:rFonts w:eastAsia="Times New Roman"/>
                          <w:sz w:val="17"/>
                          <w:szCs w:val="17"/>
                        </w:rPr>
                      </w:pPr>
                    </w:p>
                  </w:txbxContent>
                </v:textbox>
              </v:shape>
            </w:pict>
          </mc:Fallback>
        </mc:AlternateContent>
      </w:r>
    </w:p>
    <w:p w14:paraId="3081ABFB">
      <w:pPr>
        <w:spacing w:line="360" w:lineRule="auto"/>
        <w:rPr>
          <w:rFonts w:ascii="Arial"/>
          <w:color w:val="000000" w:themeColor="text1"/>
          <w:highlight w:val="none"/>
          <w14:textFill>
            <w14:solidFill>
              <w14:schemeClr w14:val="tx1"/>
            </w14:solidFill>
          </w14:textFill>
        </w:rPr>
      </w:pPr>
    </w:p>
    <w:p w14:paraId="3BF78053">
      <w:pPr>
        <w:spacing w:before="114" w:line="360" w:lineRule="auto"/>
        <w:ind w:left="4007"/>
        <w:rPr>
          <w:rFonts w:hint="eastAsia" w:ascii="黑体" w:hAnsi="黑体" w:eastAsia="黑体" w:cs="黑体"/>
          <w:color w:val="000000" w:themeColor="text1"/>
          <w:sz w:val="35"/>
          <w:szCs w:val="35"/>
          <w:highlight w:val="none"/>
          <w14:textFill>
            <w14:solidFill>
              <w14:schemeClr w14:val="tx1"/>
            </w14:solidFill>
          </w14:textFill>
        </w:rPr>
      </w:pPr>
      <w:r>
        <w:rPr>
          <w:rFonts w:ascii="黑体" w:hAnsi="黑体" w:eastAsia="黑体" w:cs="黑体"/>
          <w:color w:val="000000" w:themeColor="text1"/>
          <w:spacing w:val="-8"/>
          <w:sz w:val="35"/>
          <w:szCs w:val="35"/>
          <w:highlight w:val="none"/>
          <w14:textFill>
            <w14:solidFill>
              <w14:schemeClr w14:val="tx1"/>
            </w14:solidFill>
          </w14:textFill>
        </w:rPr>
        <w:t>目</w:t>
      </w:r>
      <w:r>
        <w:rPr>
          <w:rFonts w:ascii="黑体" w:hAnsi="黑体" w:eastAsia="黑体" w:cs="黑体"/>
          <w:color w:val="000000" w:themeColor="text1"/>
          <w:spacing w:val="-5"/>
          <w:sz w:val="35"/>
          <w:szCs w:val="35"/>
          <w:highlight w:val="none"/>
          <w14:textFill>
            <w14:solidFill>
              <w14:schemeClr w14:val="tx1"/>
            </w14:solidFill>
          </w14:textFill>
        </w:rPr>
        <w:t xml:space="preserve">  录</w:t>
      </w:r>
    </w:p>
    <w:p w14:paraId="1CB2630A">
      <w:pPr>
        <w:spacing w:line="360" w:lineRule="auto"/>
        <w:rPr>
          <w:rFonts w:ascii="Arial"/>
          <w:color w:val="000000" w:themeColor="text1"/>
          <w:highlight w:val="none"/>
          <w14:textFill>
            <w14:solidFill>
              <w14:schemeClr w14:val="tx1"/>
            </w14:solidFill>
          </w14:textFill>
        </w:rPr>
      </w:pPr>
    </w:p>
    <w:p w14:paraId="2B5B669F">
      <w:pPr>
        <w:spacing w:before="91" w:line="219" w:lineRule="auto"/>
        <w:ind w:left="9"/>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1"/>
          <w:sz w:val="28"/>
          <w:szCs w:val="28"/>
          <w:highlight w:val="none"/>
          <w14:textFill>
            <w14:solidFill>
              <w14:schemeClr w14:val="tx1"/>
            </w14:solidFill>
          </w14:textFill>
        </w:rPr>
        <w:t>第二个信封（报价文件）</w:t>
      </w:r>
    </w:p>
    <w:p w14:paraId="7C2F581A">
      <w:pPr>
        <w:spacing w:before="292" w:line="221" w:lineRule="auto"/>
        <w:ind w:left="14"/>
        <w:rPr>
          <w:rFonts w:hint="eastAsia" w:ascii="宋体" w:hAnsi="宋体" w:cs="宋体"/>
          <w:color w:val="000000" w:themeColor="text1"/>
          <w:spacing w:val="-3"/>
          <w:sz w:val="28"/>
          <w:szCs w:val="28"/>
          <w:highlight w:val="none"/>
          <w14:textFill>
            <w14:solidFill>
              <w14:schemeClr w14:val="tx1"/>
            </w14:solidFill>
          </w14:textFill>
        </w:rPr>
      </w:pPr>
    </w:p>
    <w:p w14:paraId="788A5141">
      <w:pPr>
        <w:spacing w:before="292" w:line="360" w:lineRule="auto"/>
        <w:ind w:left="14"/>
        <w:rPr>
          <w:rFonts w:hint="eastAsia"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pacing w:val="-3"/>
          <w:sz w:val="28"/>
          <w:szCs w:val="28"/>
          <w:highlight w:val="none"/>
          <w14:textFill>
            <w14:solidFill>
              <w14:schemeClr w14:val="tx1"/>
            </w14:solidFill>
          </w14:textFill>
        </w:rPr>
        <w:t>一、投标函</w:t>
      </w:r>
    </w:p>
    <w:p w14:paraId="2BC8B4AF">
      <w:pPr>
        <w:spacing w:line="360" w:lineRule="auto"/>
        <w:rPr>
          <w:color w:val="000000" w:themeColor="text1"/>
          <w:highlight w:val="none"/>
          <w14:textFill>
            <w14:solidFill>
              <w14:schemeClr w14:val="tx1"/>
            </w14:solidFill>
          </w14:textFill>
        </w:rPr>
      </w:pPr>
      <w:r>
        <w:rPr>
          <w:rFonts w:ascii="宋体" w:hAnsi="宋体" w:cs="宋体"/>
          <w:color w:val="000000" w:themeColor="text1"/>
          <w:spacing w:val="-2"/>
          <w:sz w:val="28"/>
          <w:szCs w:val="28"/>
          <w:highlight w:val="none"/>
          <w14:textFill>
            <w14:solidFill>
              <w14:schemeClr w14:val="tx1"/>
            </w14:solidFill>
          </w14:textFill>
        </w:rPr>
        <w:t>二、已标价工程量清单</w:t>
      </w:r>
    </w:p>
    <w:p w14:paraId="595FCD75">
      <w:pPr>
        <w:rPr>
          <w:color w:val="000000" w:themeColor="text1"/>
          <w:highlight w:val="none"/>
          <w14:textFill>
            <w14:solidFill>
              <w14:schemeClr w14:val="tx1"/>
            </w14:solidFill>
          </w14:textFill>
        </w:rPr>
      </w:pPr>
    </w:p>
    <w:p w14:paraId="3F388F9C">
      <w:pPr>
        <w:rPr>
          <w:color w:val="000000" w:themeColor="text1"/>
          <w:highlight w:val="none"/>
          <w14:textFill>
            <w14:solidFill>
              <w14:schemeClr w14:val="tx1"/>
            </w14:solidFill>
          </w14:textFill>
        </w:rPr>
      </w:pPr>
    </w:p>
    <w:p w14:paraId="5B8FD815">
      <w:pPr>
        <w:rPr>
          <w:color w:val="000000" w:themeColor="text1"/>
          <w:highlight w:val="none"/>
          <w14:textFill>
            <w14:solidFill>
              <w14:schemeClr w14:val="tx1"/>
            </w14:solidFill>
          </w14:textFill>
        </w:rPr>
      </w:pPr>
    </w:p>
    <w:p w14:paraId="4311A892">
      <w:pPr>
        <w:rPr>
          <w:color w:val="000000" w:themeColor="text1"/>
          <w:highlight w:val="none"/>
          <w14:textFill>
            <w14:solidFill>
              <w14:schemeClr w14:val="tx1"/>
            </w14:solidFill>
          </w14:textFill>
        </w:rPr>
        <w:sectPr>
          <w:footerReference r:id="rId126" w:type="default"/>
          <w:pgSz w:w="11900" w:h="16839"/>
          <w:pgMar w:top="947" w:right="1125" w:bottom="1134" w:left="1420" w:header="707" w:footer="974" w:gutter="0"/>
          <w:cols w:space="720" w:num="1"/>
        </w:sectPr>
      </w:pPr>
    </w:p>
    <w:p w14:paraId="544B64DC">
      <w:pPr>
        <w:pStyle w:val="5"/>
        <w:jc w:val="center"/>
        <w:rPr>
          <w:color w:val="000000" w:themeColor="text1"/>
          <w:sz w:val="28"/>
          <w:szCs w:val="36"/>
          <w:highlight w:val="none"/>
          <w14:textFill>
            <w14:solidFill>
              <w14:schemeClr w14:val="tx1"/>
            </w14:solidFill>
          </w14:textFill>
        </w:rPr>
      </w:pPr>
      <w:bookmarkStart w:id="451" w:name="_Toc756"/>
      <w:r>
        <w:rPr>
          <w:color w:val="000000" w:themeColor="text1"/>
          <w:sz w:val="28"/>
          <w:szCs w:val="36"/>
          <w:highlight w:val="none"/>
          <w14:textFill>
            <w14:solidFill>
              <w14:schemeClr w14:val="tx1"/>
            </w14:solidFill>
          </w14:textFill>
        </w:rPr>
        <w:t>一、投标函</w:t>
      </w:r>
      <w:bookmarkEnd w:id="451"/>
    </w:p>
    <w:p w14:paraId="61EE684C">
      <w:pPr>
        <w:spacing w:line="360" w:lineRule="auto"/>
        <w:rPr>
          <w:rFonts w:ascii="Arial"/>
          <w:color w:val="000000" w:themeColor="text1"/>
          <w:highlight w:val="none"/>
          <w14:textFill>
            <w14:solidFill>
              <w14:schemeClr w14:val="tx1"/>
            </w14:solidFill>
          </w14:textFill>
        </w:rPr>
      </w:pPr>
    </w:p>
    <w:p w14:paraId="3BAB1EE8">
      <w:pPr>
        <w:tabs>
          <w:tab w:val="left" w:pos="2520"/>
        </w:tabs>
        <w:spacing w:before="78" w:line="220" w:lineRule="auto"/>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u w:val="single"/>
          <w14:textFill>
            <w14:solidFill>
              <w14:schemeClr w14:val="tx1"/>
            </w14:solidFill>
          </w14:textFill>
        </w:rPr>
        <w:tab/>
      </w:r>
      <w:r>
        <w:rPr>
          <w:rFonts w:ascii="宋体" w:hAnsi="宋体" w:cs="宋体"/>
          <w:color w:val="000000" w:themeColor="text1"/>
          <w:spacing w:val="-1"/>
          <w:sz w:val="24"/>
          <w:highlight w:val="none"/>
          <w14:textFill>
            <w14:solidFill>
              <w14:schemeClr w14:val="tx1"/>
            </w14:solidFill>
          </w14:textFill>
        </w:rPr>
        <w:t>（招标人名称</w:t>
      </w:r>
      <w:r>
        <w:rPr>
          <w:rFonts w:ascii="宋体" w:hAnsi="宋体" w:cs="宋体"/>
          <w:color w:val="000000" w:themeColor="text1"/>
          <w:spacing w:val="2"/>
          <w:sz w:val="24"/>
          <w:highlight w:val="none"/>
          <w14:textFill>
            <w14:solidFill>
              <w14:schemeClr w14:val="tx1"/>
            </w14:solidFill>
          </w14:textFill>
        </w:rPr>
        <w:t>）：</w:t>
      </w:r>
    </w:p>
    <w:p w14:paraId="0ADA38AB">
      <w:pPr>
        <w:widowControl/>
        <w:kinsoku w:val="0"/>
        <w:autoSpaceDE w:val="0"/>
        <w:autoSpaceDN w:val="0"/>
        <w:adjustRightInd w:val="0"/>
        <w:snapToGrid w:val="0"/>
        <w:spacing w:before="181" w:line="332" w:lineRule="auto"/>
        <w:ind w:left="9" w:right="1" w:firstLine="497"/>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1. 我方已仔细研究</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（项目名称</w:t>
      </w:r>
      <w:r>
        <w:rPr>
          <w:rFonts w:ascii="宋体" w:hAnsi="宋体" w:cs="宋体"/>
          <w:snapToGrid w:val="0"/>
          <w:color w:val="000000" w:themeColor="text1"/>
          <w:spacing w:val="-18"/>
          <w:kern w:val="0"/>
          <w:sz w:val="24"/>
          <w:highlight w:val="none"/>
          <w:u w:val="single"/>
          <w14:textFill>
            <w14:solidFill>
              <w14:schemeClr w14:val="tx1"/>
            </w14:solidFill>
          </w14:textFill>
        </w:rPr>
        <w:t>）</w:t>
      </w:r>
      <w:r>
        <w:rPr>
          <w:rFonts w:ascii="宋体" w:hAnsi="宋体" w:cs="宋体"/>
          <w:snapToGrid w:val="0"/>
          <w:color w:val="000000" w:themeColor="text1"/>
          <w:spacing w:val="3"/>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8"/>
          <w:kern w:val="0"/>
          <w:sz w:val="24"/>
          <w:highlight w:val="none"/>
          <w:u w:val="single"/>
          <w14:textFill>
            <w14:solidFill>
              <w14:schemeClr w14:val="tx1"/>
            </w14:solidFill>
          </w14:textFill>
        </w:rPr>
        <w:t>（</w:t>
      </w:r>
      <w:r>
        <w:rPr>
          <w:rFonts w:ascii="宋体" w:hAnsi="宋体" w:cs="宋体"/>
          <w:snapToGrid w:val="0"/>
          <w:color w:val="000000" w:themeColor="text1"/>
          <w:spacing w:val="2"/>
          <w:kern w:val="0"/>
          <w:sz w:val="24"/>
          <w:highlight w:val="none"/>
          <w:u w:val="single"/>
          <w14:textFill>
            <w14:solidFill>
              <w14:schemeClr w14:val="tx1"/>
            </w14:solidFill>
          </w14:textFill>
        </w:rPr>
        <w:t>标类或</w:t>
      </w:r>
      <w:r>
        <w:rPr>
          <w:rFonts w:ascii="宋体" w:hAnsi="宋体" w:cs="宋体"/>
          <w:snapToGrid w:val="0"/>
          <w:color w:val="000000" w:themeColor="text1"/>
          <w:spacing w:val="1"/>
          <w:kern w:val="0"/>
          <w:sz w:val="24"/>
          <w:highlight w:val="none"/>
          <w:u w:val="single"/>
          <w14:textFill>
            <w14:solidFill>
              <w14:schemeClr w14:val="tx1"/>
            </w14:solidFill>
          </w14:textFill>
        </w:rPr>
        <w:t>标段）</w:t>
      </w:r>
      <w:r>
        <w:rPr>
          <w:rFonts w:ascii="宋体" w:hAnsi="宋体" w:cs="宋体"/>
          <w:snapToGrid w:val="0"/>
          <w:color w:val="000000" w:themeColor="text1"/>
          <w:spacing w:val="1"/>
          <w:kern w:val="0"/>
          <w:sz w:val="24"/>
          <w:highlight w:val="none"/>
          <w14:textFill>
            <w14:solidFill>
              <w14:schemeClr w14:val="tx1"/>
            </w14:solidFill>
          </w14:textFill>
        </w:rPr>
        <w:t>施工招标文件的</w:t>
      </w:r>
      <w:r>
        <w:rPr>
          <w:rFonts w:ascii="宋体" w:hAnsi="宋体" w:cs="宋体"/>
          <w:snapToGrid w:val="0"/>
          <w:color w:val="000000" w:themeColor="text1"/>
          <w:spacing w:val="3"/>
          <w:kern w:val="0"/>
          <w:sz w:val="24"/>
          <w:highlight w:val="none"/>
          <w14:textFill>
            <w14:solidFill>
              <w14:schemeClr w14:val="tx1"/>
            </w14:solidFill>
          </w14:textFill>
        </w:rPr>
        <w:t>全部内容（含补遗书，如有</w:t>
      </w:r>
      <w:r>
        <w:rPr>
          <w:rFonts w:ascii="宋体" w:hAnsi="宋体" w:cs="宋体"/>
          <w:snapToGrid w:val="0"/>
          <w:color w:val="000000" w:themeColor="text1"/>
          <w:spacing w:val="16"/>
          <w:kern w:val="0"/>
          <w:sz w:val="24"/>
          <w:highlight w:val="none"/>
          <w14:textFill>
            <w14:solidFill>
              <w14:schemeClr w14:val="tx1"/>
            </w14:solidFill>
          </w14:textFill>
        </w:rPr>
        <w:t>），</w:t>
      </w:r>
      <w:r>
        <w:rPr>
          <w:rFonts w:ascii="宋体" w:hAnsi="宋体" w:cs="宋体"/>
          <w:snapToGrid w:val="0"/>
          <w:color w:val="000000" w:themeColor="text1"/>
          <w:spacing w:val="3"/>
          <w:kern w:val="0"/>
          <w:sz w:val="24"/>
          <w:highlight w:val="none"/>
          <w:u w:val="single"/>
          <w14:textFill>
            <w14:solidFill>
              <w14:schemeClr w14:val="tx1"/>
            </w14:solidFill>
          </w14:textFill>
        </w:rPr>
        <w:t>在考察工程现场后（如有</w:t>
      </w:r>
      <w:r>
        <w:rPr>
          <w:rFonts w:ascii="宋体" w:hAnsi="宋体" w:cs="宋体"/>
          <w:snapToGrid w:val="0"/>
          <w:color w:val="000000" w:themeColor="text1"/>
          <w:spacing w:val="16"/>
          <w:kern w:val="0"/>
          <w:sz w:val="24"/>
          <w:highlight w:val="none"/>
          <w:u w:val="single"/>
          <w14:textFill>
            <w14:solidFill>
              <w14:schemeClr w14:val="tx1"/>
            </w14:solidFill>
          </w14:textFill>
        </w:rPr>
        <w:t>），</w:t>
      </w:r>
      <w:r>
        <w:rPr>
          <w:rFonts w:ascii="宋体" w:hAnsi="宋体" w:cs="宋体"/>
          <w:snapToGrid w:val="0"/>
          <w:color w:val="000000" w:themeColor="text1"/>
          <w:spacing w:val="3"/>
          <w:kern w:val="0"/>
          <w:sz w:val="24"/>
          <w:highlight w:val="none"/>
          <w14:textFill>
            <w14:solidFill>
              <w14:schemeClr w14:val="tx1"/>
            </w14:solidFill>
          </w14:textFill>
        </w:rPr>
        <w:t>愿意以人民币（大写）</w:t>
      </w:r>
      <w:r>
        <w:rPr>
          <w:rFonts w:hint="eastAsia" w:ascii="宋体" w:hAnsi="宋体" w:cs="宋体"/>
          <w:snapToGrid w:val="0"/>
          <w:color w:val="000000" w:themeColor="text1"/>
          <w:spacing w:val="3"/>
          <w:kern w:val="0"/>
          <w:sz w:val="24"/>
          <w:highlight w:val="none"/>
          <w:u w:val="singl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元 (¥</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84"/>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spacing w:val="47"/>
          <w:kern w:val="0"/>
          <w:sz w:val="24"/>
          <w:highlight w:val="none"/>
          <w14:textFill>
            <w14:solidFill>
              <w14:schemeClr w14:val="tx1"/>
            </w14:solidFill>
          </w14:textFill>
        </w:rPr>
        <w:t xml:space="preserve"> </w:t>
      </w:r>
      <w:r>
        <w:rPr>
          <w:rFonts w:ascii="宋体" w:hAnsi="宋体" w:cs="宋体"/>
          <w:snapToGrid w:val="0"/>
          <w:color w:val="000000" w:themeColor="text1"/>
          <w:kern w:val="0"/>
          <w:sz w:val="24"/>
          <w:highlight w:val="none"/>
          <w14:textFill>
            <w14:solidFill>
              <w14:schemeClr w14:val="tx1"/>
            </w14:solidFill>
          </w14:textFill>
        </w:rPr>
        <w:t>的投标总报价（</w:t>
      </w:r>
      <w:r>
        <w:rPr>
          <w:rFonts w:ascii="宋体" w:hAnsi="宋体" w:cs="宋体"/>
          <w:snapToGrid w:val="0"/>
          <w:color w:val="000000" w:themeColor="text1"/>
          <w:spacing w:val="-1"/>
          <w:kern w:val="0"/>
          <w:sz w:val="24"/>
          <w:highlight w:val="none"/>
          <w14:textFill>
            <w14:solidFill>
              <w14:schemeClr w14:val="tx1"/>
            </w14:solidFill>
          </w14:textFill>
        </w:rPr>
        <w:t>或根据招标文件规定修正核实后确定的另一金额，</w:t>
      </w:r>
      <w:r>
        <w:rPr>
          <w:rFonts w:ascii="宋体" w:hAnsi="宋体" w:cs="宋体"/>
          <w:snapToGrid w:val="0"/>
          <w:color w:val="000000" w:themeColor="text1"/>
          <w:spacing w:val="-2"/>
          <w:kern w:val="0"/>
          <w:sz w:val="24"/>
          <w:highlight w:val="none"/>
          <w14:textFill>
            <w14:solidFill>
              <w14:schemeClr w14:val="tx1"/>
            </w14:solidFill>
          </w14:textFill>
        </w:rPr>
        <w:t>其中，增值税税率为</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90"/>
          <w:kern w:val="0"/>
          <w:sz w:val="24"/>
          <w:highlight w:val="none"/>
          <w14:textFill>
            <w14:solidFill>
              <w14:schemeClr w14:val="tx1"/>
            </w14:solidFill>
          </w14:textFill>
        </w:rPr>
        <w:t xml:space="preserve"> </w:t>
      </w:r>
      <w:r>
        <w:rPr>
          <w:rFonts w:ascii="宋体" w:hAnsi="宋体" w:cs="宋体"/>
          <w:snapToGrid w:val="0"/>
          <w:color w:val="000000" w:themeColor="text1"/>
          <w:spacing w:val="-2"/>
          <w:kern w:val="0"/>
          <w:sz w:val="24"/>
          <w:highlight w:val="none"/>
          <w14:textFill>
            <w14:solidFill>
              <w14:schemeClr w14:val="tx1"/>
            </w14:solidFill>
          </w14:textFill>
        </w:rPr>
        <w:t>，增值税税额为</w:t>
      </w:r>
      <w:r>
        <w:rPr>
          <w:rFonts w:ascii="宋体" w:hAnsi="宋体" w:cs="宋体"/>
          <w:snapToGrid w:val="0"/>
          <w:color w:val="000000" w:themeColor="text1"/>
          <w:spacing w:val="-2"/>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85"/>
          <w:kern w:val="0"/>
          <w:sz w:val="24"/>
          <w:highlight w:val="none"/>
          <w14:textFill>
            <w14:solidFill>
              <w14:schemeClr w14:val="tx1"/>
            </w14:solidFill>
          </w14:textFill>
        </w:rPr>
        <w:t xml:space="preserve"> </w:t>
      </w:r>
      <w:r>
        <w:rPr>
          <w:rFonts w:ascii="宋体" w:hAnsi="宋体" w:cs="宋体"/>
          <w:snapToGrid w:val="0"/>
          <w:color w:val="000000" w:themeColor="text1"/>
          <w:spacing w:val="-17"/>
          <w:kern w:val="0"/>
          <w:sz w:val="24"/>
          <w:highlight w:val="none"/>
          <w14:textFill>
            <w14:solidFill>
              <w14:schemeClr w14:val="tx1"/>
            </w14:solidFill>
          </w14:textFill>
        </w:rPr>
        <w:t>），</w:t>
      </w:r>
      <w:r>
        <w:rPr>
          <w:rFonts w:ascii="宋体" w:hAnsi="宋体" w:cs="宋体"/>
          <w:snapToGrid w:val="0"/>
          <w:color w:val="000000" w:themeColor="text1"/>
          <w:spacing w:val="-2"/>
          <w:kern w:val="0"/>
          <w:sz w:val="24"/>
          <w:highlight w:val="none"/>
          <w14:textFill>
            <w14:solidFill>
              <w14:schemeClr w14:val="tx1"/>
            </w14:solidFill>
          </w14:textFill>
        </w:rPr>
        <w:t>按合同约定实施和完成承</w:t>
      </w:r>
      <w:r>
        <w:rPr>
          <w:rFonts w:ascii="宋体" w:hAnsi="宋体" w:cs="宋体"/>
          <w:snapToGrid w:val="0"/>
          <w:color w:val="000000" w:themeColor="text1"/>
          <w:spacing w:val="-1"/>
          <w:kern w:val="0"/>
          <w:sz w:val="24"/>
          <w:highlight w:val="none"/>
          <w14:textFill>
            <w14:solidFill>
              <w14:schemeClr w14:val="tx1"/>
            </w14:solidFill>
          </w14:textFill>
        </w:rPr>
        <w:t>包工程，修补工程中的任何缺陷。</w:t>
      </w:r>
    </w:p>
    <w:p w14:paraId="69C2E949">
      <w:pPr>
        <w:widowControl/>
        <w:kinsoku w:val="0"/>
        <w:autoSpaceDE w:val="0"/>
        <w:autoSpaceDN w:val="0"/>
        <w:adjustRightInd w:val="0"/>
        <w:snapToGrid w:val="0"/>
        <w:spacing w:before="182" w:line="290" w:lineRule="auto"/>
        <w:ind w:left="9" w:right="1" w:firstLine="482"/>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spacing w:val="2"/>
          <w:kern w:val="0"/>
          <w:sz w:val="24"/>
          <w:highlight w:val="none"/>
          <w14:textFill>
            <w14:solidFill>
              <w14:schemeClr w14:val="tx1"/>
            </w14:solidFill>
          </w14:textFill>
        </w:rPr>
        <w:t>2. 在合同协议书正式签署生效之前，本投标</w:t>
      </w:r>
      <w:r>
        <w:rPr>
          <w:rFonts w:ascii="宋体" w:hAnsi="宋体" w:cs="宋体"/>
          <w:snapToGrid w:val="0"/>
          <w:color w:val="000000" w:themeColor="text1"/>
          <w:spacing w:val="1"/>
          <w:kern w:val="0"/>
          <w:sz w:val="24"/>
          <w:highlight w:val="none"/>
          <w14:textFill>
            <w14:solidFill>
              <w14:schemeClr w14:val="tx1"/>
            </w14:solidFill>
          </w14:textFill>
        </w:rPr>
        <w:t>函连同你方的中标通知书将构成我们</w:t>
      </w:r>
      <w:r>
        <w:rPr>
          <w:rFonts w:ascii="宋体" w:hAnsi="宋体" w:cs="宋体"/>
          <w:snapToGrid w:val="0"/>
          <w:color w:val="000000" w:themeColor="text1"/>
          <w:spacing w:val="-1"/>
          <w:kern w:val="0"/>
          <w:sz w:val="24"/>
          <w:highlight w:val="none"/>
          <w14:textFill>
            <w14:solidFill>
              <w14:schemeClr w14:val="tx1"/>
            </w14:solidFill>
          </w14:textFill>
        </w:rPr>
        <w:t>双方之间共同遵守的文件，对双方具有约束力。</w:t>
      </w:r>
    </w:p>
    <w:p w14:paraId="2F6669AC">
      <w:pPr>
        <w:widowControl/>
        <w:kinsoku w:val="0"/>
        <w:autoSpaceDE w:val="0"/>
        <w:autoSpaceDN w:val="0"/>
        <w:adjustRightInd w:val="0"/>
        <w:snapToGrid w:val="0"/>
        <w:spacing w:before="183" w:line="219" w:lineRule="auto"/>
        <w:ind w:left="494"/>
        <w:jc w:val="left"/>
        <w:textAlignment w:val="baseline"/>
        <w:rPr>
          <w:rFonts w:hint="eastAsia" w:ascii="宋体" w:hAnsi="宋体" w:cs="宋体"/>
          <w:snapToGrid w:val="0"/>
          <w:color w:val="000000" w:themeColor="text1"/>
          <w:kern w:val="0"/>
          <w:sz w:val="24"/>
          <w:highlight w:val="none"/>
          <w14:textFill>
            <w14:solidFill>
              <w14:schemeClr w14:val="tx1"/>
            </w14:solidFill>
          </w14:textFill>
        </w:rPr>
      </w:pPr>
      <w:r>
        <w:rPr>
          <w:rFonts w:ascii="宋体" w:hAnsi="宋体" w:cs="宋体"/>
          <w:snapToGrid w:val="0"/>
          <w:color w:val="000000" w:themeColor="text1"/>
          <w:kern w:val="0"/>
          <w:sz w:val="24"/>
          <w:highlight w:val="none"/>
          <w14:textFill>
            <w14:solidFill>
              <w14:schemeClr w14:val="tx1"/>
            </w14:solidFill>
          </w14:textFill>
        </w:rPr>
        <w:t>3.</w:t>
      </w:r>
      <w:r>
        <w:rPr>
          <w:rFonts w:ascii="宋体" w:hAnsi="宋体" w:cs="宋体"/>
          <w:snapToGrid w:val="0"/>
          <w:color w:val="000000" w:themeColor="text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
          <w:kern w:val="0"/>
          <w:sz w:val="24"/>
          <w:highlight w:val="none"/>
          <w:u w:val="single"/>
          <w14:textFill>
            <w14:solidFill>
              <w14:schemeClr w14:val="tx1"/>
            </w14:solidFill>
          </w14:textFill>
        </w:rPr>
        <w:t xml:space="preserve">       </w:t>
      </w:r>
      <w:r>
        <w:rPr>
          <w:rFonts w:ascii="宋体" w:hAnsi="宋体" w:cs="宋体"/>
          <w:snapToGrid w:val="0"/>
          <w:color w:val="000000" w:themeColor="text1"/>
          <w:spacing w:val="-1"/>
          <w:kern w:val="0"/>
          <w:sz w:val="24"/>
          <w:highlight w:val="none"/>
          <w14:textFill>
            <w14:solidFill>
              <w14:schemeClr w14:val="tx1"/>
            </w14:solidFill>
          </w14:textFill>
        </w:rPr>
        <w:t>（其他补充说明）。</w:t>
      </w:r>
    </w:p>
    <w:p w14:paraId="2E85ADE0">
      <w:pPr>
        <w:kinsoku w:val="0"/>
        <w:autoSpaceDE w:val="0"/>
        <w:autoSpaceDN w:val="0"/>
        <w:adjustRightInd w:val="0"/>
        <w:snapToGrid w:val="0"/>
        <w:spacing w:line="277" w:lineRule="auto"/>
        <w:jc w:val="left"/>
        <w:textAlignment w:val="baseline"/>
        <w:rPr>
          <w:rFonts w:ascii="Arial" w:hAnsi="Arial" w:eastAsia="Arial" w:cs="Arial"/>
          <w:snapToGrid w:val="0"/>
          <w:color w:val="000000" w:themeColor="text1"/>
          <w:kern w:val="0"/>
          <w:szCs w:val="21"/>
          <w:highlight w:val="none"/>
          <w14:textFill>
            <w14:solidFill>
              <w14:schemeClr w14:val="tx1"/>
            </w14:solidFill>
          </w14:textFill>
        </w:rPr>
      </w:pPr>
    </w:p>
    <w:p w14:paraId="22B1BA99">
      <w:pPr>
        <w:spacing w:line="286" w:lineRule="auto"/>
        <w:rPr>
          <w:rFonts w:hint="eastAsia" w:ascii="宋体" w:hAnsi="宋体" w:cs="宋体"/>
          <w:color w:val="000000" w:themeColor="text1"/>
          <w:highlight w:val="none"/>
          <w14:textFill>
            <w14:solidFill>
              <w14:schemeClr w14:val="tx1"/>
            </w14:solidFill>
          </w14:textFill>
        </w:rPr>
      </w:pPr>
    </w:p>
    <w:p w14:paraId="7FD0DA3C">
      <w:pPr>
        <w:spacing w:line="286" w:lineRule="auto"/>
        <w:rPr>
          <w:rFonts w:hint="eastAsia" w:ascii="宋体" w:hAnsi="宋体" w:cs="宋体"/>
          <w:color w:val="000000" w:themeColor="text1"/>
          <w:highlight w:val="none"/>
          <w14:textFill>
            <w14:solidFill>
              <w14:schemeClr w14:val="tx1"/>
            </w14:solidFill>
          </w14:textFill>
        </w:rPr>
      </w:pPr>
    </w:p>
    <w:p w14:paraId="3492F304">
      <w:pPr>
        <w:spacing w:before="76" w:line="377" w:lineRule="auto"/>
        <w:ind w:left="3127" w:right="599" w:firstLine="4"/>
        <w:rPr>
          <w:rFonts w:hint="eastAsia" w:ascii="宋体" w:hAnsi="宋体" w:cs="宋体"/>
          <w:color w:val="000000" w:themeColor="text1"/>
          <w:spacing w:val="-2"/>
          <w:sz w:val="23"/>
          <w:szCs w:val="23"/>
          <w:highlight w:val="none"/>
          <w14:textFill>
            <w14:solidFill>
              <w14:schemeClr w14:val="tx1"/>
            </w14:solidFill>
          </w14:textFill>
        </w:rPr>
      </w:pPr>
    </w:p>
    <w:p w14:paraId="311A82D1">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投</w:t>
      </w:r>
      <w:r>
        <w:rPr>
          <w:rFonts w:hint="eastAsia" w:ascii="宋体" w:hAnsi="宋体" w:cs="宋体"/>
          <w:color w:val="000000" w:themeColor="text1"/>
          <w:spacing w:val="-1"/>
          <w:szCs w:val="21"/>
          <w:highlight w:val="none"/>
          <w14:textFill>
            <w14:solidFill>
              <w14:schemeClr w14:val="tx1"/>
            </w14:solidFill>
          </w14:textFill>
        </w:rPr>
        <w:t xml:space="preserve"> 标 人：</w:t>
      </w:r>
      <w:r>
        <w:rPr>
          <w:rFonts w:hint="eastAsia" w:ascii="宋体" w:hAnsi="宋体" w:cs="宋体"/>
          <w:color w:val="000000" w:themeColor="text1"/>
          <w:spacing w:val="-1"/>
          <w:szCs w:val="21"/>
          <w:highlight w:val="none"/>
          <w:u w:val="single"/>
          <w14:textFill>
            <w14:solidFill>
              <w14:schemeClr w14:val="tx1"/>
            </w14:solidFill>
          </w14:textFill>
        </w:rPr>
        <w:t xml:space="preserve">                            </w:t>
      </w:r>
      <w:r>
        <w:rPr>
          <w:rFonts w:hint="eastAsia" w:ascii="宋体" w:hAnsi="宋体" w:cs="宋体"/>
          <w:color w:val="000000" w:themeColor="text1"/>
          <w:spacing w:val="-1"/>
          <w:szCs w:val="21"/>
          <w:highlight w:val="none"/>
          <w14:textFill>
            <w14:solidFill>
              <w14:schemeClr w14:val="tx1"/>
            </w14:solidFill>
          </w14:textFill>
        </w:rPr>
        <w:t>(盖单位章)</w:t>
      </w:r>
    </w:p>
    <w:p w14:paraId="443F31C3">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法定代表人或其委托代理人：</w:t>
      </w:r>
      <w:r>
        <w:rPr>
          <w:rFonts w:hint="eastAsia" w:ascii="宋体" w:hAnsi="宋体" w:cs="宋体"/>
          <w:color w:val="000000" w:themeColor="text1"/>
          <w:spacing w:val="-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(签字或盖章)</w:t>
      </w:r>
    </w:p>
    <w:p w14:paraId="41DDC570">
      <w:pPr>
        <w:spacing w:before="76" w:line="377" w:lineRule="auto"/>
        <w:ind w:left="2940" w:leftChars="1400"/>
        <w:rPr>
          <w:rFonts w:hint="eastAsia" w:ascii="宋体" w:hAnsi="宋体" w:cs="宋体"/>
          <w:strike/>
          <w:color w:val="000000" w:themeColor="text1"/>
          <w:szCs w:val="21"/>
          <w:highlight w:val="none"/>
          <w:vertAlign w:val="subscript"/>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地址：</w:t>
      </w:r>
      <w:r>
        <w:rPr>
          <w:rFonts w:hint="eastAsia" w:ascii="宋体" w:hAnsi="宋体" w:cs="宋体"/>
          <w:strike/>
          <w:color w:val="000000" w:themeColor="text1"/>
          <w:szCs w:val="21"/>
          <w:highlight w:val="none"/>
          <w:vertAlign w:val="subscript"/>
          <w14:textFill>
            <w14:solidFill>
              <w14:schemeClr w14:val="tx1"/>
            </w14:solidFill>
          </w14:textFill>
        </w:rPr>
        <w:t xml:space="preserve">                                                                                   </w:t>
      </w:r>
    </w:p>
    <w:p w14:paraId="5D4E4E07">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网址：</w:t>
      </w:r>
      <w:r>
        <w:rPr>
          <w:rFonts w:hint="eastAsia" w:ascii="宋体" w:hAnsi="宋体" w:cs="宋体"/>
          <w:strike/>
          <w:color w:val="000000" w:themeColor="text1"/>
          <w:szCs w:val="21"/>
          <w:highlight w:val="none"/>
          <w:vertAlign w:val="subscript"/>
          <w14:textFill>
            <w14:solidFill>
              <w14:schemeClr w14:val="tx1"/>
            </w14:solidFill>
          </w14:textFill>
        </w:rPr>
        <w:t xml:space="preserve">                                                                                   </w:t>
      </w:r>
    </w:p>
    <w:p w14:paraId="3C0929B7">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电话：</w:t>
      </w:r>
      <w:r>
        <w:rPr>
          <w:rFonts w:hint="eastAsia" w:ascii="宋体" w:hAnsi="宋体" w:cs="宋体"/>
          <w:strike/>
          <w:color w:val="000000" w:themeColor="text1"/>
          <w:szCs w:val="21"/>
          <w:highlight w:val="none"/>
          <w:vertAlign w:val="subscript"/>
          <w14:textFill>
            <w14:solidFill>
              <w14:schemeClr w14:val="tx1"/>
            </w14:solidFill>
          </w14:textFill>
        </w:rPr>
        <w:t xml:space="preserve">                                                                                   </w:t>
      </w:r>
    </w:p>
    <w:p w14:paraId="5A945B72">
      <w:pPr>
        <w:spacing w:before="76" w:line="377" w:lineRule="auto"/>
        <w:ind w:left="2940" w:leftChars="14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传真：</w:t>
      </w:r>
      <w:r>
        <w:rPr>
          <w:rFonts w:hint="eastAsia" w:ascii="宋体" w:hAnsi="宋体" w:cs="宋体"/>
          <w:strike/>
          <w:color w:val="000000" w:themeColor="text1"/>
          <w:szCs w:val="21"/>
          <w:highlight w:val="none"/>
          <w:vertAlign w:val="subscript"/>
          <w14:textFill>
            <w14:solidFill>
              <w14:schemeClr w14:val="tx1"/>
            </w14:solidFill>
          </w14:textFill>
        </w:rPr>
        <w:t xml:space="preserve">                                                                                   </w:t>
      </w:r>
    </w:p>
    <w:p w14:paraId="5522F762">
      <w:pPr>
        <w:spacing w:before="76" w:line="377" w:lineRule="auto"/>
        <w:ind w:left="2940" w:leftChars="1400"/>
        <w:rPr>
          <w:rFonts w:hint="eastAsia" w:ascii="宋体" w:hAnsi="宋体" w:cs="宋体"/>
          <w:color w:val="000000" w:themeColor="text1"/>
          <w:sz w:val="23"/>
          <w:szCs w:val="23"/>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邮</w:t>
      </w:r>
      <w:r>
        <w:rPr>
          <w:rFonts w:hint="eastAsia" w:ascii="宋体" w:hAnsi="宋体" w:cs="宋体"/>
          <w:color w:val="000000" w:themeColor="text1"/>
          <w:spacing w:val="6"/>
          <w:szCs w:val="21"/>
          <w:highlight w:val="none"/>
          <w14:textFill>
            <w14:solidFill>
              <w14:schemeClr w14:val="tx1"/>
            </w14:solidFill>
          </w14:textFill>
        </w:rPr>
        <w:t>政编码：</w:t>
      </w:r>
      <w:r>
        <w:rPr>
          <w:rFonts w:hint="eastAsia" w:ascii="宋体" w:hAnsi="宋体" w:cs="宋体"/>
          <w:strike/>
          <w:color w:val="000000" w:themeColor="text1"/>
          <w:szCs w:val="21"/>
          <w:highlight w:val="none"/>
          <w:vertAlign w:val="subscript"/>
          <w14:textFill>
            <w14:solidFill>
              <w14:schemeClr w14:val="tx1"/>
            </w14:solidFill>
          </w14:textFill>
        </w:rPr>
        <w:t xml:space="preserve">                                                          </w:t>
      </w:r>
      <w:r>
        <w:rPr>
          <w:rFonts w:hint="eastAsia" w:ascii="宋体" w:hAnsi="宋体" w:cs="宋体"/>
          <w:strike/>
          <w:color w:val="000000" w:themeColor="text1"/>
          <w:sz w:val="24"/>
          <w:highlight w:val="none"/>
          <w:vertAlign w:val="subscript"/>
          <w14:textFill>
            <w14:solidFill>
              <w14:schemeClr w14:val="tx1"/>
            </w14:solidFill>
          </w14:textFill>
        </w:rPr>
        <w:t xml:space="preserve">              </w:t>
      </w:r>
    </w:p>
    <w:p w14:paraId="6443FE52">
      <w:pPr>
        <w:spacing w:line="369" w:lineRule="auto"/>
        <w:rPr>
          <w:rFonts w:hint="eastAsia" w:ascii="宋体" w:hAnsi="宋体" w:cs="宋体"/>
          <w:color w:val="000000" w:themeColor="text1"/>
          <w:highlight w:val="none"/>
          <w14:textFill>
            <w14:solidFill>
              <w14:schemeClr w14:val="tx1"/>
            </w14:solidFill>
          </w14:textFill>
        </w:rPr>
      </w:pPr>
    </w:p>
    <w:p w14:paraId="7BEC142E">
      <w:pPr>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3"/>
          <w:szCs w:val="23"/>
          <w:highlight w:val="none"/>
          <w:u w:val="single"/>
          <w14:textFill>
            <w14:solidFill>
              <w14:schemeClr w14:val="tx1"/>
            </w14:solidFill>
          </w14:textFill>
        </w:rPr>
        <w:t xml:space="preserve">      </w:t>
      </w:r>
      <w:r>
        <w:rPr>
          <w:rFonts w:hint="eastAsia" w:ascii="宋体" w:hAnsi="宋体" w:cs="宋体"/>
          <w:color w:val="000000" w:themeColor="text1"/>
          <w:sz w:val="23"/>
          <w:szCs w:val="23"/>
          <w:highlight w:val="none"/>
          <w:u w:val="single"/>
          <w14:textFill>
            <w14:solidFill>
              <w14:schemeClr w14:val="tx1"/>
            </w14:solidFill>
          </w14:textFill>
        </w:rPr>
        <w:tab/>
      </w:r>
      <w:r>
        <w:rPr>
          <w:rFonts w:hint="eastAsia" w:ascii="宋体" w:hAnsi="宋体" w:cs="宋体"/>
          <w:color w:val="000000" w:themeColor="text1"/>
          <w:spacing w:val="14"/>
          <w:sz w:val="23"/>
          <w:szCs w:val="23"/>
          <w:highlight w:val="none"/>
          <w14:textFill>
            <w14:solidFill>
              <w14:schemeClr w14:val="tx1"/>
            </w14:solidFill>
          </w14:textFill>
        </w:rPr>
        <w:t>年</w:t>
      </w:r>
      <w:r>
        <w:rPr>
          <w:rFonts w:hint="eastAsia" w:ascii="宋体" w:hAnsi="宋体" w:cs="宋体"/>
          <w:color w:val="000000" w:themeColor="text1"/>
          <w:spacing w:val="7"/>
          <w:sz w:val="23"/>
          <w:szCs w:val="23"/>
          <w:highlight w:val="none"/>
          <w:u w:val="single"/>
          <w14:textFill>
            <w14:solidFill>
              <w14:schemeClr w14:val="tx1"/>
            </w14:solidFill>
          </w14:textFill>
        </w:rPr>
        <w:t xml:space="preserve">        </w:t>
      </w:r>
      <w:r>
        <w:rPr>
          <w:rFonts w:hint="eastAsia" w:ascii="宋体" w:hAnsi="宋体" w:cs="宋体"/>
          <w:color w:val="000000" w:themeColor="text1"/>
          <w:spacing w:val="7"/>
          <w:sz w:val="23"/>
          <w:szCs w:val="23"/>
          <w:highlight w:val="none"/>
          <w14:textFill>
            <w14:solidFill>
              <w14:schemeClr w14:val="tx1"/>
            </w14:solidFill>
          </w14:textFill>
        </w:rPr>
        <w:t>月</w:t>
      </w:r>
      <w:r>
        <w:rPr>
          <w:rFonts w:hint="eastAsia" w:ascii="宋体" w:hAnsi="宋体" w:cs="宋体"/>
          <w:color w:val="000000" w:themeColor="text1"/>
          <w:spacing w:val="7"/>
          <w:sz w:val="23"/>
          <w:szCs w:val="23"/>
          <w:highlight w:val="none"/>
          <w:u w:val="single"/>
          <w14:textFill>
            <w14:solidFill>
              <w14:schemeClr w14:val="tx1"/>
            </w14:solidFill>
          </w14:textFill>
        </w:rPr>
        <w:t xml:space="preserve">      </w:t>
      </w:r>
      <w:r>
        <w:rPr>
          <w:rFonts w:hint="eastAsia" w:ascii="宋体" w:hAnsi="宋体" w:cs="宋体"/>
          <w:color w:val="000000" w:themeColor="text1"/>
          <w:spacing w:val="7"/>
          <w:sz w:val="23"/>
          <w:szCs w:val="23"/>
          <w:highlight w:val="none"/>
          <w14:textFill>
            <w14:solidFill>
              <w14:schemeClr w14:val="tx1"/>
            </w14:solidFill>
          </w14:textFill>
        </w:rPr>
        <w:t>日</w:t>
      </w:r>
    </w:p>
    <w:p w14:paraId="3B259EE3">
      <w:pPr>
        <w:spacing w:line="360" w:lineRule="auto"/>
        <w:rPr>
          <w:rFonts w:ascii="Arial"/>
          <w:color w:val="000000" w:themeColor="text1"/>
          <w:highlight w:val="none"/>
          <w14:textFill>
            <w14:solidFill>
              <w14:schemeClr w14:val="tx1"/>
            </w14:solidFill>
          </w14:textFill>
        </w:rPr>
      </w:pPr>
    </w:p>
    <w:p w14:paraId="7ED350CD">
      <w:pPr>
        <w:spacing w:line="360" w:lineRule="auto"/>
        <w:rPr>
          <w:rFonts w:ascii="Arial"/>
          <w:color w:val="000000" w:themeColor="text1"/>
          <w:highlight w:val="none"/>
          <w14:textFill>
            <w14:solidFill>
              <w14:schemeClr w14:val="tx1"/>
            </w14:solidFill>
          </w14:textFill>
        </w:rPr>
      </w:pPr>
    </w:p>
    <w:p w14:paraId="673592AC">
      <w:pPr>
        <w:spacing w:line="360" w:lineRule="auto"/>
        <w:rPr>
          <w:rFonts w:ascii="Arial"/>
          <w:color w:val="000000" w:themeColor="text1"/>
          <w:highlight w:val="none"/>
          <w14:textFill>
            <w14:solidFill>
              <w14:schemeClr w14:val="tx1"/>
            </w14:solidFill>
          </w14:textFill>
        </w:rPr>
      </w:pPr>
    </w:p>
    <w:p w14:paraId="5AEAA0D8">
      <w:pPr>
        <w:spacing w:line="360" w:lineRule="auto"/>
        <w:rPr>
          <w:rFonts w:ascii="Arial"/>
          <w:color w:val="000000" w:themeColor="text1"/>
          <w:highlight w:val="none"/>
          <w14:textFill>
            <w14:solidFill>
              <w14:schemeClr w14:val="tx1"/>
            </w14:solidFill>
          </w14:textFill>
        </w:rPr>
      </w:pPr>
    </w:p>
    <w:p w14:paraId="6E98C189">
      <w:pPr>
        <w:spacing w:line="360" w:lineRule="auto"/>
        <w:rPr>
          <w:rFonts w:ascii="Arial"/>
          <w:color w:val="000000" w:themeColor="text1"/>
          <w:highlight w:val="none"/>
          <w14:textFill>
            <w14:solidFill>
              <w14:schemeClr w14:val="tx1"/>
            </w14:solidFill>
          </w14:textFill>
        </w:rPr>
      </w:pPr>
    </w:p>
    <w:p w14:paraId="61D5B817">
      <w:pPr>
        <w:spacing w:line="360" w:lineRule="auto"/>
        <w:rPr>
          <w:rFonts w:ascii="Arial"/>
          <w:color w:val="000000" w:themeColor="text1"/>
          <w:highlight w:val="none"/>
          <w14:textFill>
            <w14:solidFill>
              <w14:schemeClr w14:val="tx1"/>
            </w14:solidFill>
          </w14:textFill>
        </w:rPr>
      </w:pPr>
    </w:p>
    <w:p w14:paraId="69D288B7">
      <w:pPr>
        <w:spacing w:line="360" w:lineRule="auto"/>
        <w:rPr>
          <w:rFonts w:ascii="Arial"/>
          <w:color w:val="000000" w:themeColor="text1"/>
          <w:highlight w:val="none"/>
          <w14:textFill>
            <w14:solidFill>
              <w14:schemeClr w14:val="tx1"/>
            </w14:solidFill>
          </w14:textFill>
        </w:rPr>
      </w:pPr>
    </w:p>
    <w:p w14:paraId="6199191E">
      <w:pPr>
        <w:spacing w:line="360" w:lineRule="auto"/>
        <w:rPr>
          <w:rFonts w:ascii="Arial"/>
          <w:color w:val="000000" w:themeColor="text1"/>
          <w:highlight w:val="none"/>
          <w14:textFill>
            <w14:solidFill>
              <w14:schemeClr w14:val="tx1"/>
            </w14:solidFill>
          </w14:textFill>
        </w:rPr>
      </w:pPr>
    </w:p>
    <w:p w14:paraId="426A1A09">
      <w:pPr>
        <w:spacing w:line="360" w:lineRule="auto"/>
        <w:rPr>
          <w:rFonts w:ascii="Arial"/>
          <w:color w:val="000000" w:themeColor="text1"/>
          <w:highlight w:val="none"/>
          <w14:textFill>
            <w14:solidFill>
              <w14:schemeClr w14:val="tx1"/>
            </w14:solidFill>
          </w14:textFill>
        </w:rPr>
      </w:pPr>
    </w:p>
    <w:p w14:paraId="2E7E8602">
      <w:pPr>
        <w:spacing w:line="360" w:lineRule="auto"/>
        <w:rPr>
          <w:rFonts w:ascii="Arial"/>
          <w:color w:val="000000" w:themeColor="text1"/>
          <w:highlight w:val="none"/>
          <w14:textFill>
            <w14:solidFill>
              <w14:schemeClr w14:val="tx1"/>
            </w14:solidFill>
          </w14:textFill>
        </w:rPr>
      </w:pPr>
    </w:p>
    <w:p w14:paraId="7B2B5DAA">
      <w:pPr>
        <w:pStyle w:val="5"/>
        <w:jc w:val="center"/>
        <w:rPr>
          <w:color w:val="000000" w:themeColor="text1"/>
          <w:sz w:val="28"/>
          <w:szCs w:val="36"/>
          <w:highlight w:val="none"/>
          <w14:textFill>
            <w14:solidFill>
              <w14:schemeClr w14:val="tx1"/>
            </w14:solidFill>
          </w14:textFill>
        </w:rPr>
      </w:pPr>
      <w:bookmarkStart w:id="452" w:name="_Toc29382"/>
      <w:r>
        <w:rPr>
          <w:color w:val="000000" w:themeColor="text1"/>
          <w:sz w:val="28"/>
          <w:szCs w:val="36"/>
          <w:highlight w:val="none"/>
          <w14:textFill>
            <w14:solidFill>
              <w14:schemeClr w14:val="tx1"/>
            </w14:solidFill>
          </w14:textFill>
        </w:rPr>
        <w:t>二、已标价工程量清单</w:t>
      </w:r>
      <w:bookmarkEnd w:id="452"/>
    </w:p>
    <w:p w14:paraId="144F853B">
      <w:pPr>
        <w:spacing w:line="360" w:lineRule="auto"/>
        <w:ind w:left="506"/>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 工程量清单说明</w:t>
      </w:r>
    </w:p>
    <w:p w14:paraId="0159A643">
      <w:pPr>
        <w:spacing w:line="360" w:lineRule="auto"/>
        <w:ind w:left="10" w:right="200" w:firstLine="49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1.1</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本工程量清单是根据招标文件中包括的有合同约束力的工程量清单计量规则、</w:t>
      </w:r>
      <w:r>
        <w:rPr>
          <w:rFonts w:ascii="宋体" w:hAnsi="宋体" w:cs="宋体"/>
          <w:color w:val="000000" w:themeColor="text1"/>
          <w:spacing w:val="-2"/>
          <w:sz w:val="24"/>
          <w:highlight w:val="none"/>
          <w14:textFill>
            <w14:solidFill>
              <w14:schemeClr w14:val="tx1"/>
            </w14:solidFill>
          </w14:textFill>
        </w:rPr>
        <w:t>图纸以及有关工程量清单的国家标准、行业标准、合同条款中约定的其他规则编制。约定计量规则中没有的子目，其工程量按照有合同约束力的图纸所标示尺寸的理论净量计</w:t>
      </w:r>
      <w:r>
        <w:rPr>
          <w:rFonts w:ascii="宋体" w:hAnsi="宋体" w:cs="宋体"/>
          <w:color w:val="000000" w:themeColor="text1"/>
          <w:spacing w:val="-1"/>
          <w:sz w:val="24"/>
          <w:highlight w:val="none"/>
          <w14:textFill>
            <w14:solidFill>
              <w14:schemeClr w14:val="tx1"/>
            </w14:solidFill>
          </w14:textFill>
        </w:rPr>
        <w:t>算。计量采用中华人民共和国法定计量单位。</w:t>
      </w:r>
    </w:p>
    <w:p w14:paraId="4AB3FFDC">
      <w:pPr>
        <w:spacing w:line="360" w:lineRule="auto"/>
        <w:ind w:left="11" w:right="24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1.2</w:t>
      </w:r>
      <w:r>
        <w:rPr>
          <w:rFonts w:ascii="宋体" w:hAnsi="宋体" w:cs="宋体"/>
          <w:color w:val="000000" w:themeColor="text1"/>
          <w:spacing w:val="-42"/>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本工程量清单应与招标文件中的投标人须知、通用合同条款、专用合同条款、</w:t>
      </w:r>
      <w:r>
        <w:rPr>
          <w:rFonts w:ascii="宋体" w:hAnsi="宋体" w:cs="宋体"/>
          <w:color w:val="000000" w:themeColor="text1"/>
          <w:spacing w:val="-1"/>
          <w:sz w:val="24"/>
          <w:highlight w:val="none"/>
          <w14:textFill>
            <w14:solidFill>
              <w14:schemeClr w14:val="tx1"/>
            </w14:solidFill>
          </w14:textFill>
        </w:rPr>
        <w:t>工程量清单计量规则、技术规范及图纸等一起阅读和理解。</w:t>
      </w:r>
    </w:p>
    <w:p w14:paraId="38C33C9E">
      <w:pPr>
        <w:spacing w:line="360" w:lineRule="auto"/>
        <w:ind w:left="7" w:right="197" w:firstLine="498"/>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1.3</w:t>
      </w:r>
      <w:r>
        <w:rPr>
          <w:rFonts w:ascii="宋体" w:hAnsi="宋体" w:cs="宋体"/>
          <w:color w:val="000000" w:themeColor="text1"/>
          <w:spacing w:val="-40"/>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本工程量清单中所列工程数量是估算的或设计的预计数量，仅作为投标报价的</w:t>
      </w:r>
      <w:r>
        <w:rPr>
          <w:rFonts w:ascii="宋体" w:hAnsi="宋体" w:cs="宋体"/>
          <w:color w:val="000000" w:themeColor="text1"/>
          <w:spacing w:val="1"/>
          <w:sz w:val="24"/>
          <w:highlight w:val="none"/>
          <w14:textFill>
            <w14:solidFill>
              <w14:schemeClr w14:val="tx1"/>
            </w14:solidFill>
          </w14:textFill>
        </w:rPr>
        <w:t>共同基础，不能作为最终结算与支付的依据。实</w:t>
      </w:r>
      <w:r>
        <w:rPr>
          <w:rFonts w:ascii="宋体" w:hAnsi="宋体" w:cs="宋体"/>
          <w:color w:val="000000" w:themeColor="text1"/>
          <w:sz w:val="24"/>
          <w:highlight w:val="none"/>
          <w14:textFill>
            <w14:solidFill>
              <w14:schemeClr w14:val="tx1"/>
            </w14:solidFill>
          </w14:textFill>
        </w:rPr>
        <w:t>际支付应按实际完成的工程量，由承</w:t>
      </w:r>
      <w:r>
        <w:rPr>
          <w:rFonts w:ascii="宋体" w:hAnsi="宋体" w:cs="宋体"/>
          <w:color w:val="000000" w:themeColor="text1"/>
          <w:spacing w:val="-2"/>
          <w:sz w:val="24"/>
          <w:highlight w:val="none"/>
          <w14:textFill>
            <w14:solidFill>
              <w14:schemeClr w14:val="tx1"/>
            </w14:solidFill>
          </w14:textFill>
        </w:rPr>
        <w:t>包人按工程量清单计量规则规定的计量方法，以监理人认可的尺寸、断面计量，按本工</w:t>
      </w:r>
      <w:r>
        <w:rPr>
          <w:rFonts w:ascii="宋体" w:hAnsi="宋体" w:cs="宋体"/>
          <w:color w:val="000000" w:themeColor="text1"/>
          <w:spacing w:val="-1"/>
          <w:sz w:val="24"/>
          <w:highlight w:val="none"/>
          <w14:textFill>
            <w14:solidFill>
              <w14:schemeClr w14:val="tx1"/>
            </w14:solidFill>
          </w14:textFill>
        </w:rPr>
        <w:t>程量清单的单价和总额价计算支付金额；或根据具体情况，按合同条款第</w:t>
      </w:r>
      <w:r>
        <w:rPr>
          <w:rFonts w:ascii="宋体" w:hAnsi="宋体" w:cs="宋体"/>
          <w:color w:val="000000" w:themeColor="text1"/>
          <w:spacing w:val="-18"/>
          <w:sz w:val="24"/>
          <w:highlight w:val="none"/>
          <w14:textFill>
            <w14:solidFill>
              <w14:schemeClr w14:val="tx1"/>
            </w14:solidFill>
          </w14:textFill>
        </w:rPr>
        <w:t xml:space="preserve"> </w:t>
      </w:r>
      <w:r>
        <w:rPr>
          <w:rFonts w:ascii="宋体" w:hAnsi="宋体" w:cs="宋体"/>
          <w:color w:val="000000" w:themeColor="text1"/>
          <w:spacing w:val="-1"/>
          <w:sz w:val="24"/>
          <w:highlight w:val="none"/>
          <w14:textFill>
            <w14:solidFill>
              <w14:schemeClr w14:val="tx1"/>
            </w14:solidFill>
          </w14:textFill>
        </w:rPr>
        <w:t>15.4 款的规定，按监理人确定的单价或总额价计算支付额。</w:t>
      </w:r>
    </w:p>
    <w:p w14:paraId="5FDECE16">
      <w:pPr>
        <w:spacing w:line="360" w:lineRule="auto"/>
        <w:ind w:left="8" w:right="191" w:firstLine="49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3"/>
          <w:sz w:val="24"/>
          <w:highlight w:val="none"/>
          <w14:textFill>
            <w14:solidFill>
              <w14:schemeClr w14:val="tx1"/>
            </w14:solidFill>
          </w14:textFill>
        </w:rPr>
        <w:t>1.4</w:t>
      </w:r>
      <w:r>
        <w:rPr>
          <w:rFonts w:ascii="宋体" w:hAnsi="宋体" w:cs="宋体"/>
          <w:color w:val="000000" w:themeColor="text1"/>
          <w:spacing w:val="-32"/>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工程量清单各章是按第八章“工程量清单计量规则</w:t>
      </w:r>
      <w:r>
        <w:rPr>
          <w:rFonts w:ascii="宋体" w:hAnsi="宋体" w:cs="宋体"/>
          <w:color w:val="000000" w:themeColor="text1"/>
          <w:spacing w:val="-86"/>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”、第七章“技术规范</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”的</w:t>
      </w:r>
      <w:r>
        <w:rPr>
          <w:rFonts w:ascii="宋体" w:hAnsi="宋体" w:cs="宋体"/>
          <w:color w:val="000000" w:themeColor="text1"/>
          <w:spacing w:val="-2"/>
          <w:sz w:val="24"/>
          <w:highlight w:val="none"/>
          <w14:textFill>
            <w14:solidFill>
              <w14:schemeClr w14:val="tx1"/>
            </w14:solidFill>
          </w14:textFill>
        </w:rPr>
        <w:t>相应章次编号的，因此，工程量清单中各章的工程子目的范围与计量等应与“工程量清</w:t>
      </w:r>
      <w:r>
        <w:rPr>
          <w:rFonts w:ascii="宋体" w:hAnsi="宋体" w:cs="宋体"/>
          <w:color w:val="000000" w:themeColor="text1"/>
          <w:spacing w:val="-3"/>
          <w:sz w:val="24"/>
          <w:highlight w:val="none"/>
          <w14:textFill>
            <w14:solidFill>
              <w14:schemeClr w14:val="tx1"/>
            </w14:solidFill>
          </w14:textFill>
        </w:rPr>
        <w:t>单计量规则</w:t>
      </w:r>
      <w:r>
        <w:rPr>
          <w:rFonts w:ascii="宋体" w:hAnsi="宋体" w:cs="宋体"/>
          <w:color w:val="000000" w:themeColor="text1"/>
          <w:spacing w:val="-89"/>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”、“技术规范</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3"/>
          <w:sz w:val="24"/>
          <w:highlight w:val="none"/>
          <w14:textFill>
            <w14:solidFill>
              <w14:schemeClr w14:val="tx1"/>
            </w14:solidFill>
          </w14:textFill>
        </w:rPr>
        <w:t>”相应章节的范围、计量与支付条款结合起来理解或解释。</w:t>
      </w:r>
    </w:p>
    <w:p w14:paraId="10790208">
      <w:pPr>
        <w:spacing w:line="360" w:lineRule="auto"/>
        <w:ind w:left="11" w:right="200" w:firstLine="494"/>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1.5 对作业和材料的一般说明或规定，未重复写入工程量清单内，在给工程量清单各子目标价前，应参阅第七章“技术规范</w:t>
      </w:r>
      <w:r>
        <w:rPr>
          <w:rFonts w:ascii="宋体" w:hAnsi="宋体" w:cs="宋体"/>
          <w:color w:val="000000" w:themeColor="text1"/>
          <w:spacing w:val="-84"/>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”的有关内容。</w:t>
      </w:r>
    </w:p>
    <w:p w14:paraId="4D8F1CC3">
      <w:pPr>
        <w:spacing w:line="360" w:lineRule="auto"/>
        <w:ind w:left="12" w:right="200" w:firstLine="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1.6  工程量清单中所列工程量的变动，丝毫不会降低或影响合同条款的效力，也</w:t>
      </w:r>
      <w:r>
        <w:rPr>
          <w:rFonts w:ascii="宋体" w:hAnsi="宋体" w:cs="宋体"/>
          <w:color w:val="000000" w:themeColor="text1"/>
          <w:spacing w:val="-1"/>
          <w:sz w:val="24"/>
          <w:highlight w:val="none"/>
          <w14:textFill>
            <w14:solidFill>
              <w14:schemeClr w14:val="tx1"/>
            </w14:solidFill>
          </w14:textFill>
        </w:rPr>
        <w:t>不免除承包人按规定的标准进行施工和修复缺陷的责任。</w:t>
      </w:r>
    </w:p>
    <w:p w14:paraId="316F4B71">
      <w:pPr>
        <w:spacing w:line="360" w:lineRule="auto"/>
        <w:ind w:left="23"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1.7</w:t>
      </w:r>
      <w:r>
        <w:rPr>
          <w:rFonts w:ascii="宋体" w:hAnsi="宋体" w:cs="宋体"/>
          <w:color w:val="000000" w:themeColor="text1"/>
          <w:spacing w:val="-27"/>
          <w:sz w:val="24"/>
          <w:highlight w:val="none"/>
          <w14:textFill>
            <w14:solidFill>
              <w14:schemeClr w14:val="tx1"/>
            </w14:solidFill>
          </w14:textFill>
        </w:rPr>
        <w:t xml:space="preserve"> </w:t>
      </w:r>
      <w:r>
        <w:rPr>
          <w:rFonts w:ascii="宋体" w:hAnsi="宋体" w:cs="宋体"/>
          <w:color w:val="000000" w:themeColor="text1"/>
          <w:spacing w:val="-5"/>
          <w:sz w:val="24"/>
          <w:highlight w:val="none"/>
          <w14:textFill>
            <w14:solidFill>
              <w14:schemeClr w14:val="tx1"/>
            </w14:solidFill>
          </w14:textFill>
        </w:rPr>
        <w:t>图纸中所列的工程数量表及数量汇总表仅是提供资</w:t>
      </w:r>
      <w:r>
        <w:rPr>
          <w:rFonts w:ascii="宋体" w:hAnsi="宋体" w:cs="宋体"/>
          <w:color w:val="000000" w:themeColor="text1"/>
          <w:spacing w:val="-6"/>
          <w:sz w:val="24"/>
          <w:highlight w:val="none"/>
          <w14:textFill>
            <w14:solidFill>
              <w14:schemeClr w14:val="tx1"/>
            </w14:solidFill>
          </w14:textFill>
        </w:rPr>
        <w:t>料，不是工程量清单的外延。</w:t>
      </w:r>
      <w:r>
        <w:rPr>
          <w:rFonts w:ascii="宋体" w:hAnsi="宋体" w:cs="宋体"/>
          <w:color w:val="000000" w:themeColor="text1"/>
          <w:spacing w:val="-1"/>
          <w:sz w:val="24"/>
          <w:highlight w:val="none"/>
          <w14:textFill>
            <w14:solidFill>
              <w14:schemeClr w14:val="tx1"/>
            </w14:solidFill>
          </w14:textFill>
        </w:rPr>
        <w:t>当图纸与工程量清单所列数量不一致时，以工程量清单所列数量作为报价的依据。</w:t>
      </w:r>
    </w:p>
    <w:p w14:paraId="4D6A06C2">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 投标报价说明</w:t>
      </w:r>
    </w:p>
    <w:p w14:paraId="138EE0A6">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2.1 工程量清单中的每一子目须填入单价</w:t>
      </w:r>
      <w:r>
        <w:rPr>
          <w:rFonts w:ascii="宋体" w:hAnsi="宋体" w:cs="宋体"/>
          <w:color w:val="000000" w:themeColor="text1"/>
          <w:spacing w:val="-1"/>
          <w:sz w:val="24"/>
          <w:highlight w:val="none"/>
          <w14:textFill>
            <w14:solidFill>
              <w14:schemeClr w14:val="tx1"/>
            </w14:solidFill>
          </w14:textFill>
        </w:rPr>
        <w:t>或价格，且只允许有一个报价。</w:t>
      </w:r>
    </w:p>
    <w:p w14:paraId="2F568133">
      <w:pPr>
        <w:spacing w:line="360" w:lineRule="auto"/>
        <w:ind w:left="10" w:right="200" w:firstLine="48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2.2 除非合同另有规定，工程量清单中有标价的单价和总额价均已包括了为实施和</w:t>
      </w:r>
      <w:r>
        <w:rPr>
          <w:rFonts w:ascii="宋体" w:hAnsi="宋体" w:cs="宋体"/>
          <w:color w:val="000000" w:themeColor="text1"/>
          <w:spacing w:val="-7"/>
          <w:sz w:val="24"/>
          <w:highlight w:val="none"/>
          <w14:textFill>
            <w14:solidFill>
              <w14:schemeClr w14:val="tx1"/>
            </w14:solidFill>
          </w14:textFill>
        </w:rPr>
        <w:t>完成合同工程所需的劳务、材料、机械、质</w:t>
      </w:r>
      <w:r>
        <w:rPr>
          <w:rFonts w:ascii="宋体" w:hAnsi="宋体" w:cs="宋体"/>
          <w:color w:val="000000" w:themeColor="text1"/>
          <w:spacing w:val="-8"/>
          <w:sz w:val="24"/>
          <w:highlight w:val="none"/>
          <w14:textFill>
            <w14:solidFill>
              <w14:schemeClr w14:val="tx1"/>
            </w14:solidFill>
          </w14:textFill>
        </w:rPr>
        <w:t>检(自检)、安装、缺陷修复、管理、保险（建</w:t>
      </w:r>
      <w:r>
        <w:rPr>
          <w:rFonts w:ascii="宋体" w:hAnsi="宋体" w:cs="宋体"/>
          <w:color w:val="000000" w:themeColor="text1"/>
          <w:spacing w:val="-2"/>
          <w:sz w:val="24"/>
          <w:highlight w:val="none"/>
          <w14:textFill>
            <w14:solidFill>
              <w14:schemeClr w14:val="tx1"/>
            </w14:solidFill>
          </w14:textFill>
        </w:rPr>
        <w:t>筑工程一切险及第三者责任险除外）、税费、利润等费用，以及合同明示或暗示的所有</w:t>
      </w:r>
      <w:bookmarkStart w:id="453" w:name="bookmark365"/>
      <w:bookmarkEnd w:id="453"/>
      <w:r>
        <w:rPr>
          <w:rFonts w:ascii="宋体" w:hAnsi="宋体" w:cs="宋体"/>
          <w:color w:val="000000" w:themeColor="text1"/>
          <w:spacing w:val="-2"/>
          <w:sz w:val="24"/>
          <w:highlight w:val="none"/>
          <w14:textFill>
            <w14:solidFill>
              <w14:schemeClr w14:val="tx1"/>
            </w14:solidFill>
          </w14:textFill>
        </w:rPr>
        <w:t>责任、义务和一般风险。</w:t>
      </w:r>
    </w:p>
    <w:p w14:paraId="5CE33AD5">
      <w:pPr>
        <w:spacing w:line="360" w:lineRule="auto"/>
        <w:rPr>
          <w:rFonts w:hint="eastAsia" w:ascii="宋体" w:hAnsi="宋体" w:cs="宋体"/>
          <w:color w:val="000000" w:themeColor="text1"/>
          <w:sz w:val="18"/>
          <w:szCs w:val="18"/>
          <w:highlight w:val="none"/>
          <w14:textFill>
            <w14:solidFill>
              <w14:schemeClr w14:val="tx1"/>
            </w14:solidFill>
          </w14:textFill>
        </w:rPr>
        <w:sectPr>
          <w:headerReference r:id="rId127" w:type="default"/>
          <w:footerReference r:id="rId128" w:type="default"/>
          <w:pgSz w:w="11906" w:h="16839"/>
          <w:pgMar w:top="1182" w:right="1217" w:bottom="1168" w:left="1417" w:header="849" w:footer="934" w:gutter="0"/>
          <w:cols w:space="720" w:num="1"/>
        </w:sectPr>
      </w:pPr>
    </w:p>
    <w:p w14:paraId="1A2B811B">
      <w:pPr>
        <w:pStyle w:val="3"/>
        <w:spacing w:line="360" w:lineRule="auto"/>
        <w:rPr>
          <w:color w:val="000000" w:themeColor="text1"/>
          <w:highlight w:val="none"/>
          <w14:textFill>
            <w14:solidFill>
              <w14:schemeClr w14:val="tx1"/>
            </w14:solidFill>
          </w14:textFill>
        </w:rPr>
      </w:pPr>
    </w:p>
    <w:p w14:paraId="7CFEA7DF">
      <w:pPr>
        <w:spacing w:line="360" w:lineRule="auto"/>
        <w:ind w:left="8" w:right="80" w:firstLine="48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2.3 工程量清单中投标人没有填入单价或价格的子目，其费用视为已分摊在工程量清单中其他相关子目的单价或价格之中。承包人必须按监理人指令完成工程量清单中未</w:t>
      </w:r>
      <w:r>
        <w:rPr>
          <w:rFonts w:ascii="宋体" w:hAnsi="宋体" w:cs="宋体"/>
          <w:color w:val="000000" w:themeColor="text1"/>
          <w:spacing w:val="-1"/>
          <w:sz w:val="24"/>
          <w:highlight w:val="none"/>
          <w14:textFill>
            <w14:solidFill>
              <w14:schemeClr w14:val="tx1"/>
            </w14:solidFill>
          </w14:textFill>
        </w:rPr>
        <w:t>填入单价或价格的子目，但不能得到结算与支付。</w:t>
      </w:r>
    </w:p>
    <w:p w14:paraId="3FC0723E">
      <w:pPr>
        <w:spacing w:line="360" w:lineRule="auto"/>
        <w:ind w:left="9"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5"/>
          <w:sz w:val="24"/>
          <w:highlight w:val="none"/>
          <w14:textFill>
            <w14:solidFill>
              <w14:schemeClr w14:val="tx1"/>
            </w14:solidFill>
          </w14:textFill>
        </w:rPr>
        <w:t>2.4 符合合同条款规定的全部费用应认为已被计入有标价的工程</w:t>
      </w:r>
      <w:r>
        <w:rPr>
          <w:rFonts w:ascii="宋体" w:hAnsi="宋体" w:cs="宋体"/>
          <w:color w:val="000000" w:themeColor="text1"/>
          <w:spacing w:val="4"/>
          <w:sz w:val="24"/>
          <w:highlight w:val="none"/>
          <w14:textFill>
            <w14:solidFill>
              <w14:schemeClr w14:val="tx1"/>
            </w14:solidFill>
          </w14:textFill>
        </w:rPr>
        <w:t>量清单所列各子</w:t>
      </w:r>
      <w:r>
        <w:rPr>
          <w:rFonts w:ascii="宋体" w:hAnsi="宋体" w:cs="宋体"/>
          <w:color w:val="000000" w:themeColor="text1"/>
          <w:spacing w:val="-2"/>
          <w:sz w:val="24"/>
          <w:highlight w:val="none"/>
          <w14:textFill>
            <w14:solidFill>
              <w14:schemeClr w14:val="tx1"/>
            </w14:solidFill>
          </w14:textFill>
        </w:rPr>
        <w:t>目之中，未列子目不予计量的工作，其费用应视为已分摊在本合同工程的有关子目的单价或总额价之中。</w:t>
      </w:r>
    </w:p>
    <w:p w14:paraId="7196CD3E">
      <w:pPr>
        <w:spacing w:line="360" w:lineRule="auto"/>
        <w:ind w:left="21" w:right="80" w:firstLine="46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2.5 承包人用于本合同工程的各类装备的提供、运输、维护、拆卸、拼装等支付的</w:t>
      </w:r>
      <w:r>
        <w:rPr>
          <w:rFonts w:ascii="宋体" w:hAnsi="宋体" w:cs="宋体"/>
          <w:color w:val="000000" w:themeColor="text1"/>
          <w:spacing w:val="-1"/>
          <w:sz w:val="24"/>
          <w:highlight w:val="none"/>
          <w14:textFill>
            <w14:solidFill>
              <w14:schemeClr w14:val="tx1"/>
            </w14:solidFill>
          </w14:textFill>
        </w:rPr>
        <w:t>费用，已包括在工程量清单的单价与总额价之</w:t>
      </w:r>
      <w:r>
        <w:rPr>
          <w:rFonts w:ascii="宋体" w:hAnsi="宋体" w:cs="宋体"/>
          <w:color w:val="000000" w:themeColor="text1"/>
          <w:spacing w:val="-2"/>
          <w:sz w:val="24"/>
          <w:highlight w:val="none"/>
          <w14:textFill>
            <w14:solidFill>
              <w14:schemeClr w14:val="tx1"/>
            </w14:solidFill>
          </w14:textFill>
        </w:rPr>
        <w:t>中。</w:t>
      </w:r>
    </w:p>
    <w:p w14:paraId="27123671">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2.6 工程量清单中各项金额均以人民币(元)结算。</w:t>
      </w:r>
    </w:p>
    <w:p w14:paraId="67F41A9A">
      <w:pPr>
        <w:spacing w:line="360" w:lineRule="auto"/>
        <w:ind w:left="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2.7 暂列金额的数量及拟用子目的说明：</w:t>
      </w:r>
    </w:p>
    <w:p w14:paraId="7E702698">
      <w:pPr>
        <w:spacing w:line="360" w:lineRule="auto"/>
        <w:ind w:left="10" w:firstLine="485"/>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6"/>
          <w:sz w:val="24"/>
          <w:highlight w:val="none"/>
          <w14:textFill>
            <w14:solidFill>
              <w14:schemeClr w14:val="tx1"/>
            </w14:solidFill>
          </w14:textFill>
        </w:rPr>
        <w:t>暂列金额应由监理人报发包人批准后指令全部或部分地使用，或者根本不予动用。</w:t>
      </w:r>
      <w:r>
        <w:rPr>
          <w:rFonts w:ascii="宋体" w:hAnsi="宋体" w:cs="宋体"/>
          <w:color w:val="000000" w:themeColor="text1"/>
          <w:spacing w:val="-1"/>
          <w:sz w:val="24"/>
          <w:highlight w:val="none"/>
          <w14:textFill>
            <w14:solidFill>
              <w14:schemeClr w14:val="tx1"/>
            </w14:solidFill>
          </w14:textFill>
        </w:rPr>
        <w:t>符合下列条件的可在暂列金额中计量支付：</w:t>
      </w:r>
    </w:p>
    <w:p w14:paraId="7B798F51">
      <w:pPr>
        <w:spacing w:line="360" w:lineRule="auto"/>
        <w:ind w:left="9" w:right="80" w:firstLine="49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（1）未包括在合同和图纸中，在施工过程中可能会发生且未包含在承包人风险范</w:t>
      </w:r>
      <w:r>
        <w:rPr>
          <w:rFonts w:ascii="宋体" w:hAnsi="宋体" w:cs="宋体"/>
          <w:color w:val="000000" w:themeColor="text1"/>
          <w:spacing w:val="-2"/>
          <w:sz w:val="24"/>
          <w:highlight w:val="none"/>
          <w14:textFill>
            <w14:solidFill>
              <w14:schemeClr w14:val="tx1"/>
            </w14:solidFill>
          </w14:textFill>
        </w:rPr>
        <w:t>围之内的一些杂项费用，包括由发包人临时指定承包人进行施工的合同外小工程或劳务支出等；在施工过程中新增的未包含在承包人风险范围内的零星工程；在施工过程中按照监理人和发包人指令为加快进度、提高质量所增加的措施费用，经发包人同意可以在暂定金额中计量；</w:t>
      </w:r>
    </w:p>
    <w:p w14:paraId="515743E3">
      <w:pPr>
        <w:spacing w:line="360" w:lineRule="auto"/>
        <w:ind w:left="8" w:right="80" w:firstLine="49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（2）如发包人或监理人提出对承包人工程质量质疑而附加进行的各种检验（如桩</w:t>
      </w:r>
      <w:r>
        <w:rPr>
          <w:rFonts w:ascii="宋体" w:hAnsi="宋体" w:cs="宋体"/>
          <w:color w:val="000000" w:themeColor="text1"/>
          <w:spacing w:val="-1"/>
          <w:sz w:val="24"/>
          <w:highlight w:val="none"/>
          <w14:textFill>
            <w14:solidFill>
              <w14:schemeClr w14:val="tx1"/>
            </w14:solidFill>
          </w14:textFill>
        </w:rPr>
        <w:t>基础静载、梁板荷载、结构物破坏性试验、</w:t>
      </w:r>
      <w:r>
        <w:rPr>
          <w:rFonts w:ascii="宋体" w:hAnsi="宋体" w:cs="宋体"/>
          <w:color w:val="000000" w:themeColor="text1"/>
          <w:spacing w:val="-2"/>
          <w:sz w:val="24"/>
          <w:highlight w:val="none"/>
          <w14:textFill>
            <w14:solidFill>
              <w14:schemeClr w14:val="tx1"/>
            </w14:solidFill>
          </w14:textFill>
        </w:rPr>
        <w:t>大应变和桩基础取芯检验等</w:t>
      </w:r>
      <w:r>
        <w:rPr>
          <w:rFonts w:ascii="宋体" w:hAnsi="宋体" w:cs="宋体"/>
          <w:color w:val="000000" w:themeColor="text1"/>
          <w:spacing w:val="-3"/>
          <w:sz w:val="24"/>
          <w:highlight w:val="none"/>
          <w14:textFill>
            <w14:solidFill>
              <w14:schemeClr w14:val="tx1"/>
            </w14:solidFill>
          </w14:textFill>
        </w:rPr>
        <w:t>），</w:t>
      </w:r>
      <w:r>
        <w:rPr>
          <w:rFonts w:ascii="宋体" w:hAnsi="宋体" w:cs="宋体"/>
          <w:color w:val="000000" w:themeColor="text1"/>
          <w:spacing w:val="-2"/>
          <w:sz w:val="24"/>
          <w:highlight w:val="none"/>
          <w14:textFill>
            <w14:solidFill>
              <w14:schemeClr w14:val="tx1"/>
            </w14:solidFill>
          </w14:textFill>
        </w:rPr>
        <w:t>如检测结果符合要求，检测费用由发包人承担，费用从本项中进行计量支付；如检测结果不符合要</w:t>
      </w:r>
      <w:r>
        <w:rPr>
          <w:rFonts w:ascii="宋体" w:hAnsi="宋体" w:cs="宋体"/>
          <w:color w:val="000000" w:themeColor="text1"/>
          <w:spacing w:val="-1"/>
          <w:sz w:val="24"/>
          <w:highlight w:val="none"/>
          <w14:textFill>
            <w14:solidFill>
              <w14:schemeClr w14:val="tx1"/>
            </w14:solidFill>
          </w14:textFill>
        </w:rPr>
        <w:t>求，相应费用由承包人自行承担，不能在暂定金额中计量和支付；</w:t>
      </w:r>
    </w:p>
    <w:p w14:paraId="5C95474D">
      <w:pPr>
        <w:spacing w:line="360" w:lineRule="auto"/>
        <w:ind w:left="49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（3）零星补充地质勘探；</w:t>
      </w:r>
    </w:p>
    <w:p w14:paraId="3EC4D99C">
      <w:pPr>
        <w:spacing w:line="360" w:lineRule="auto"/>
        <w:ind w:left="7" w:right="80" w:firstLine="492"/>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（4） 按合同条款规定，经审批确定由发包人承担费用的变更工程所发生的费用以</w:t>
      </w:r>
      <w:r>
        <w:rPr>
          <w:rFonts w:ascii="宋体" w:hAnsi="宋体" w:cs="宋体"/>
          <w:color w:val="000000" w:themeColor="text1"/>
          <w:spacing w:val="-1"/>
          <w:sz w:val="24"/>
          <w:highlight w:val="none"/>
          <w14:textFill>
            <w14:solidFill>
              <w14:schemeClr w14:val="tx1"/>
            </w14:solidFill>
          </w14:textFill>
        </w:rPr>
        <w:t>及发包人认为需要或适合在此项费用开支的其他费用。</w:t>
      </w:r>
    </w:p>
    <w:p w14:paraId="73F89D83">
      <w:pPr>
        <w:spacing w:line="360" w:lineRule="auto"/>
        <w:ind w:left="9" w:right="80" w:firstLine="481"/>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2.8</w:t>
      </w:r>
      <w:r>
        <w:rPr>
          <w:rFonts w:ascii="宋体" w:hAnsi="宋体" w:cs="宋体"/>
          <w:color w:val="000000" w:themeColor="text1"/>
          <w:spacing w:val="-50"/>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专项暂定金额的计量：按发包人给定的金额计列，</w:t>
      </w:r>
      <w:r>
        <w:rPr>
          <w:rFonts w:ascii="宋体" w:hAnsi="宋体" w:cs="宋体"/>
          <w:color w:val="000000" w:themeColor="text1"/>
          <w:spacing w:val="-1"/>
          <w:sz w:val="24"/>
          <w:highlight w:val="none"/>
          <w14:textFill>
            <w14:solidFill>
              <w14:schemeClr w14:val="tx1"/>
            </w14:solidFill>
          </w14:textFill>
        </w:rPr>
        <w:t>由发包人根据工程实际批准</w:t>
      </w:r>
      <w:r>
        <w:rPr>
          <w:rFonts w:ascii="宋体" w:hAnsi="宋体" w:cs="宋体"/>
          <w:color w:val="000000" w:themeColor="text1"/>
          <w:spacing w:val="-4"/>
          <w:sz w:val="24"/>
          <w:highlight w:val="none"/>
          <w14:textFill>
            <w14:solidFill>
              <w14:schemeClr w14:val="tx1"/>
            </w14:solidFill>
          </w14:textFill>
        </w:rPr>
        <w:t>使用。</w:t>
      </w:r>
    </w:p>
    <w:p w14:paraId="3EF1E77D">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3. 计日工说明</w:t>
      </w:r>
    </w:p>
    <w:p w14:paraId="1AD92289">
      <w:pPr>
        <w:spacing w:line="360" w:lineRule="auto"/>
        <w:ind w:left="489"/>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本款不适用。</w:t>
      </w:r>
    </w:p>
    <w:p w14:paraId="0A46CF1D">
      <w:pPr>
        <w:spacing w:line="360" w:lineRule="auto"/>
        <w:ind w:left="487"/>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4.</w:t>
      </w:r>
      <w:r>
        <w:rPr>
          <w:rFonts w:ascii="宋体" w:hAnsi="宋体" w:cs="宋体"/>
          <w:color w:val="000000" w:themeColor="text1"/>
          <w:spacing w:val="14"/>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其他说明</w:t>
      </w:r>
    </w:p>
    <w:p w14:paraId="6C8A54F7">
      <w:pPr>
        <w:spacing w:line="360" w:lineRule="auto"/>
        <w:rPr>
          <w:rFonts w:hint="eastAsia" w:ascii="宋体" w:hAnsi="宋体" w:cs="宋体"/>
          <w:color w:val="000000" w:themeColor="text1"/>
          <w:sz w:val="24"/>
          <w:highlight w:val="none"/>
          <w14:textFill>
            <w14:solidFill>
              <w14:schemeClr w14:val="tx1"/>
            </w14:solidFill>
          </w14:textFill>
        </w:rPr>
        <w:sectPr>
          <w:headerReference r:id="rId129" w:type="default"/>
          <w:footerReference r:id="rId130" w:type="default"/>
          <w:pgSz w:w="11906" w:h="16839"/>
          <w:pgMar w:top="1182" w:right="1337" w:bottom="1168" w:left="1417" w:header="849" w:footer="934" w:gutter="0"/>
          <w:cols w:space="720" w:num="1"/>
        </w:sectPr>
      </w:pPr>
    </w:p>
    <w:p w14:paraId="11364506">
      <w:pPr>
        <w:spacing w:line="360" w:lineRule="auto"/>
        <w:ind w:left="7" w:right="1"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工程量清单中各个细目的报价与计量支付原则，详见招标文件第七章技术规范的工</w:t>
      </w:r>
      <w:r>
        <w:rPr>
          <w:rFonts w:ascii="宋体" w:hAnsi="宋体" w:cs="宋体"/>
          <w:color w:val="000000" w:themeColor="text1"/>
          <w:spacing w:val="-1"/>
          <w:sz w:val="24"/>
          <w:highlight w:val="none"/>
          <w14:textFill>
            <w14:solidFill>
              <w14:schemeClr w14:val="tx1"/>
            </w14:solidFill>
          </w14:textFill>
        </w:rPr>
        <w:t>程量清单计量与支付规则。</w:t>
      </w:r>
    </w:p>
    <w:p w14:paraId="7E66105C">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4"/>
          <w:sz w:val="24"/>
          <w:highlight w:val="none"/>
          <w14:textFill>
            <w14:solidFill>
              <w14:schemeClr w14:val="tx1"/>
            </w14:solidFill>
          </w14:textFill>
        </w:rPr>
        <w:t>5.</w:t>
      </w:r>
      <w:r>
        <w:rPr>
          <w:rFonts w:ascii="宋体" w:hAnsi="宋体" w:cs="宋体"/>
          <w:color w:val="000000" w:themeColor="text1"/>
          <w:spacing w:val="12"/>
          <w:sz w:val="24"/>
          <w:highlight w:val="none"/>
          <w14:textFill>
            <w14:solidFill>
              <w14:schemeClr w14:val="tx1"/>
            </w14:solidFill>
          </w14:textFill>
        </w:rPr>
        <w:t xml:space="preserve"> </w:t>
      </w:r>
      <w:r>
        <w:rPr>
          <w:rFonts w:ascii="宋体" w:hAnsi="宋体" w:cs="宋体"/>
          <w:color w:val="000000" w:themeColor="text1"/>
          <w:spacing w:val="-4"/>
          <w:sz w:val="24"/>
          <w:highlight w:val="none"/>
          <w14:textFill>
            <w14:solidFill>
              <w14:schemeClr w14:val="tx1"/>
            </w14:solidFill>
          </w14:textFill>
        </w:rPr>
        <w:t>工程量清单</w:t>
      </w:r>
    </w:p>
    <w:p w14:paraId="547D8C83">
      <w:pPr>
        <w:spacing w:line="360" w:lineRule="auto"/>
        <w:ind w:left="49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5.1 工程量清单表</w:t>
      </w:r>
    </w:p>
    <w:p w14:paraId="7850FFD1">
      <w:pPr>
        <w:spacing w:line="360" w:lineRule="auto"/>
        <w:ind w:left="7" w:firstLine="483"/>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工程量清单具体应执行《广东省公路工程造价标准化管理指南》、广东省《公路工</w:t>
      </w:r>
      <w:r>
        <w:rPr>
          <w:rFonts w:ascii="宋体" w:hAnsi="宋体" w:cs="宋体"/>
          <w:color w:val="000000" w:themeColor="text1"/>
          <w:spacing w:val="-1"/>
          <w:sz w:val="24"/>
          <w:highlight w:val="none"/>
          <w14:textFill>
            <w14:solidFill>
              <w14:schemeClr w14:val="tx1"/>
            </w14:solidFill>
          </w14:textFill>
        </w:rPr>
        <w:t>程造价管理指南》及现行的《广东省执行交通</w:t>
      </w:r>
      <w:r>
        <w:rPr>
          <w:rFonts w:ascii="宋体" w:hAnsi="宋体" w:cs="宋体"/>
          <w:color w:val="000000" w:themeColor="text1"/>
          <w:spacing w:val="-2"/>
          <w:sz w:val="24"/>
          <w:highlight w:val="none"/>
          <w14:textFill>
            <w14:solidFill>
              <w14:schemeClr w14:val="tx1"/>
            </w14:solidFill>
          </w14:textFill>
        </w:rPr>
        <w:t>运输部&lt;公路工程标准施工招标文件范本&gt;的补充规定》《广东省公路工程施工招标清单预算管理规程》。如以上文件有修订，本</w:t>
      </w:r>
      <w:r>
        <w:rPr>
          <w:rFonts w:ascii="宋体" w:hAnsi="宋体" w:cs="宋体"/>
          <w:color w:val="000000" w:themeColor="text1"/>
          <w:spacing w:val="-1"/>
          <w:sz w:val="24"/>
          <w:highlight w:val="none"/>
          <w14:textFill>
            <w14:solidFill>
              <w14:schemeClr w14:val="tx1"/>
            </w14:solidFill>
          </w14:textFill>
        </w:rPr>
        <w:t>范本则依照最新修订版本执行。</w:t>
      </w:r>
    </w:p>
    <w:p w14:paraId="49CE1B79">
      <w:pPr>
        <w:pStyle w:val="3"/>
        <w:spacing w:line="360" w:lineRule="auto"/>
        <w:rPr>
          <w:color w:val="000000" w:themeColor="text1"/>
          <w:highlight w:val="none"/>
          <w14:textFill>
            <w14:solidFill>
              <w14:schemeClr w14:val="tx1"/>
            </w14:solidFill>
          </w14:textFill>
        </w:rPr>
      </w:pPr>
    </w:p>
    <w:p w14:paraId="5A075DAE">
      <w:pPr>
        <w:spacing w:line="360" w:lineRule="auto"/>
        <w:ind w:left="8" w:right="1" w:firstLine="472"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注：投标人应按照第五章“工程量清单</w:t>
      </w:r>
      <w:r>
        <w:rPr>
          <w:rFonts w:ascii="宋体" w:hAnsi="宋体" w:cs="宋体"/>
          <w:color w:val="000000" w:themeColor="text1"/>
          <w:spacing w:val="-88"/>
          <w:sz w:val="24"/>
          <w:highlight w:val="none"/>
          <w14:textFill>
            <w14:solidFill>
              <w14:schemeClr w14:val="tx1"/>
            </w14:solidFill>
          </w14:textFill>
        </w:rPr>
        <w:t xml:space="preserve"> </w:t>
      </w:r>
      <w:r>
        <w:rPr>
          <w:rFonts w:ascii="宋体" w:hAnsi="宋体" w:cs="宋体"/>
          <w:color w:val="000000" w:themeColor="text1"/>
          <w:spacing w:val="-2"/>
          <w:sz w:val="24"/>
          <w:highlight w:val="none"/>
          <w14:textFill>
            <w14:solidFill>
              <w14:schemeClr w14:val="tx1"/>
            </w14:solidFill>
          </w14:textFill>
        </w:rPr>
        <w:t>”的要求逐项</w:t>
      </w:r>
      <w:r>
        <w:rPr>
          <w:rFonts w:ascii="宋体" w:hAnsi="宋体" w:cs="宋体"/>
          <w:color w:val="000000" w:themeColor="text1"/>
          <w:spacing w:val="-3"/>
          <w:sz w:val="24"/>
          <w:highlight w:val="none"/>
          <w14:textFill>
            <w14:solidFill>
              <w14:schemeClr w14:val="tx1"/>
            </w14:solidFill>
          </w14:textFill>
        </w:rPr>
        <w:t>编制工程量清单文件。投标时提交</w:t>
      </w:r>
      <w:r>
        <w:rPr>
          <w:rFonts w:ascii="宋体" w:hAnsi="宋体" w:cs="宋体"/>
          <w:color w:val="000000" w:themeColor="text1"/>
          <w:spacing w:val="-2"/>
          <w:sz w:val="24"/>
          <w:highlight w:val="none"/>
          <w14:textFill>
            <w14:solidFill>
              <w14:schemeClr w14:val="tx1"/>
            </w14:solidFill>
          </w14:textFill>
        </w:rPr>
        <w:t>工程量清单，投标人中标后，发包人可要求中标人提交项目清单、分项清单等完整工程</w:t>
      </w:r>
      <w:r>
        <w:rPr>
          <w:rFonts w:ascii="宋体" w:hAnsi="宋体" w:cs="宋体"/>
          <w:color w:val="000000" w:themeColor="text1"/>
          <w:spacing w:val="-1"/>
          <w:sz w:val="24"/>
          <w:highlight w:val="none"/>
          <w14:textFill>
            <w14:solidFill>
              <w14:schemeClr w14:val="tx1"/>
            </w14:solidFill>
          </w14:textFill>
        </w:rPr>
        <w:t>量清单文件，中标人不得拒绝。</w:t>
      </w:r>
    </w:p>
    <w:p w14:paraId="1286F9D0">
      <w:pPr>
        <w:pStyle w:val="107"/>
        <w:spacing w:line="360" w:lineRule="auto"/>
        <w:ind w:firstLine="480" w:firstLineChars="200"/>
        <w:rPr>
          <w:rFonts w:hint="eastAsia" w:ascii="宋体" w:hAnsi="宋体" w:cs="宋体"/>
          <w:color w:val="000000" w:themeColor="text1"/>
          <w:highlight w:val="none"/>
          <w14:textFill>
            <w14:solidFill>
              <w14:schemeClr w14:val="tx1"/>
            </w14:solidFill>
          </w14:textFill>
        </w:rPr>
      </w:pPr>
    </w:p>
    <w:p w14:paraId="16FDA91A">
      <w:pPr>
        <w:pStyle w:val="107"/>
        <w:spacing w:line="360" w:lineRule="auto"/>
        <w:ind w:firstLine="480" w:firstLineChars="200"/>
        <w:rPr>
          <w:rFonts w:hint="eastAsia" w:ascii="宋体" w:hAnsi="宋体" w:cs="宋体"/>
          <w:color w:val="000000" w:themeColor="text1"/>
          <w:highlight w:val="none"/>
          <w14:textFill>
            <w14:solidFill>
              <w14:schemeClr w14:val="tx1"/>
            </w14:solidFill>
          </w14:textFill>
        </w:rPr>
      </w:pPr>
    </w:p>
    <w:p w14:paraId="1B58B4DD">
      <w:pPr>
        <w:pStyle w:val="107"/>
        <w:spacing w:line="360" w:lineRule="auto"/>
        <w:ind w:firstLine="480" w:firstLineChars="200"/>
        <w:rPr>
          <w:rFonts w:hint="eastAsia" w:ascii="宋体" w:hAnsi="宋体" w:cs="宋体"/>
          <w:color w:val="000000" w:themeColor="text1"/>
          <w:highlight w:val="none"/>
          <w14:textFill>
            <w14:solidFill>
              <w14:schemeClr w14:val="tx1"/>
            </w14:solidFill>
          </w14:textFill>
        </w:rPr>
      </w:pPr>
    </w:p>
    <w:p w14:paraId="7F61CBE0">
      <w:pPr>
        <w:pStyle w:val="107"/>
        <w:spacing w:line="360" w:lineRule="auto"/>
        <w:ind w:firstLine="480" w:firstLineChars="200"/>
        <w:rPr>
          <w:rFonts w:hint="eastAsia" w:ascii="宋体" w:hAnsi="宋体" w:cs="宋体"/>
          <w:color w:val="000000" w:themeColor="text1"/>
          <w:highlight w:val="none"/>
          <w14:textFill>
            <w14:solidFill>
              <w14:schemeClr w14:val="tx1"/>
            </w14:solidFill>
          </w14:textFill>
        </w:rPr>
      </w:pPr>
    </w:p>
    <w:p w14:paraId="0C2B2846">
      <w:pPr>
        <w:pStyle w:val="107"/>
        <w:spacing w:line="360" w:lineRule="auto"/>
        <w:ind w:firstLine="480" w:firstLineChars="200"/>
        <w:rPr>
          <w:rFonts w:hint="eastAsia" w:ascii="宋体" w:hAnsi="宋体" w:cs="宋体"/>
          <w:color w:val="000000" w:themeColor="text1"/>
          <w:highlight w:val="none"/>
          <w14:textFill>
            <w14:solidFill>
              <w14:schemeClr w14:val="tx1"/>
            </w14:solidFill>
          </w14:textFill>
        </w:rPr>
      </w:pPr>
    </w:p>
    <w:p w14:paraId="2EE41F3D">
      <w:pPr>
        <w:pStyle w:val="107"/>
        <w:spacing w:line="360" w:lineRule="auto"/>
        <w:ind w:firstLine="480" w:firstLineChars="200"/>
        <w:rPr>
          <w:rFonts w:hint="eastAsia" w:ascii="宋体" w:hAnsi="宋体" w:cs="宋体"/>
          <w:color w:val="000000" w:themeColor="text1"/>
          <w:highlight w:val="none"/>
          <w14:textFill>
            <w14:solidFill>
              <w14:schemeClr w14:val="tx1"/>
            </w14:solidFill>
          </w14:textFill>
        </w:rPr>
      </w:pPr>
    </w:p>
    <w:p w14:paraId="77C80975">
      <w:pPr>
        <w:pStyle w:val="107"/>
        <w:spacing w:line="360" w:lineRule="auto"/>
        <w:ind w:firstLine="480" w:firstLineChars="200"/>
        <w:rPr>
          <w:rFonts w:hint="eastAsia" w:ascii="宋体" w:hAnsi="宋体" w:cs="宋体"/>
          <w:color w:val="000000" w:themeColor="text1"/>
          <w:highlight w:val="none"/>
          <w14:textFill>
            <w14:solidFill>
              <w14:schemeClr w14:val="tx1"/>
            </w14:solidFill>
          </w14:textFill>
        </w:rPr>
      </w:pPr>
    </w:p>
    <w:p w14:paraId="4FE68F96">
      <w:pPr>
        <w:spacing w:before="100" w:line="228" w:lineRule="auto"/>
        <w:jc w:val="center"/>
        <w:rPr>
          <w:rFonts w:ascii="宋体" w:hAnsi="宋体" w:eastAsia="宋体" w:cs="宋体"/>
          <w:color w:val="000000" w:themeColor="text1"/>
          <w:spacing w:val="-10"/>
          <w:sz w:val="43"/>
          <w:szCs w:val="43"/>
          <w:highlight w:val="none"/>
          <w14:textFill>
            <w14:solidFill>
              <w14:schemeClr w14:val="tx1"/>
            </w14:solidFill>
          </w14:textFill>
        </w:rPr>
      </w:pPr>
    </w:p>
    <w:p w14:paraId="27A7EDB2">
      <w:pPr>
        <w:spacing w:before="100" w:line="228" w:lineRule="auto"/>
        <w:jc w:val="center"/>
        <w:rPr>
          <w:rFonts w:ascii="宋体" w:hAnsi="宋体" w:eastAsia="宋体" w:cs="宋体"/>
          <w:color w:val="000000" w:themeColor="text1"/>
          <w:spacing w:val="-10"/>
          <w:sz w:val="43"/>
          <w:szCs w:val="43"/>
          <w:highlight w:val="none"/>
          <w14:textFill>
            <w14:solidFill>
              <w14:schemeClr w14:val="tx1"/>
            </w14:solidFill>
          </w14:textFill>
        </w:rPr>
      </w:pPr>
    </w:p>
    <w:p w14:paraId="422C5FC3">
      <w:pPr>
        <w:spacing w:before="100" w:line="228" w:lineRule="auto"/>
        <w:jc w:val="center"/>
        <w:rPr>
          <w:rFonts w:ascii="宋体" w:hAnsi="宋体" w:eastAsia="宋体" w:cs="宋体"/>
          <w:color w:val="000000" w:themeColor="text1"/>
          <w:spacing w:val="-10"/>
          <w:sz w:val="43"/>
          <w:szCs w:val="43"/>
          <w:highlight w:val="none"/>
          <w14:textFill>
            <w14:solidFill>
              <w14:schemeClr w14:val="tx1"/>
            </w14:solidFill>
          </w14:textFill>
        </w:rPr>
      </w:pPr>
    </w:p>
    <w:p w14:paraId="58A48BD4">
      <w:pPr>
        <w:spacing w:before="100" w:line="228" w:lineRule="auto"/>
        <w:jc w:val="center"/>
        <w:rPr>
          <w:rFonts w:ascii="宋体" w:hAnsi="宋体" w:eastAsia="宋体" w:cs="宋体"/>
          <w:color w:val="000000" w:themeColor="text1"/>
          <w:spacing w:val="-10"/>
          <w:sz w:val="43"/>
          <w:szCs w:val="43"/>
          <w:highlight w:val="none"/>
          <w14:textFill>
            <w14:solidFill>
              <w14:schemeClr w14:val="tx1"/>
            </w14:solidFill>
          </w14:textFill>
        </w:rPr>
      </w:pPr>
    </w:p>
    <w:p w14:paraId="62DB6742">
      <w:pPr>
        <w:spacing w:before="100" w:line="228" w:lineRule="auto"/>
        <w:jc w:val="center"/>
        <w:rPr>
          <w:rFonts w:ascii="宋体" w:hAnsi="宋体" w:eastAsia="宋体" w:cs="宋体"/>
          <w:color w:val="000000" w:themeColor="text1"/>
          <w:spacing w:val="-10"/>
          <w:sz w:val="43"/>
          <w:szCs w:val="43"/>
          <w:highlight w:val="none"/>
          <w14:textFill>
            <w14:solidFill>
              <w14:schemeClr w14:val="tx1"/>
            </w14:solidFill>
          </w14:textFill>
        </w:rPr>
      </w:pPr>
    </w:p>
    <w:p w14:paraId="346ECC97">
      <w:pPr>
        <w:spacing w:before="100" w:line="228" w:lineRule="auto"/>
        <w:jc w:val="center"/>
        <w:rPr>
          <w:rFonts w:ascii="宋体" w:hAnsi="宋体" w:eastAsia="宋体" w:cs="宋体"/>
          <w:color w:val="000000" w:themeColor="text1"/>
          <w:spacing w:val="-10"/>
          <w:sz w:val="43"/>
          <w:szCs w:val="43"/>
          <w:highlight w:val="none"/>
          <w14:textFill>
            <w14:solidFill>
              <w14:schemeClr w14:val="tx1"/>
            </w14:solidFill>
          </w14:textFill>
        </w:rPr>
      </w:pPr>
    </w:p>
    <w:p w14:paraId="14662322">
      <w:pPr>
        <w:spacing w:before="100" w:line="228" w:lineRule="auto"/>
        <w:jc w:val="both"/>
        <w:rPr>
          <w:rFonts w:ascii="宋体" w:hAnsi="宋体" w:eastAsia="宋体" w:cs="宋体"/>
          <w:color w:val="000000" w:themeColor="text1"/>
          <w:spacing w:val="-10"/>
          <w:sz w:val="43"/>
          <w:szCs w:val="43"/>
          <w:highlight w:val="none"/>
          <w14:textFill>
            <w14:solidFill>
              <w14:schemeClr w14:val="tx1"/>
            </w14:solidFill>
          </w14:textFill>
        </w:rPr>
      </w:pPr>
    </w:p>
    <w:p w14:paraId="2C07A91F">
      <w:pPr>
        <w:spacing w:before="100" w:line="228" w:lineRule="auto"/>
        <w:jc w:val="center"/>
        <w:rPr>
          <w:rFonts w:ascii="宋体" w:hAnsi="宋体" w:eastAsia="宋体" w:cs="宋体"/>
          <w:color w:val="000000" w:themeColor="text1"/>
          <w:spacing w:val="-10"/>
          <w:sz w:val="43"/>
          <w:szCs w:val="43"/>
          <w:highlight w:val="none"/>
          <w14:textFill>
            <w14:solidFill>
              <w14:schemeClr w14:val="tx1"/>
            </w14:solidFill>
          </w14:textFill>
        </w:rPr>
      </w:pPr>
    </w:p>
    <w:p w14:paraId="0B37DB80">
      <w:pPr>
        <w:spacing w:before="100" w:line="228" w:lineRule="auto"/>
        <w:jc w:val="center"/>
        <w:rPr>
          <w:rFonts w:ascii="宋体" w:hAnsi="宋体" w:eastAsia="宋体" w:cs="宋体"/>
          <w:color w:val="000000" w:themeColor="text1"/>
          <w:sz w:val="43"/>
          <w:szCs w:val="43"/>
          <w:highlight w:val="none"/>
          <w14:textFill>
            <w14:solidFill>
              <w14:schemeClr w14:val="tx1"/>
            </w14:solidFill>
          </w14:textFill>
        </w:rPr>
      </w:pPr>
      <w:r>
        <w:rPr>
          <w:rFonts w:ascii="宋体" w:hAnsi="宋体" w:eastAsia="宋体" w:cs="宋体"/>
          <w:color w:val="000000" w:themeColor="text1"/>
          <w:spacing w:val="-10"/>
          <w:sz w:val="43"/>
          <w:szCs w:val="43"/>
          <w:highlight w:val="none"/>
          <w14:textFill>
            <w14:solidFill>
              <w14:schemeClr w14:val="tx1"/>
            </w14:solidFill>
          </w14:textFill>
        </w:rPr>
        <w:t>广</w:t>
      </w:r>
      <w:r>
        <w:rPr>
          <w:rFonts w:ascii="宋体" w:hAnsi="宋体" w:eastAsia="宋体" w:cs="宋体"/>
          <w:color w:val="000000" w:themeColor="text1"/>
          <w:spacing w:val="37"/>
          <w:sz w:val="43"/>
          <w:szCs w:val="43"/>
          <w:highlight w:val="none"/>
          <w14:textFill>
            <w14:solidFill>
              <w14:schemeClr w14:val="tx1"/>
            </w14:solidFill>
          </w14:textFill>
        </w:rPr>
        <w:t xml:space="preserve"> </w:t>
      </w:r>
      <w:r>
        <w:rPr>
          <w:rFonts w:ascii="宋体" w:hAnsi="宋体" w:eastAsia="宋体" w:cs="宋体"/>
          <w:color w:val="000000" w:themeColor="text1"/>
          <w:spacing w:val="-10"/>
          <w:sz w:val="43"/>
          <w:szCs w:val="43"/>
          <w:highlight w:val="none"/>
          <w14:textFill>
            <w14:solidFill>
              <w14:schemeClr w14:val="tx1"/>
            </w14:solidFill>
          </w14:textFill>
        </w:rPr>
        <w:t>东</w:t>
      </w:r>
      <w:r>
        <w:rPr>
          <w:rFonts w:ascii="宋体" w:hAnsi="宋体" w:eastAsia="宋体" w:cs="宋体"/>
          <w:color w:val="000000" w:themeColor="text1"/>
          <w:spacing w:val="29"/>
          <w:sz w:val="43"/>
          <w:szCs w:val="43"/>
          <w:highlight w:val="none"/>
          <w14:textFill>
            <w14:solidFill>
              <w14:schemeClr w14:val="tx1"/>
            </w14:solidFill>
          </w14:textFill>
        </w:rPr>
        <w:t xml:space="preserve"> </w:t>
      </w:r>
      <w:r>
        <w:rPr>
          <w:rFonts w:ascii="宋体" w:hAnsi="宋体" w:eastAsia="宋体" w:cs="宋体"/>
          <w:color w:val="000000" w:themeColor="text1"/>
          <w:spacing w:val="-10"/>
          <w:sz w:val="43"/>
          <w:szCs w:val="43"/>
          <w:highlight w:val="none"/>
          <w14:textFill>
            <w14:solidFill>
              <w14:schemeClr w14:val="tx1"/>
            </w14:solidFill>
          </w14:textFill>
        </w:rPr>
        <w:t>省</w:t>
      </w:r>
    </w:p>
    <w:p w14:paraId="14AF7F3C">
      <w:pPr>
        <w:pStyle w:val="3"/>
        <w:spacing w:line="291" w:lineRule="auto"/>
        <w:rPr>
          <w:color w:val="000000" w:themeColor="text1"/>
          <w:highlight w:val="none"/>
          <w14:textFill>
            <w14:solidFill>
              <w14:schemeClr w14:val="tx1"/>
            </w14:solidFill>
          </w14:textFill>
        </w:rPr>
      </w:pPr>
    </w:p>
    <w:p w14:paraId="4D11327B">
      <w:pPr>
        <w:pStyle w:val="3"/>
        <w:spacing w:line="291" w:lineRule="auto"/>
        <w:rPr>
          <w:color w:val="000000" w:themeColor="text1"/>
          <w:highlight w:val="none"/>
          <w14:textFill>
            <w14:solidFill>
              <w14:schemeClr w14:val="tx1"/>
            </w14:solidFill>
          </w14:textFill>
        </w:rPr>
      </w:pPr>
    </w:p>
    <w:p w14:paraId="046673E2">
      <w:pPr>
        <w:tabs>
          <w:tab w:val="left" w:pos="2475"/>
        </w:tabs>
        <w:spacing w:before="140" w:line="224" w:lineRule="auto"/>
        <w:ind w:left="245"/>
        <w:rPr>
          <w:rFonts w:ascii="宋体" w:hAnsi="宋体" w:eastAsia="宋体" w:cs="宋体"/>
          <w:color w:val="000000" w:themeColor="text1"/>
          <w:sz w:val="43"/>
          <w:szCs w:val="43"/>
          <w:highlight w:val="none"/>
          <w14:textFill>
            <w14:solidFill>
              <w14:schemeClr w14:val="tx1"/>
            </w14:solidFill>
          </w14:textFill>
        </w:rPr>
      </w:pPr>
      <w:r>
        <w:rPr>
          <w:rFonts w:ascii="宋体" w:hAnsi="宋体" w:eastAsia="宋体" w:cs="宋体"/>
          <w:color w:val="000000" w:themeColor="text1"/>
          <w:sz w:val="43"/>
          <w:szCs w:val="43"/>
          <w:highlight w:val="none"/>
          <w:u w:val="single" w:color="auto"/>
          <w14:textFill>
            <w14:solidFill>
              <w14:schemeClr w14:val="tx1"/>
            </w14:solidFill>
          </w14:textFill>
        </w:rPr>
        <w:tab/>
      </w:r>
      <w:r>
        <w:rPr>
          <w:rFonts w:ascii="宋体" w:hAnsi="宋体" w:eastAsia="宋体" w:cs="宋体"/>
          <w:color w:val="000000" w:themeColor="text1"/>
          <w:spacing w:val="-15"/>
          <w:sz w:val="43"/>
          <w:szCs w:val="43"/>
          <w:highlight w:val="none"/>
          <w:u w:val="single" w:color="auto"/>
          <w14:textFill>
            <w14:solidFill>
              <w14:schemeClr w14:val="tx1"/>
            </w14:solidFill>
          </w14:textFill>
        </w:rPr>
        <w:t>（项目名称</w:t>
      </w:r>
      <w:r>
        <w:rPr>
          <w:rFonts w:ascii="宋体" w:hAnsi="宋体" w:eastAsia="宋体" w:cs="宋体"/>
          <w:color w:val="000000" w:themeColor="text1"/>
          <w:spacing w:val="-17"/>
          <w:sz w:val="43"/>
          <w:szCs w:val="43"/>
          <w:highlight w:val="none"/>
          <w:u w:val="single" w:color="auto"/>
          <w14:textFill>
            <w14:solidFill>
              <w14:schemeClr w14:val="tx1"/>
            </w14:solidFill>
          </w14:textFill>
        </w:rPr>
        <w:t>）</w:t>
      </w:r>
      <w:r>
        <w:rPr>
          <w:rFonts w:ascii="宋体" w:hAnsi="宋体" w:eastAsia="宋体" w:cs="宋体"/>
          <w:color w:val="000000" w:themeColor="text1"/>
          <w:spacing w:val="8"/>
          <w:sz w:val="43"/>
          <w:szCs w:val="43"/>
          <w:highlight w:val="none"/>
          <w:u w:val="single" w:color="auto"/>
          <w14:textFill>
            <w14:solidFill>
              <w14:schemeClr w14:val="tx1"/>
            </w14:solidFill>
          </w14:textFill>
        </w:rPr>
        <w:t xml:space="preserve">    </w:t>
      </w:r>
      <w:r>
        <w:rPr>
          <w:rFonts w:ascii="宋体" w:hAnsi="宋体" w:eastAsia="宋体" w:cs="宋体"/>
          <w:color w:val="000000" w:themeColor="text1"/>
          <w:spacing w:val="-17"/>
          <w:sz w:val="43"/>
          <w:szCs w:val="43"/>
          <w:highlight w:val="none"/>
          <w:u w:val="single" w:color="auto"/>
          <w14:textFill>
            <w14:solidFill>
              <w14:schemeClr w14:val="tx1"/>
            </w14:solidFill>
          </w14:textFill>
        </w:rPr>
        <w:t>（</w:t>
      </w:r>
      <w:r>
        <w:rPr>
          <w:rFonts w:ascii="宋体" w:hAnsi="宋体" w:eastAsia="宋体" w:cs="宋体"/>
          <w:color w:val="000000" w:themeColor="text1"/>
          <w:spacing w:val="-15"/>
          <w:sz w:val="43"/>
          <w:szCs w:val="43"/>
          <w:highlight w:val="none"/>
          <w:u w:val="single" w:color="auto"/>
          <w14:textFill>
            <w14:solidFill>
              <w14:schemeClr w14:val="tx1"/>
            </w14:solidFill>
          </w14:textFill>
        </w:rPr>
        <w:t>标类或标段）</w:t>
      </w:r>
      <w:r>
        <w:rPr>
          <w:rFonts w:ascii="宋体" w:hAnsi="宋体" w:eastAsia="宋体" w:cs="宋体"/>
          <w:color w:val="000000" w:themeColor="text1"/>
          <w:spacing w:val="2"/>
          <w:sz w:val="43"/>
          <w:szCs w:val="43"/>
          <w:highlight w:val="none"/>
          <w:u w:val="single" w:color="auto"/>
          <w14:textFill>
            <w14:solidFill>
              <w14:schemeClr w14:val="tx1"/>
            </w14:solidFill>
          </w14:textFill>
        </w:rPr>
        <w:t xml:space="preserve"> </w:t>
      </w:r>
    </w:p>
    <w:p w14:paraId="2BE2E719">
      <w:pPr>
        <w:spacing w:before="257" w:line="225" w:lineRule="auto"/>
        <w:ind w:left="3671"/>
        <w:rPr>
          <w:rFonts w:ascii="宋体" w:hAnsi="宋体" w:eastAsia="宋体" w:cs="宋体"/>
          <w:color w:val="000000" w:themeColor="text1"/>
          <w:sz w:val="43"/>
          <w:szCs w:val="43"/>
          <w:highlight w:val="none"/>
          <w14:textFill>
            <w14:solidFill>
              <w14:schemeClr w14:val="tx1"/>
            </w14:solidFill>
          </w14:textFill>
        </w:rPr>
      </w:pPr>
      <w:r>
        <w:rPr>
          <w:rFonts w:ascii="宋体" w:hAnsi="宋体" w:eastAsia="宋体" w:cs="宋体"/>
          <w:color w:val="000000" w:themeColor="text1"/>
          <w:spacing w:val="5"/>
          <w:sz w:val="43"/>
          <w:szCs w:val="43"/>
          <w:highlight w:val="none"/>
          <w14:textFill>
            <w14:solidFill>
              <w14:schemeClr w14:val="tx1"/>
            </w14:solidFill>
          </w14:textFill>
        </w:rPr>
        <w:t>施工招标</w:t>
      </w:r>
    </w:p>
    <w:p w14:paraId="4C5D80EE">
      <w:pPr>
        <w:pStyle w:val="3"/>
        <w:spacing w:line="271" w:lineRule="auto"/>
        <w:rPr>
          <w:color w:val="000000" w:themeColor="text1"/>
          <w:highlight w:val="none"/>
          <w14:textFill>
            <w14:solidFill>
              <w14:schemeClr w14:val="tx1"/>
            </w14:solidFill>
          </w14:textFill>
        </w:rPr>
      </w:pPr>
    </w:p>
    <w:p w14:paraId="523BFEBF">
      <w:pPr>
        <w:pStyle w:val="3"/>
        <w:spacing w:line="271" w:lineRule="auto"/>
        <w:rPr>
          <w:color w:val="000000" w:themeColor="text1"/>
          <w:highlight w:val="none"/>
          <w14:textFill>
            <w14:solidFill>
              <w14:schemeClr w14:val="tx1"/>
            </w14:solidFill>
          </w14:textFill>
        </w:rPr>
      </w:pPr>
    </w:p>
    <w:p w14:paraId="49CD96C4">
      <w:pPr>
        <w:pStyle w:val="3"/>
        <w:spacing w:line="271" w:lineRule="auto"/>
        <w:rPr>
          <w:color w:val="000000" w:themeColor="text1"/>
          <w:highlight w:val="none"/>
          <w14:textFill>
            <w14:solidFill>
              <w14:schemeClr w14:val="tx1"/>
            </w14:solidFill>
          </w14:textFill>
        </w:rPr>
      </w:pPr>
    </w:p>
    <w:p w14:paraId="6D4A102E">
      <w:pPr>
        <w:pStyle w:val="3"/>
        <w:spacing w:line="271" w:lineRule="auto"/>
        <w:rPr>
          <w:color w:val="000000" w:themeColor="text1"/>
          <w:highlight w:val="none"/>
          <w14:textFill>
            <w14:solidFill>
              <w14:schemeClr w14:val="tx1"/>
            </w14:solidFill>
          </w14:textFill>
        </w:rPr>
      </w:pPr>
    </w:p>
    <w:p w14:paraId="257C5C7E">
      <w:pPr>
        <w:pStyle w:val="3"/>
        <w:spacing w:line="271" w:lineRule="auto"/>
        <w:rPr>
          <w:color w:val="000000" w:themeColor="text1"/>
          <w:highlight w:val="none"/>
          <w14:textFill>
            <w14:solidFill>
              <w14:schemeClr w14:val="tx1"/>
            </w14:solidFill>
          </w14:textFill>
        </w:rPr>
      </w:pPr>
    </w:p>
    <w:p w14:paraId="24181182">
      <w:pPr>
        <w:pStyle w:val="3"/>
        <w:spacing w:line="271" w:lineRule="auto"/>
        <w:rPr>
          <w:color w:val="000000" w:themeColor="text1"/>
          <w:highlight w:val="none"/>
          <w14:textFill>
            <w14:solidFill>
              <w14:schemeClr w14:val="tx1"/>
            </w14:solidFill>
          </w14:textFill>
        </w:rPr>
      </w:pPr>
    </w:p>
    <w:p w14:paraId="4A879620">
      <w:pPr>
        <w:spacing w:before="234" w:line="220" w:lineRule="auto"/>
        <w:ind w:left="3129"/>
        <w:rPr>
          <w:rFonts w:ascii="宋体" w:hAnsi="宋体" w:eastAsia="宋体" w:cs="宋体"/>
          <w:color w:val="000000" w:themeColor="text1"/>
          <w:sz w:val="72"/>
          <w:szCs w:val="72"/>
          <w:highlight w:val="none"/>
          <w14:textFill>
            <w14:solidFill>
              <w14:schemeClr w14:val="tx1"/>
            </w14:solidFill>
          </w14:textFill>
        </w:rPr>
      </w:pPr>
      <w:r>
        <w:rPr>
          <w:rFonts w:ascii="宋体" w:hAnsi="宋体" w:eastAsia="宋体" w:cs="宋体"/>
          <w:b/>
          <w:bCs/>
          <w:color w:val="000000" w:themeColor="text1"/>
          <w:spacing w:val="-14"/>
          <w:sz w:val="72"/>
          <w:szCs w:val="72"/>
          <w:highlight w:val="none"/>
          <w14:textFill>
            <w14:solidFill>
              <w14:schemeClr w14:val="tx1"/>
            </w14:solidFill>
          </w14:textFill>
        </w:rPr>
        <w:t>投标文件</w:t>
      </w:r>
    </w:p>
    <w:p w14:paraId="475E0C39">
      <w:pPr>
        <w:spacing w:before="377" w:line="222" w:lineRule="auto"/>
        <w:ind w:left="1930"/>
        <w:outlineLvl w:val="0"/>
        <w:rPr>
          <w:rFonts w:ascii="宋体" w:hAnsi="宋体" w:eastAsia="宋体" w:cs="宋体"/>
          <w:color w:val="000000" w:themeColor="text1"/>
          <w:sz w:val="43"/>
          <w:szCs w:val="43"/>
          <w:highlight w:val="none"/>
          <w14:textFill>
            <w14:solidFill>
              <w14:schemeClr w14:val="tx1"/>
            </w14:solidFill>
          </w14:textFill>
        </w:rPr>
      </w:pPr>
      <w:bookmarkStart w:id="454" w:name="_Toc29408"/>
      <w:r>
        <w:rPr>
          <w:rFonts w:ascii="宋体" w:hAnsi="宋体" w:eastAsia="宋体" w:cs="宋体"/>
          <w:color w:val="000000" w:themeColor="text1"/>
          <w:spacing w:val="3"/>
          <w:sz w:val="43"/>
          <w:szCs w:val="43"/>
          <w:highlight w:val="none"/>
          <w14:textFill>
            <w14:solidFill>
              <w14:schemeClr w14:val="tx1"/>
            </w14:solidFill>
          </w14:textFill>
        </w:rPr>
        <w:t>（第二个信封：</w:t>
      </w:r>
      <w:r>
        <w:rPr>
          <w:rFonts w:hint="eastAsia" w:ascii="宋体" w:hAnsi="宋体" w:eastAsia="宋体" w:cs="宋体"/>
          <w:color w:val="000000" w:themeColor="text1"/>
          <w:spacing w:val="3"/>
          <w:sz w:val="43"/>
          <w:szCs w:val="43"/>
          <w:highlight w:val="none"/>
          <w:lang w:val="en-US" w:eastAsia="zh-CN"/>
          <w14:textFill>
            <w14:solidFill>
              <w14:schemeClr w14:val="tx1"/>
            </w14:solidFill>
          </w14:textFill>
        </w:rPr>
        <w:t>定标</w:t>
      </w:r>
      <w:r>
        <w:rPr>
          <w:rFonts w:ascii="宋体" w:hAnsi="宋体" w:eastAsia="宋体" w:cs="宋体"/>
          <w:color w:val="000000" w:themeColor="text1"/>
          <w:spacing w:val="3"/>
          <w:sz w:val="43"/>
          <w:szCs w:val="43"/>
          <w:highlight w:val="none"/>
          <w14:textFill>
            <w14:solidFill>
              <w14:schemeClr w14:val="tx1"/>
            </w14:solidFill>
          </w14:textFill>
        </w:rPr>
        <w:t>文件）</w:t>
      </w:r>
      <w:bookmarkEnd w:id="454"/>
    </w:p>
    <w:p w14:paraId="5F9CD1EF">
      <w:pPr>
        <w:pStyle w:val="3"/>
        <w:spacing w:line="244" w:lineRule="auto"/>
        <w:rPr>
          <w:color w:val="000000" w:themeColor="text1"/>
          <w:highlight w:val="none"/>
          <w14:textFill>
            <w14:solidFill>
              <w14:schemeClr w14:val="tx1"/>
            </w14:solidFill>
          </w14:textFill>
        </w:rPr>
      </w:pPr>
    </w:p>
    <w:p w14:paraId="295F385C">
      <w:pPr>
        <w:pStyle w:val="3"/>
        <w:spacing w:line="244" w:lineRule="auto"/>
        <w:rPr>
          <w:color w:val="000000" w:themeColor="text1"/>
          <w:highlight w:val="none"/>
          <w14:textFill>
            <w14:solidFill>
              <w14:schemeClr w14:val="tx1"/>
            </w14:solidFill>
          </w14:textFill>
        </w:rPr>
      </w:pPr>
    </w:p>
    <w:p w14:paraId="7ADF1C63">
      <w:pPr>
        <w:pStyle w:val="3"/>
        <w:spacing w:line="244" w:lineRule="auto"/>
        <w:rPr>
          <w:color w:val="000000" w:themeColor="text1"/>
          <w:highlight w:val="none"/>
          <w14:textFill>
            <w14:solidFill>
              <w14:schemeClr w14:val="tx1"/>
            </w14:solidFill>
          </w14:textFill>
        </w:rPr>
      </w:pPr>
    </w:p>
    <w:p w14:paraId="3E14CC22">
      <w:pPr>
        <w:pStyle w:val="3"/>
        <w:spacing w:line="244" w:lineRule="auto"/>
        <w:rPr>
          <w:color w:val="000000" w:themeColor="text1"/>
          <w:highlight w:val="none"/>
          <w14:textFill>
            <w14:solidFill>
              <w14:schemeClr w14:val="tx1"/>
            </w14:solidFill>
          </w14:textFill>
        </w:rPr>
      </w:pPr>
    </w:p>
    <w:p w14:paraId="2FE69CE8">
      <w:pPr>
        <w:pStyle w:val="3"/>
        <w:spacing w:line="244" w:lineRule="auto"/>
        <w:rPr>
          <w:color w:val="000000" w:themeColor="text1"/>
          <w:highlight w:val="none"/>
          <w14:textFill>
            <w14:solidFill>
              <w14:schemeClr w14:val="tx1"/>
            </w14:solidFill>
          </w14:textFill>
        </w:rPr>
      </w:pPr>
    </w:p>
    <w:p w14:paraId="061A27FC">
      <w:pPr>
        <w:pStyle w:val="3"/>
        <w:spacing w:line="244" w:lineRule="auto"/>
        <w:rPr>
          <w:color w:val="000000" w:themeColor="text1"/>
          <w:highlight w:val="none"/>
          <w14:textFill>
            <w14:solidFill>
              <w14:schemeClr w14:val="tx1"/>
            </w14:solidFill>
          </w14:textFill>
        </w:rPr>
      </w:pPr>
    </w:p>
    <w:p w14:paraId="38E57D6C">
      <w:pPr>
        <w:pStyle w:val="3"/>
        <w:spacing w:line="244" w:lineRule="auto"/>
        <w:rPr>
          <w:color w:val="000000" w:themeColor="text1"/>
          <w:highlight w:val="none"/>
          <w14:textFill>
            <w14:solidFill>
              <w14:schemeClr w14:val="tx1"/>
            </w14:solidFill>
          </w14:textFill>
        </w:rPr>
      </w:pPr>
    </w:p>
    <w:p w14:paraId="6665BD4A">
      <w:pPr>
        <w:pStyle w:val="3"/>
        <w:spacing w:line="244" w:lineRule="auto"/>
        <w:rPr>
          <w:color w:val="000000" w:themeColor="text1"/>
          <w:highlight w:val="none"/>
          <w14:textFill>
            <w14:solidFill>
              <w14:schemeClr w14:val="tx1"/>
            </w14:solidFill>
          </w14:textFill>
        </w:rPr>
      </w:pPr>
    </w:p>
    <w:p w14:paraId="0AD41453">
      <w:pPr>
        <w:pStyle w:val="3"/>
        <w:spacing w:line="244" w:lineRule="auto"/>
        <w:rPr>
          <w:color w:val="000000" w:themeColor="text1"/>
          <w:highlight w:val="none"/>
          <w14:textFill>
            <w14:solidFill>
              <w14:schemeClr w14:val="tx1"/>
            </w14:solidFill>
          </w14:textFill>
        </w:rPr>
      </w:pPr>
    </w:p>
    <w:p w14:paraId="3555FA21">
      <w:pPr>
        <w:pStyle w:val="3"/>
        <w:spacing w:line="244" w:lineRule="auto"/>
        <w:rPr>
          <w:color w:val="000000" w:themeColor="text1"/>
          <w:highlight w:val="none"/>
          <w14:textFill>
            <w14:solidFill>
              <w14:schemeClr w14:val="tx1"/>
            </w14:solidFill>
          </w14:textFill>
        </w:rPr>
      </w:pPr>
    </w:p>
    <w:p w14:paraId="0B97261D">
      <w:pPr>
        <w:pStyle w:val="3"/>
        <w:spacing w:line="245" w:lineRule="auto"/>
        <w:rPr>
          <w:color w:val="000000" w:themeColor="text1"/>
          <w:highlight w:val="none"/>
          <w14:textFill>
            <w14:solidFill>
              <w14:schemeClr w14:val="tx1"/>
            </w14:solidFill>
          </w14:textFill>
        </w:rPr>
      </w:pPr>
    </w:p>
    <w:p w14:paraId="48410719">
      <w:pPr>
        <w:pStyle w:val="3"/>
        <w:spacing w:line="245" w:lineRule="auto"/>
        <w:rPr>
          <w:color w:val="000000" w:themeColor="text1"/>
          <w:highlight w:val="none"/>
          <w14:textFill>
            <w14:solidFill>
              <w14:schemeClr w14:val="tx1"/>
            </w14:solidFill>
          </w14:textFill>
        </w:rPr>
      </w:pPr>
    </w:p>
    <w:p w14:paraId="6C8C3ECE">
      <w:pPr>
        <w:pStyle w:val="3"/>
        <w:spacing w:line="245" w:lineRule="auto"/>
        <w:rPr>
          <w:color w:val="000000" w:themeColor="text1"/>
          <w:highlight w:val="none"/>
          <w14:textFill>
            <w14:solidFill>
              <w14:schemeClr w14:val="tx1"/>
            </w14:solidFill>
          </w14:textFill>
        </w:rPr>
      </w:pPr>
    </w:p>
    <w:p w14:paraId="725A0182">
      <w:pPr>
        <w:spacing w:before="98" w:line="219" w:lineRule="auto"/>
        <w:ind w:left="1401"/>
        <w:rPr>
          <w:rFonts w:ascii="宋体" w:hAnsi="宋体" w:eastAsia="宋体" w:cs="宋体"/>
          <w:color w:val="000000" w:themeColor="text1"/>
          <w:sz w:val="30"/>
          <w:szCs w:val="30"/>
          <w:highlight w:val="none"/>
          <w14:textFill>
            <w14:solidFill>
              <w14:schemeClr w14:val="tx1"/>
            </w14:solidFill>
          </w14:textFill>
        </w:rPr>
      </w:pPr>
      <w:r>
        <w:rPr>
          <w:rFonts w:ascii="宋体" w:hAnsi="宋体" w:eastAsia="宋体" w:cs="宋体"/>
          <w:color w:val="000000" w:themeColor="text1"/>
          <w:spacing w:val="-4"/>
          <w:sz w:val="30"/>
          <w:szCs w:val="30"/>
          <w:highlight w:val="none"/>
          <w14:textFill>
            <w14:solidFill>
              <w14:schemeClr w14:val="tx1"/>
            </w14:solidFill>
          </w14:textFill>
        </w:rPr>
        <w:t>投标人</w:t>
      </w:r>
      <w:r>
        <w:rPr>
          <w:rFonts w:ascii="宋体" w:hAnsi="宋体" w:eastAsia="宋体" w:cs="宋体"/>
          <w:color w:val="000000" w:themeColor="text1"/>
          <w:spacing w:val="-1"/>
          <w:sz w:val="30"/>
          <w:szCs w:val="30"/>
          <w:highlight w:val="none"/>
          <w14:textFill>
            <w14:solidFill>
              <w14:schemeClr w14:val="tx1"/>
            </w14:solidFill>
          </w14:textFill>
        </w:rPr>
        <w:t>：</w:t>
      </w:r>
      <w:r>
        <w:rPr>
          <w:rFonts w:ascii="宋体" w:hAnsi="宋体" w:eastAsia="宋体" w:cs="宋体"/>
          <w:color w:val="000000" w:themeColor="text1"/>
          <w:sz w:val="30"/>
          <w:szCs w:val="30"/>
          <w:highlight w:val="none"/>
          <w:u w:val="single" w:color="auto"/>
          <w14:textFill>
            <w14:solidFill>
              <w14:schemeClr w14:val="tx1"/>
            </w14:solidFill>
          </w14:textFill>
        </w:rPr>
        <w:t xml:space="preserve">                      </w:t>
      </w:r>
      <w:r>
        <w:rPr>
          <w:rFonts w:ascii="宋体" w:hAnsi="宋体" w:eastAsia="宋体" w:cs="宋体"/>
          <w:color w:val="000000" w:themeColor="text1"/>
          <w:spacing w:val="-1"/>
          <w:sz w:val="30"/>
          <w:szCs w:val="30"/>
          <w:highlight w:val="none"/>
          <w14:textFill>
            <w14:solidFill>
              <w14:schemeClr w14:val="tx1"/>
            </w14:solidFill>
          </w14:textFill>
        </w:rPr>
        <w:t>（</w:t>
      </w:r>
      <w:r>
        <w:rPr>
          <w:rFonts w:ascii="宋体" w:hAnsi="宋体" w:eastAsia="宋体" w:cs="宋体"/>
          <w:color w:val="000000" w:themeColor="text1"/>
          <w:spacing w:val="-4"/>
          <w:sz w:val="30"/>
          <w:szCs w:val="30"/>
          <w:highlight w:val="none"/>
          <w14:textFill>
            <w14:solidFill>
              <w14:schemeClr w14:val="tx1"/>
            </w14:solidFill>
          </w14:textFill>
        </w:rPr>
        <w:t>盖单位章）</w:t>
      </w:r>
    </w:p>
    <w:p w14:paraId="0E6A3E6B">
      <w:pPr>
        <w:tabs>
          <w:tab w:val="left" w:pos="3786"/>
        </w:tabs>
        <w:spacing w:before="268" w:line="220" w:lineRule="auto"/>
        <w:ind w:left="3186"/>
        <w:rPr>
          <w:rFonts w:ascii="宋体" w:hAnsi="宋体" w:eastAsia="宋体" w:cs="宋体"/>
          <w:color w:val="000000" w:themeColor="text1"/>
          <w:spacing w:val="-11"/>
          <w:sz w:val="30"/>
          <w:szCs w:val="30"/>
          <w:highlight w:val="none"/>
          <w14:textFill>
            <w14:solidFill>
              <w14:schemeClr w14:val="tx1"/>
            </w14:solidFill>
          </w14:textFill>
        </w:rPr>
      </w:pPr>
      <w:r>
        <w:rPr>
          <w:rFonts w:ascii="宋体" w:hAnsi="宋体" w:eastAsia="宋体" w:cs="宋体"/>
          <w:color w:val="000000" w:themeColor="text1"/>
          <w:sz w:val="30"/>
          <w:szCs w:val="30"/>
          <w:highlight w:val="none"/>
          <w:u w:val="single" w:color="auto"/>
          <w14:textFill>
            <w14:solidFill>
              <w14:schemeClr w14:val="tx1"/>
            </w14:solidFill>
          </w14:textFill>
        </w:rPr>
        <w:tab/>
      </w:r>
      <w:r>
        <w:rPr>
          <w:rFonts w:ascii="宋体" w:hAnsi="宋体" w:eastAsia="宋体" w:cs="宋体"/>
          <w:color w:val="000000" w:themeColor="text1"/>
          <w:spacing w:val="-137"/>
          <w:sz w:val="30"/>
          <w:szCs w:val="30"/>
          <w:highlight w:val="none"/>
          <w14:textFill>
            <w14:solidFill>
              <w14:schemeClr w14:val="tx1"/>
            </w14:solidFill>
          </w14:textFill>
        </w:rPr>
        <w:t xml:space="preserve"> </w:t>
      </w:r>
      <w:r>
        <w:rPr>
          <w:rFonts w:ascii="宋体" w:hAnsi="宋体" w:eastAsia="宋体" w:cs="宋体"/>
          <w:color w:val="000000" w:themeColor="text1"/>
          <w:spacing w:val="-11"/>
          <w:sz w:val="30"/>
          <w:szCs w:val="30"/>
          <w:highlight w:val="none"/>
          <w14:textFill>
            <w14:solidFill>
              <w14:schemeClr w14:val="tx1"/>
            </w14:solidFill>
          </w14:textFill>
        </w:rPr>
        <w:t>年</w:t>
      </w:r>
      <w:r>
        <w:rPr>
          <w:rFonts w:ascii="宋体" w:hAnsi="宋体" w:eastAsia="宋体" w:cs="宋体"/>
          <w:color w:val="000000" w:themeColor="text1"/>
          <w:sz w:val="30"/>
          <w:szCs w:val="30"/>
          <w:highlight w:val="none"/>
          <w:u w:val="single" w:color="auto"/>
          <w14:textFill>
            <w14:solidFill>
              <w14:schemeClr w14:val="tx1"/>
            </w14:solidFill>
          </w14:textFill>
        </w:rPr>
        <w:t xml:space="preserve">    </w:t>
      </w:r>
      <w:r>
        <w:rPr>
          <w:rFonts w:ascii="宋体" w:hAnsi="宋体" w:eastAsia="宋体" w:cs="宋体"/>
          <w:color w:val="000000" w:themeColor="text1"/>
          <w:spacing w:val="-131"/>
          <w:sz w:val="30"/>
          <w:szCs w:val="30"/>
          <w:highlight w:val="none"/>
          <w14:textFill>
            <w14:solidFill>
              <w14:schemeClr w14:val="tx1"/>
            </w14:solidFill>
          </w14:textFill>
        </w:rPr>
        <w:t xml:space="preserve"> </w:t>
      </w:r>
      <w:r>
        <w:rPr>
          <w:rFonts w:ascii="宋体" w:hAnsi="宋体" w:eastAsia="宋体" w:cs="宋体"/>
          <w:color w:val="000000" w:themeColor="text1"/>
          <w:spacing w:val="-11"/>
          <w:sz w:val="30"/>
          <w:szCs w:val="30"/>
          <w:highlight w:val="none"/>
          <w14:textFill>
            <w14:solidFill>
              <w14:schemeClr w14:val="tx1"/>
            </w14:solidFill>
          </w14:textFill>
        </w:rPr>
        <w:t>月</w:t>
      </w:r>
      <w:r>
        <w:rPr>
          <w:rFonts w:ascii="宋体" w:hAnsi="宋体" w:eastAsia="宋体" w:cs="宋体"/>
          <w:color w:val="000000" w:themeColor="text1"/>
          <w:sz w:val="30"/>
          <w:szCs w:val="30"/>
          <w:highlight w:val="none"/>
          <w:u w:val="single" w:color="auto"/>
          <w14:textFill>
            <w14:solidFill>
              <w14:schemeClr w14:val="tx1"/>
            </w14:solidFill>
          </w14:textFill>
        </w:rPr>
        <w:t xml:space="preserve">    </w:t>
      </w:r>
      <w:r>
        <w:rPr>
          <w:rFonts w:ascii="宋体" w:hAnsi="宋体" w:eastAsia="宋体" w:cs="宋体"/>
          <w:color w:val="000000" w:themeColor="text1"/>
          <w:spacing w:val="-87"/>
          <w:sz w:val="30"/>
          <w:szCs w:val="30"/>
          <w:highlight w:val="none"/>
          <w14:textFill>
            <w14:solidFill>
              <w14:schemeClr w14:val="tx1"/>
            </w14:solidFill>
          </w14:textFill>
        </w:rPr>
        <w:t xml:space="preserve"> </w:t>
      </w:r>
      <w:r>
        <w:rPr>
          <w:rFonts w:ascii="宋体" w:hAnsi="宋体" w:eastAsia="宋体" w:cs="宋体"/>
          <w:color w:val="000000" w:themeColor="text1"/>
          <w:spacing w:val="-11"/>
          <w:sz w:val="30"/>
          <w:szCs w:val="30"/>
          <w:highlight w:val="none"/>
          <w14:textFill>
            <w14:solidFill>
              <w14:schemeClr w14:val="tx1"/>
            </w14:solidFill>
          </w14:textFill>
        </w:rPr>
        <w:t>日</w:t>
      </w:r>
    </w:p>
    <w:p w14:paraId="75BA4715">
      <w:pPr>
        <w:tabs>
          <w:tab w:val="left" w:pos="3786"/>
        </w:tabs>
        <w:spacing w:before="268" w:line="220" w:lineRule="auto"/>
        <w:ind w:left="3186"/>
        <w:rPr>
          <w:rFonts w:ascii="宋体" w:hAnsi="宋体" w:eastAsia="宋体" w:cs="宋体"/>
          <w:color w:val="000000" w:themeColor="text1"/>
          <w:spacing w:val="-11"/>
          <w:sz w:val="30"/>
          <w:szCs w:val="30"/>
          <w:highlight w:val="none"/>
          <w14:textFill>
            <w14:solidFill>
              <w14:schemeClr w14:val="tx1"/>
            </w14:solidFill>
          </w14:textFill>
        </w:rPr>
      </w:pPr>
      <w:r>
        <w:rPr>
          <w:rFonts w:ascii="宋体" w:hAnsi="宋体" w:eastAsia="宋体" w:cs="宋体"/>
          <w:color w:val="000000" w:themeColor="text1"/>
          <w:spacing w:val="-11"/>
          <w:sz w:val="30"/>
          <w:szCs w:val="30"/>
          <w:highlight w:val="none"/>
          <w14:textFill>
            <w14:solidFill>
              <w14:schemeClr w14:val="tx1"/>
            </w14:solidFill>
          </w14:textFill>
        </w:rPr>
        <w:br w:type="page"/>
      </w:r>
    </w:p>
    <w:p w14:paraId="580D429B">
      <w:pPr>
        <w:tabs>
          <w:tab w:val="left" w:pos="3786"/>
        </w:tabs>
        <w:spacing w:before="268" w:line="220" w:lineRule="auto"/>
        <w:ind w:left="3186"/>
        <w:rPr>
          <w:rFonts w:ascii="宋体" w:hAnsi="宋体" w:eastAsia="宋体" w:cs="宋体"/>
          <w:color w:val="000000" w:themeColor="text1"/>
          <w:spacing w:val="-11"/>
          <w:sz w:val="30"/>
          <w:szCs w:val="30"/>
          <w:highlight w:val="none"/>
          <w14:textFill>
            <w14:solidFill>
              <w14:schemeClr w14:val="tx1"/>
            </w14:solidFill>
          </w14:textFill>
        </w:rPr>
      </w:pPr>
    </w:p>
    <w:p w14:paraId="260AD77B">
      <w:pPr>
        <w:tabs>
          <w:tab w:val="left" w:pos="3786"/>
        </w:tabs>
        <w:spacing w:before="268" w:line="220" w:lineRule="auto"/>
        <w:jc w:val="center"/>
        <w:rPr>
          <w:rFonts w:ascii="宋体" w:hAnsi="宋体" w:eastAsia="宋体" w:cs="宋体"/>
          <w:color w:val="000000" w:themeColor="text1"/>
          <w:spacing w:val="-11"/>
          <w:sz w:val="30"/>
          <w:szCs w:val="30"/>
          <w:highlight w:val="none"/>
          <w14:textFill>
            <w14:solidFill>
              <w14:schemeClr w14:val="tx1"/>
            </w14:solidFill>
          </w14:textFill>
        </w:rPr>
      </w:pPr>
    </w:p>
    <w:p w14:paraId="20C56D6F">
      <w:pPr>
        <w:tabs>
          <w:tab w:val="left" w:pos="3786"/>
        </w:tabs>
        <w:spacing w:before="268" w:line="220" w:lineRule="auto"/>
        <w:jc w:val="center"/>
        <w:rPr>
          <w:rFonts w:hint="default" w:ascii="宋体" w:hAnsi="宋体" w:eastAsia="宋体" w:cs="宋体"/>
          <w:color w:val="000000" w:themeColor="text1"/>
          <w:sz w:val="30"/>
          <w:szCs w:val="30"/>
          <w:highlight w:val="none"/>
          <w:lang w:val="en-US" w:eastAsia="zh-CN"/>
          <w14:textFill>
            <w14:solidFill>
              <w14:schemeClr w14:val="tx1"/>
            </w14:solidFill>
          </w14:textFill>
        </w:rPr>
      </w:pPr>
      <w:r>
        <w:rPr>
          <w:rFonts w:hint="eastAsia" w:ascii="宋体" w:hAnsi="宋体" w:eastAsia="宋体" w:cs="宋体"/>
          <w:color w:val="000000" w:themeColor="text1"/>
          <w:spacing w:val="-11"/>
          <w:sz w:val="30"/>
          <w:szCs w:val="30"/>
          <w:highlight w:val="none"/>
          <w:lang w:val="en-US" w:eastAsia="zh-CN"/>
          <w14:textFill>
            <w14:solidFill>
              <w14:schemeClr w14:val="tx1"/>
            </w14:solidFill>
          </w14:textFill>
        </w:rPr>
        <w:t>定标资料（按照定标因素自行提供）</w:t>
      </w:r>
    </w:p>
    <w:p w14:paraId="48D33B3F">
      <w:pPr>
        <w:pStyle w:val="70"/>
        <w:rPr>
          <w:rFonts w:ascii="宋体" w:cs="宋体"/>
          <w:color w:val="000000" w:themeColor="text1"/>
          <w:sz w:val="24"/>
          <w:highlight w:val="none"/>
          <w14:textFill>
            <w14:solidFill>
              <w14:schemeClr w14:val="tx1"/>
            </w14:solidFill>
          </w14:textFill>
        </w:rPr>
      </w:pPr>
    </w:p>
    <w:p w14:paraId="74696511">
      <w:pPr>
        <w:pStyle w:val="70"/>
        <w:rPr>
          <w:rFonts w:ascii="宋体" w:cs="宋体"/>
          <w:color w:val="000000" w:themeColor="text1"/>
          <w:sz w:val="24"/>
          <w:highlight w:val="none"/>
          <w14:textFill>
            <w14:solidFill>
              <w14:schemeClr w14:val="tx1"/>
            </w14:solidFill>
          </w14:textFill>
        </w:rPr>
      </w:pPr>
    </w:p>
    <w:sectPr>
      <w:footerReference r:id="rId133" w:type="first"/>
      <w:headerReference r:id="rId131" w:type="default"/>
      <w:footerReference r:id="rId132" w:type="default"/>
      <w:pgSz w:w="11906" w:h="16838"/>
      <w:pgMar w:top="947" w:right="1123"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MingLiU">
    <w:altName w:val="幼圆"/>
    <w:panose1 w:val="02010609000101010101"/>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D665D">
    <w:pPr>
      <w:pStyle w:val="2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1905"/>
              <wp:wrapNone/>
              <wp:docPr id="40847210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4E8A6557">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OfwpGYSAgAACgQAAA4AAAAAAAAAAQAg&#10;AAAAHwEAAGRycy9lMm9Eb2MueG1sUEsFBgAAAAAGAAYAWQEAAKMFAAAAAA==&#10;">
              <v:fill on="f" focussize="0,0"/>
              <v:stroke on="f"/>
              <v:imagedata o:title=""/>
              <o:lock v:ext="edit" aspectratio="f"/>
              <v:textbox inset="0mm,0mm,0mm,0mm" style="mso-fit-shape-to-text:t;">
                <w:txbxContent>
                  <w:p w14:paraId="4E8A6557">
                    <w:pPr>
                      <w:snapToGrid w:val="0"/>
                      <w:rPr>
                        <w:sz w:val="18"/>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B07C0">
    <w:pPr>
      <w:widowControl/>
      <w:kinsoku w:val="0"/>
      <w:autoSpaceDE w:val="0"/>
      <w:autoSpaceDN w:val="0"/>
      <w:adjustRightInd w:val="0"/>
      <w:snapToGrid w:val="0"/>
      <w:spacing w:line="229" w:lineRule="auto"/>
      <w:ind w:left="4456"/>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95477614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93BA0B5">
                          <w:pPr>
                            <w:pStyle w:val="29"/>
                          </w:pPr>
                          <w:r>
                            <w:fldChar w:fldCharType="begin"/>
                          </w:r>
                          <w:r>
                            <w:instrText xml:space="preserve"> PAGE  \* MERGEFORMAT </w:instrText>
                          </w:r>
                          <w:r>
                            <w:fldChar w:fldCharType="separate"/>
                          </w:r>
                          <w:r>
                            <w:t>10</w:t>
                          </w:r>
                          <w:r>
                            <w:fldChar w:fldCharType="end"/>
                          </w:r>
                        </w:p>
                      </w:txbxContent>
                    </wps:txbx>
                    <wps:bodyPr rot="0" vert="horz" wrap="none" lIns="0" tIns="0" rIns="0" bIns="0" anchor="t" anchorCtr="0" upright="1">
                      <a:spAutoFit/>
                    </wps:bodyPr>
                  </wps:wsp>
                </a:graphicData>
              </a:graphic>
            </wp:anchor>
          </w:drawing>
        </mc:Choice>
        <mc:Fallback>
          <w:pict>
            <v:shape id="文本框 295"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AVy8JgQAgAADgQAAA4AAAAAAAAAAQAgAAAA&#10;HgEAAGRycy9lMm9Eb2MueG1sUEsFBgAAAAAGAAYAWQEAAKAFAAAAAA==&#10;">
              <v:fill on="f" focussize="0,0"/>
              <v:stroke on="f"/>
              <v:imagedata o:title=""/>
              <o:lock v:ext="edit" aspectratio="f"/>
              <v:textbox inset="0mm,0mm,0mm,0mm" style="mso-fit-shape-to-text:t;">
                <w:txbxContent>
                  <w:p w14:paraId="493BA0B5">
                    <w:pPr>
                      <w:pStyle w:val="2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A046E">
    <w:pPr>
      <w:spacing w:line="229" w:lineRule="auto"/>
      <w:ind w:left="4569"/>
      <w:rPr>
        <w:rFonts w:hint="eastAsia" w:ascii="宋体" w:hAnsi="宋体" w:cs="宋体"/>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50179817"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06FED85">
                          <w:pPr>
                            <w:pStyle w:val="29"/>
                          </w:pPr>
                          <w:r>
                            <w:fldChar w:fldCharType="begin"/>
                          </w:r>
                          <w:r>
                            <w:instrText xml:space="preserve"> PAGE  \* MERGEFORMAT </w:instrText>
                          </w:r>
                          <w:r>
                            <w:fldChar w:fldCharType="separate"/>
                          </w:r>
                          <w:r>
                            <w:t>29</w:t>
                          </w:r>
                          <w:r>
                            <w:fldChar w:fldCharType="end"/>
                          </w:r>
                        </w:p>
                      </w:txbxContent>
                    </wps:txbx>
                    <wps:bodyPr rot="0" vert="horz" wrap="none" lIns="0" tIns="0" rIns="0" bIns="0" anchor="t" anchorCtr="0" upright="1">
                      <a:spAutoFit/>
                    </wps:bodyPr>
                  </wps:wsp>
                </a:graphicData>
              </a:graphic>
            </wp:anchor>
          </w:drawing>
        </mc:Choice>
        <mc:Fallback>
          <w:pict>
            <v:shape id="文本框 29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&#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vgkYDgIAAA4EAAAOAAAAAAAAAAEAIAAAAB4B&#10;AABkcnMvZTJvRG9jLnhtbFBLBQYAAAAABgAGAFkBAACeBQAAAAA=&#10;">
              <v:fill on="f" focussize="0,0"/>
              <v:stroke on="f"/>
              <v:imagedata o:title=""/>
              <o:lock v:ext="edit" aspectratio="f"/>
              <v:textbox inset="0mm,0mm,0mm,0mm" style="mso-fit-shape-to-text:t;">
                <w:txbxContent>
                  <w:p w14:paraId="506FED85">
                    <w:pPr>
                      <w:pStyle w:val="2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042F3">
    <w:pPr>
      <w:spacing w:line="229" w:lineRule="auto"/>
      <w:ind w:left="4420"/>
      <w:rPr>
        <w:rFonts w:ascii="宋体" w:hAnsi="宋体" w:eastAsia="宋体" w:cs="宋体"/>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posOffset>2823210</wp:posOffset>
              </wp:positionH>
              <wp:positionV relativeFrom="paragraph">
                <wp:posOffset>0</wp:posOffset>
              </wp:positionV>
              <wp:extent cx="20891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08915" cy="131445"/>
                      </a:xfrm>
                      <a:prstGeom prst="rect">
                        <a:avLst/>
                      </a:prstGeom>
                      <a:noFill/>
                      <a:ln>
                        <a:noFill/>
                      </a:ln>
                    </wps:spPr>
                    <wps:txbx>
                      <w:txbxContent>
                        <w:p w14:paraId="271D1C8D">
                          <w:pPr>
                            <w:pStyle w:val="29"/>
                          </w:pPr>
                          <w:r>
                            <w:fldChar w:fldCharType="begin"/>
                          </w:r>
                          <w:r>
                            <w:instrText xml:space="preserve"> PAGE  \* MERGEFORMAT </w:instrText>
                          </w:r>
                          <w:r>
                            <w:fldChar w:fldCharType="separate"/>
                          </w:r>
                          <w:r>
                            <w:t>55</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22.3pt;margin-top:0pt;height:10.35pt;width:16.45pt;mso-position-horizontal-relative:margin;z-index:251721728;mso-width-relative:page;mso-height-relative:page;" filled="f" stroked="f" coordsize="21600,21600" o:gfxdata="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BFOYNcAAAAHAQAADwAAAAAAAAABACAAAAAiAAAAZHJzL2Rvd25yZXYueG1sUEsBAhQA&#10;FAAAAAgAh07iQKVGtPu6AQAAcQMAAA4AAAAAAAAAAQAgAAAAJgEAAGRycy9lMm9Eb2MueG1sUEsF&#10;BgAAAAAGAAYAWQEAAFIFAAAAAA==&#10;">
              <v:fill on="f" focussize="0,0"/>
              <v:stroke on="f"/>
              <v:imagedata o:title=""/>
              <o:lock v:ext="edit" aspectratio="f"/>
              <v:textbox inset="0mm,0mm,0mm,0mm">
                <w:txbxContent>
                  <w:p w14:paraId="271D1C8D">
                    <w:pPr>
                      <w:pStyle w:val="2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C483B">
    <w:pPr>
      <w:pStyle w:val="29"/>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7009100"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304163D">
                          <w:pPr>
                            <w:pStyle w:val="29"/>
                          </w:pPr>
                          <w:r>
                            <w:fldChar w:fldCharType="begin"/>
                          </w:r>
                          <w:r>
                            <w:instrText xml:space="preserve"> PAGE  \* MERGEFORMAT </w:instrText>
                          </w:r>
                          <w:r>
                            <w:fldChar w:fldCharType="separate"/>
                          </w:r>
                          <w:r>
                            <w:t>51</w:t>
                          </w:r>
                          <w:r>
                            <w:fldChar w:fldCharType="end"/>
                          </w:r>
                        </w:p>
                      </w:txbxContent>
                    </wps:txbx>
                    <wps:bodyPr rot="0" vert="horz" wrap="none" lIns="0" tIns="0" rIns="0" bIns="0" anchor="t" anchorCtr="0" upright="1">
                      <a:spAutoFit/>
                    </wps:bodyPr>
                  </wps:wsp>
                </a:graphicData>
              </a:graphic>
            </wp:anchor>
          </w:drawing>
        </mc:Choice>
        <mc:Fallback>
          <w:pict>
            <v:shape id="文本框 297"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CjNt0DgIAAA4EAAAOAAAAAAAAAAEAIAAAAB4B&#10;AABkcnMvZTJvRG9jLnhtbFBLBQYAAAAABgAGAFkBAACeBQAAAAA=&#10;">
              <v:fill on="f" focussize="0,0"/>
              <v:stroke on="f"/>
              <v:imagedata o:title=""/>
              <o:lock v:ext="edit" aspectratio="f"/>
              <v:textbox inset="0mm,0mm,0mm,0mm" style="mso-fit-shape-to-text:t;">
                <w:txbxContent>
                  <w:p w14:paraId="5304163D">
                    <w:pPr>
                      <w:pStyle w:val="2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D2262">
    <w:pPr>
      <w:pStyle w:val="29"/>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6946024" name="文本框 29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87047B5">
                          <w:pPr>
                            <w:pStyle w:val="29"/>
                          </w:pPr>
                          <w:r>
                            <w:fldChar w:fldCharType="begin"/>
                          </w:r>
                          <w:r>
                            <w:instrText xml:space="preserve"> PAGE  \* MERGEFORMAT </w:instrText>
                          </w:r>
                          <w:r>
                            <w:fldChar w:fldCharType="separate"/>
                          </w:r>
                          <w:r>
                            <w:t>143</w:t>
                          </w:r>
                          <w:r>
                            <w:fldChar w:fldCharType="end"/>
                          </w:r>
                        </w:p>
                      </w:txbxContent>
                    </wps:txbx>
                    <wps:bodyPr rot="0" vert="horz" wrap="none" lIns="0" tIns="0" rIns="0" bIns="0" anchor="t" anchorCtr="0" upright="1">
                      <a:spAutoFit/>
                    </wps:bodyPr>
                  </wps:wsp>
                </a:graphicData>
              </a:graphic>
            </wp:anchor>
          </w:drawing>
        </mc:Choice>
        <mc:Fallback>
          <w:pict>
            <v:shape id="文本框 298"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s5j8sw8CAAAPBAAADgAAAAAAAAABACAAAAAe&#10;AQAAZHJzL2Uyb0RvYy54bWxQSwUGAAAAAAYABgBZAQAAnwUAAAAA&#10;">
              <v:fill on="f" focussize="0,0"/>
              <v:stroke on="f"/>
              <v:imagedata o:title=""/>
              <o:lock v:ext="edit" aspectratio="f"/>
              <v:textbox inset="0mm,0mm,0mm,0mm" style="mso-fit-shape-to-text:t;">
                <w:txbxContent>
                  <w:p w14:paraId="187047B5">
                    <w:pPr>
                      <w:pStyle w:val="29"/>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6F4B3">
    <w:pPr>
      <w:pStyle w:val="29"/>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2520921" name="文本框 29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CEDA30E">
                          <w:pPr>
                            <w:pStyle w:val="29"/>
                          </w:pPr>
                          <w:r>
                            <w:fldChar w:fldCharType="begin"/>
                          </w:r>
                          <w:r>
                            <w:instrText xml:space="preserve"> PAGE  \* MERGEFORMAT </w:instrText>
                          </w:r>
                          <w:r>
                            <w:fldChar w:fldCharType="separate"/>
                          </w:r>
                          <w:r>
                            <w:t>144</w:t>
                          </w:r>
                          <w:r>
                            <w:fldChar w:fldCharType="end"/>
                          </w:r>
                        </w:p>
                      </w:txbxContent>
                    </wps:txbx>
                    <wps:bodyPr rot="0" vert="horz" wrap="none" lIns="0" tIns="0" rIns="0" bIns="0" anchor="t" anchorCtr="0" upright="1">
                      <a:spAutoFit/>
                    </wps:bodyPr>
                  </wps:wsp>
                </a:graphicData>
              </a:graphic>
            </wp:anchor>
          </w:drawing>
        </mc:Choice>
        <mc:Fallback>
          <w:pict>
            <v:shape id="文本框 299"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Jw+36UNAgAADwQAAA4AAAAAAAAAAQAgAAAAHgEA&#10;AGRycy9lMm9Eb2MueG1sUEsFBgAAAAAGAAYAWQEAAJ0FAAAAAA==&#10;">
              <v:fill on="f" focussize="0,0"/>
              <v:stroke on="f"/>
              <v:imagedata o:title=""/>
              <o:lock v:ext="edit" aspectratio="f"/>
              <v:textbox inset="0mm,0mm,0mm,0mm" style="mso-fit-shape-to-text:t;">
                <w:txbxContent>
                  <w:p w14:paraId="0CEDA30E">
                    <w:pPr>
                      <w:pStyle w:val="29"/>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104E5">
    <w:pPr>
      <w:pStyle w:val="29"/>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98020144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18C1BE1">
                          <w:pPr>
                            <w:pStyle w:val="29"/>
                          </w:pPr>
                          <w:r>
                            <w:fldChar w:fldCharType="begin"/>
                          </w:r>
                          <w:r>
                            <w:instrText xml:space="preserve"> PAGE  \* MERGEFORMAT </w:instrText>
                          </w:r>
                          <w:r>
                            <w:fldChar w:fldCharType="separate"/>
                          </w:r>
                          <w:r>
                            <w:t>145</w:t>
                          </w:r>
                          <w:r>
                            <w:fldChar w:fldCharType="end"/>
                          </w:r>
                        </w:p>
                      </w:txbxContent>
                    </wps:txbx>
                    <wps:bodyPr rot="0" vert="horz" wrap="none" lIns="0" tIns="0" rIns="0" bIns="0" anchor="t" anchorCtr="0" upright="1">
                      <a:spAutoFit/>
                    </wps:bodyPr>
                  </wps:wsp>
                </a:graphicData>
              </a:graphic>
            </wp:anchor>
          </w:drawing>
        </mc:Choice>
        <mc:Fallback>
          <w:pict>
            <v:shape id="文本框 300"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MxAqnwNAgAADgQAAA4AAAAAAAAAAQAgAAAAHgEA&#10;AGRycy9lMm9Eb2MueG1sUEsFBgAAAAAGAAYAWQEAAJ0FAAAAAA==&#10;">
              <v:fill on="f" focussize="0,0"/>
              <v:stroke on="f"/>
              <v:imagedata o:title=""/>
              <o:lock v:ext="edit" aspectratio="f"/>
              <v:textbox inset="0mm,0mm,0mm,0mm" style="mso-fit-shape-to-text:t;">
                <w:txbxContent>
                  <w:p w14:paraId="118C1BE1">
                    <w:pPr>
                      <w:pStyle w:val="29"/>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D8226">
    <w:pPr>
      <w:pStyle w:val="29"/>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5969660"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1C17538">
                          <w:pPr>
                            <w:pStyle w:val="29"/>
                          </w:pPr>
                          <w:r>
                            <w:fldChar w:fldCharType="begin"/>
                          </w:r>
                          <w:r>
                            <w:instrText xml:space="preserve"> PAGE  \* MERGEFORMAT </w:instrText>
                          </w:r>
                          <w:r>
                            <w:fldChar w:fldCharType="separate"/>
                          </w:r>
                          <w:r>
                            <w:t>146</w:t>
                          </w:r>
                          <w:r>
                            <w:fldChar w:fldCharType="end"/>
                          </w:r>
                        </w:p>
                      </w:txbxContent>
                    </wps:txbx>
                    <wps:bodyPr rot="0" vert="horz" wrap="none" lIns="0" tIns="0" rIns="0" bIns="0" anchor="t" anchorCtr="0" upright="1">
                      <a:spAutoFit/>
                    </wps:bodyPr>
                  </wps:wsp>
                </a:graphicData>
              </a:graphic>
            </wp:anchor>
          </w:drawing>
        </mc:Choice>
        <mc:Fallback>
          <w:pict>
            <v:shape id="文本框 30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Ank8/cNAgAADwQAAA4AAAAAAAAAAQAgAAAAHgEA&#10;AGRycy9lMm9Eb2MueG1sUEsFBgAAAAAGAAYAWQEAAJ0FAAAAAA==&#10;">
              <v:fill on="f" focussize="0,0"/>
              <v:stroke on="f"/>
              <v:imagedata o:title=""/>
              <o:lock v:ext="edit" aspectratio="f"/>
              <v:textbox inset="0mm,0mm,0mm,0mm" style="mso-fit-shape-to-text:t;">
                <w:txbxContent>
                  <w:p w14:paraId="01C17538">
                    <w:pPr>
                      <w:pStyle w:val="29"/>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99485">
    <w:pPr>
      <w:pStyle w:val="29"/>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1159364" name="文本框 30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CC707A6">
                          <w:pPr>
                            <w:pStyle w:val="29"/>
                          </w:pPr>
                          <w:r>
                            <w:fldChar w:fldCharType="begin"/>
                          </w:r>
                          <w:r>
                            <w:instrText xml:space="preserve"> PAGE  \* MERGEFORMAT </w:instrText>
                          </w:r>
                          <w:r>
                            <w:fldChar w:fldCharType="separate"/>
                          </w:r>
                          <w:r>
                            <w:t>147</w:t>
                          </w:r>
                          <w:r>
                            <w:fldChar w:fldCharType="end"/>
                          </w:r>
                        </w:p>
                      </w:txbxContent>
                    </wps:txbx>
                    <wps:bodyPr rot="0" vert="horz" wrap="none" lIns="0" tIns="0" rIns="0" bIns="0" anchor="t" anchorCtr="0" upright="1">
                      <a:spAutoFit/>
                    </wps:bodyPr>
                  </wps:wsp>
                </a:graphicData>
              </a:graphic>
            </wp:anchor>
          </w:drawing>
        </mc:Choice>
        <mc:Fallback>
          <w:pict>
            <v:shape id="文本框 302"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&#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WygRRQ8CAAAOBAAADgAAAAAAAAABACAAAAAe&#10;AQAAZHJzL2Uyb0RvYy54bWxQSwUGAAAAAAYABgBZAQAAnwUAAAAA&#10;">
              <v:fill on="f" focussize="0,0"/>
              <v:stroke on="f"/>
              <v:imagedata o:title=""/>
              <o:lock v:ext="edit" aspectratio="f"/>
              <v:textbox inset="0mm,0mm,0mm,0mm" style="mso-fit-shape-to-text:t;">
                <w:txbxContent>
                  <w:p w14:paraId="4CC707A6">
                    <w:pPr>
                      <w:pStyle w:val="29"/>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2C670">
    <w:pPr>
      <w:pStyle w:val="29"/>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7189414" name="文本框 30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8091191">
                          <w:pPr>
                            <w:pStyle w:val="29"/>
                          </w:pPr>
                          <w:r>
                            <w:fldChar w:fldCharType="begin"/>
                          </w:r>
                          <w:r>
                            <w:instrText xml:space="preserve"> PAGE  \* MERGEFORMAT </w:instrText>
                          </w:r>
                          <w:r>
                            <w:fldChar w:fldCharType="separate"/>
                          </w:r>
                          <w:r>
                            <w:t>148</w:t>
                          </w:r>
                          <w:r>
                            <w:fldChar w:fldCharType="end"/>
                          </w:r>
                        </w:p>
                      </w:txbxContent>
                    </wps:txbx>
                    <wps:bodyPr rot="0" vert="horz" wrap="none" lIns="0" tIns="0" rIns="0" bIns="0" anchor="t" anchorCtr="0" upright="1">
                      <a:spAutoFit/>
                    </wps:bodyPr>
                  </wps:wsp>
                </a:graphicData>
              </a:graphic>
            </wp:anchor>
          </w:drawing>
        </mc:Choice>
        <mc:Fallback>
          <w:pict>
            <v:shape id="文本框 303"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&#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7Gk1A8CAAAPBAAADgAAAAAAAAABACAAAAAe&#10;AQAAZHJzL2Uyb0RvYy54bWxQSwUGAAAAAAYABgBZAQAAnwUAAAAA&#10;">
              <v:fill on="f" focussize="0,0"/>
              <v:stroke on="f"/>
              <v:imagedata o:title=""/>
              <o:lock v:ext="edit" aspectratio="f"/>
              <v:textbox inset="0mm,0mm,0mm,0mm" style="mso-fit-shape-to-text:t;">
                <w:txbxContent>
                  <w:p w14:paraId="48091191">
                    <w:pPr>
                      <w:pStyle w:val="29"/>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ACC7C">
    <w:pPr>
      <w:pStyle w:val="29"/>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62DC0">
    <w:pPr>
      <w:pStyle w:val="29"/>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3209629" name="文本框 30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BB6D381">
                          <w:pPr>
                            <w:pStyle w:val="29"/>
                          </w:pPr>
                          <w:r>
                            <w:fldChar w:fldCharType="begin"/>
                          </w:r>
                          <w:r>
                            <w:instrText xml:space="preserve"> PAGE  \* MERGEFORMAT </w:instrText>
                          </w:r>
                          <w:r>
                            <w:fldChar w:fldCharType="separate"/>
                          </w:r>
                          <w:r>
                            <w:t>149</w:t>
                          </w:r>
                          <w:r>
                            <w:fldChar w:fldCharType="end"/>
                          </w:r>
                        </w:p>
                      </w:txbxContent>
                    </wps:txbx>
                    <wps:bodyPr rot="0" vert="horz" wrap="none" lIns="0" tIns="0" rIns="0" bIns="0" anchor="t" anchorCtr="0" upright="1">
                      <a:spAutoFit/>
                    </wps:bodyPr>
                  </wps:wsp>
                </a:graphicData>
              </a:graphic>
            </wp:anchor>
          </w:drawing>
        </mc:Choice>
        <mc:Fallback>
          <w:pict>
            <v:shape id="文本框 304"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Y9nZ/A8CAAAOBAAADgAAAAAAAAABACAAAAAe&#10;AQAAZHJzL2Uyb0RvYy54bWxQSwUGAAAAAAYABgBZAQAAnwUAAAAA&#10;">
              <v:fill on="f" focussize="0,0"/>
              <v:stroke on="f"/>
              <v:imagedata o:title=""/>
              <o:lock v:ext="edit" aspectratio="f"/>
              <v:textbox inset="0mm,0mm,0mm,0mm" style="mso-fit-shape-to-text:t;">
                <w:txbxContent>
                  <w:p w14:paraId="1BB6D381">
                    <w:pPr>
                      <w:pStyle w:val="29"/>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071FD">
    <w:pPr>
      <w:pStyle w:val="29"/>
    </w:pP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5481198"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9F4F7AB">
                          <w:pPr>
                            <w:pStyle w:val="29"/>
                          </w:pPr>
                          <w:r>
                            <w:fldChar w:fldCharType="begin"/>
                          </w:r>
                          <w:r>
                            <w:instrText xml:space="preserve"> PAGE  \* MERGEFORMAT </w:instrText>
                          </w:r>
                          <w:r>
                            <w:fldChar w:fldCharType="separate"/>
                          </w:r>
                          <w:r>
                            <w:t>150</w:t>
                          </w:r>
                          <w:r>
                            <w:fldChar w:fldCharType="end"/>
                          </w:r>
                        </w:p>
                      </w:txbxContent>
                    </wps:txbx>
                    <wps:bodyPr rot="0" vert="horz" wrap="none" lIns="0" tIns="0" rIns="0" bIns="0" anchor="t" anchorCtr="0" upright="1">
                      <a:spAutoFit/>
                    </wps:bodyPr>
                  </wps:wsp>
                </a:graphicData>
              </a:graphic>
            </wp:anchor>
          </w:drawing>
        </mc:Choice>
        <mc:Fallback>
          <w:pict>
            <v:shape id="文本框 305"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XGf1yw8CAAAPBAAADgAAAAAAAAABACAAAAAe&#10;AQAAZHJzL2Uyb0RvYy54bWxQSwUGAAAAAAYABgBZAQAAnwUAAAAA&#10;">
              <v:fill on="f" focussize="0,0"/>
              <v:stroke on="f"/>
              <v:imagedata o:title=""/>
              <o:lock v:ext="edit" aspectratio="f"/>
              <v:textbox inset="0mm,0mm,0mm,0mm" style="mso-fit-shape-to-text:t;">
                <w:txbxContent>
                  <w:p w14:paraId="59F4F7AB">
                    <w:pPr>
                      <w:pStyle w:val="29"/>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760CD">
    <w:pPr>
      <w:pStyle w:val="29"/>
    </w:pPr>
    <w: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9077986" name="文本框 30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B7F83D7">
                          <w:pPr>
                            <w:pStyle w:val="29"/>
                          </w:pPr>
                          <w:r>
                            <w:fldChar w:fldCharType="begin"/>
                          </w:r>
                          <w:r>
                            <w:instrText xml:space="preserve"> PAGE  \* MERGEFORMAT </w:instrText>
                          </w:r>
                          <w:r>
                            <w:fldChar w:fldCharType="separate"/>
                          </w:r>
                          <w:r>
                            <w:t>152</w:t>
                          </w:r>
                          <w:r>
                            <w:fldChar w:fldCharType="end"/>
                          </w:r>
                        </w:p>
                      </w:txbxContent>
                    </wps:txbx>
                    <wps:bodyPr rot="0" vert="horz" wrap="none" lIns="0" tIns="0" rIns="0" bIns="0" anchor="t" anchorCtr="0" upright="1">
                      <a:spAutoFit/>
                    </wps:bodyPr>
                  </wps:wsp>
                </a:graphicData>
              </a:graphic>
            </wp:anchor>
          </w:drawing>
        </mc:Choice>
        <mc:Fallback>
          <w:pict>
            <v:shape id="文本框 307"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HgCVEUQAgAADwQAAA4AAAAAAAAAAQAgAAAA&#10;HgEAAGRycy9lMm9Eb2MueG1sUEsFBgAAAAAGAAYAWQEAAKAFAAAAAA==&#10;">
              <v:fill on="f" focussize="0,0"/>
              <v:stroke on="f"/>
              <v:imagedata o:title=""/>
              <o:lock v:ext="edit" aspectratio="f"/>
              <v:textbox inset="0mm,0mm,0mm,0mm" style="mso-fit-shape-to-text:t;">
                <w:txbxContent>
                  <w:p w14:paraId="5B7F83D7">
                    <w:pPr>
                      <w:pStyle w:val="29"/>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9D959">
    <w:pPr>
      <w:pStyle w:val="29"/>
    </w:pPr>
    <w: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3868467" name="文本框 30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1DE6EC3">
                          <w:pPr>
                            <w:pStyle w:val="29"/>
                          </w:pPr>
                          <w:r>
                            <w:fldChar w:fldCharType="begin"/>
                          </w:r>
                          <w:r>
                            <w:instrText xml:space="preserve"> PAGE  \* MERGEFORMAT </w:instrText>
                          </w:r>
                          <w:r>
                            <w:fldChar w:fldCharType="separate"/>
                          </w:r>
                          <w:r>
                            <w:t>153</w:t>
                          </w:r>
                          <w:r>
                            <w:fldChar w:fldCharType="end"/>
                          </w:r>
                        </w:p>
                      </w:txbxContent>
                    </wps:txbx>
                    <wps:bodyPr rot="0" vert="horz" wrap="none" lIns="0" tIns="0" rIns="0" bIns="0" anchor="t" anchorCtr="0" upright="1">
                      <a:spAutoFit/>
                    </wps:bodyPr>
                  </wps:wsp>
                </a:graphicData>
              </a:graphic>
            </wp:anchor>
          </w:drawing>
        </mc:Choice>
        <mc:Fallback>
          <w:pict>
            <v:shape id="文本框 308"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&#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MBD/XDgIAAA8EAAAOAAAAAAAAAAEAIAAAAB4B&#10;AABkcnMvZTJvRG9jLnhtbFBLBQYAAAAABgAGAFkBAACeBQAAAAA=&#10;">
              <v:fill on="f" focussize="0,0"/>
              <v:stroke on="f"/>
              <v:imagedata o:title=""/>
              <o:lock v:ext="edit" aspectratio="f"/>
              <v:textbox inset="0mm,0mm,0mm,0mm" style="mso-fit-shape-to-text:t;">
                <w:txbxContent>
                  <w:p w14:paraId="21DE6EC3">
                    <w:pPr>
                      <w:pStyle w:val="29"/>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6B696">
    <w:pPr>
      <w:pStyle w:val="29"/>
    </w:pPr>
    <w: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5536560"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9867E12">
                          <w:pPr>
                            <w:pStyle w:val="29"/>
                          </w:pPr>
                          <w:r>
                            <w:fldChar w:fldCharType="begin"/>
                          </w:r>
                          <w:r>
                            <w:instrText xml:space="preserve"> PAGE  \* MERGEFORMAT </w:instrText>
                          </w:r>
                          <w:r>
                            <w:fldChar w:fldCharType="separate"/>
                          </w:r>
                          <w:r>
                            <w:t>154</w:t>
                          </w:r>
                          <w:r>
                            <w:fldChar w:fldCharType="end"/>
                          </w:r>
                        </w:p>
                      </w:txbxContent>
                    </wps:txbx>
                    <wps:bodyPr rot="0" vert="horz" wrap="none" lIns="0" tIns="0" rIns="0" bIns="0" anchor="t" anchorCtr="0" upright="1">
                      <a:spAutoFit/>
                    </wps:bodyPr>
                  </wps:wsp>
                </a:graphicData>
              </a:graphic>
            </wp:anchor>
          </w:drawing>
        </mc:Choice>
        <mc:Fallback>
          <w:pict>
            <v:shape id="文本框 309"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FXkKPA8CAAAPBAAADgAAAAAAAAABACAAAAAe&#10;AQAAZHJzL2Uyb0RvYy54bWxQSwUGAAAAAAYABgBZAQAAnwUAAAAA&#10;">
              <v:fill on="f" focussize="0,0"/>
              <v:stroke on="f"/>
              <v:imagedata o:title=""/>
              <o:lock v:ext="edit" aspectratio="f"/>
              <v:textbox inset="0mm,0mm,0mm,0mm" style="mso-fit-shape-to-text:t;">
                <w:txbxContent>
                  <w:p w14:paraId="39867E12">
                    <w:pPr>
                      <w:pStyle w:val="29"/>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A969E">
    <w:pPr>
      <w:pStyle w:val="29"/>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9433104"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B8CB489">
                          <w:pPr>
                            <w:pStyle w:val="29"/>
                          </w:pPr>
                          <w:r>
                            <w:fldChar w:fldCharType="begin"/>
                          </w:r>
                          <w:r>
                            <w:instrText xml:space="preserve"> PAGE  \* MERGEFORMAT </w:instrText>
                          </w:r>
                          <w:r>
                            <w:fldChar w:fldCharType="separate"/>
                          </w:r>
                          <w:r>
                            <w:t>155</w:t>
                          </w:r>
                          <w:r>
                            <w:fldChar w:fldCharType="end"/>
                          </w:r>
                        </w:p>
                      </w:txbxContent>
                    </wps:txbx>
                    <wps:bodyPr rot="0" vert="horz" wrap="none" lIns="0" tIns="0" rIns="0" bIns="0" anchor="t" anchorCtr="0" upright="1">
                      <a:spAutoFit/>
                    </wps:bodyPr>
                  </wps:wsp>
                </a:graphicData>
              </a:graphic>
            </wp:anchor>
          </w:drawing>
        </mc:Choice>
        <mc:Fallback>
          <w:pict>
            <v:shape id="文本框 310"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&#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Bz5RCDgIAAA8EAAAOAAAAAAAAAAEAIAAAAB4B&#10;AABkcnMvZTJvRG9jLnhtbFBLBQYAAAAABgAGAFkBAACeBQAAAAA=&#10;">
              <v:fill on="f" focussize="0,0"/>
              <v:stroke on="f"/>
              <v:imagedata o:title=""/>
              <o:lock v:ext="edit" aspectratio="f"/>
              <v:textbox inset="0mm,0mm,0mm,0mm" style="mso-fit-shape-to-text:t;">
                <w:txbxContent>
                  <w:p w14:paraId="7B8CB489">
                    <w:pPr>
                      <w:pStyle w:val="29"/>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8014D">
    <w:pPr>
      <w:pStyle w:val="29"/>
    </w:pPr>
    <w: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9646480"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A97E4CF">
                          <w:pPr>
                            <w:pStyle w:val="29"/>
                          </w:pPr>
                          <w:r>
                            <w:fldChar w:fldCharType="begin"/>
                          </w:r>
                          <w:r>
                            <w:instrText xml:space="preserve"> PAGE  \* MERGEFORMAT </w:instrText>
                          </w:r>
                          <w:r>
                            <w:fldChar w:fldCharType="separate"/>
                          </w:r>
                          <w:r>
                            <w:t>156</w:t>
                          </w:r>
                          <w:r>
                            <w:fldChar w:fldCharType="end"/>
                          </w:r>
                        </w:p>
                      </w:txbxContent>
                    </wps:txbx>
                    <wps:bodyPr rot="0" vert="horz" wrap="none" lIns="0" tIns="0" rIns="0" bIns="0" anchor="t" anchorCtr="0" upright="1">
                      <a:spAutoFit/>
                    </wps:bodyPr>
                  </wps:wsp>
                </a:graphicData>
              </a:graphic>
            </wp:anchor>
          </w:drawing>
        </mc:Choice>
        <mc:Fallback>
          <w:pict>
            <v:shape id="文本框 31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&#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rp2vZDgIAAA8EAAAOAAAAAAAAAAEAIAAAAB4B&#10;AABkcnMvZTJvRG9jLnhtbFBLBQYAAAAABgAGAFkBAACeBQAAAAA=&#10;">
              <v:fill on="f" focussize="0,0"/>
              <v:stroke on="f"/>
              <v:imagedata o:title=""/>
              <o:lock v:ext="edit" aspectratio="f"/>
              <v:textbox inset="0mm,0mm,0mm,0mm" style="mso-fit-shape-to-text:t;">
                <w:txbxContent>
                  <w:p w14:paraId="0A97E4CF">
                    <w:pPr>
                      <w:pStyle w:val="29"/>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61EE9">
    <w:pPr>
      <w:pStyle w:val="29"/>
    </w:pPr>
    <w: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509484" name="文本框 31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5B74232">
                          <w:pPr>
                            <w:pStyle w:val="29"/>
                          </w:pPr>
                          <w:r>
                            <w:fldChar w:fldCharType="begin"/>
                          </w:r>
                          <w:r>
                            <w:instrText xml:space="preserve"> PAGE  \* MERGEFORMAT </w:instrText>
                          </w:r>
                          <w:r>
                            <w:fldChar w:fldCharType="separate"/>
                          </w:r>
                          <w:r>
                            <w:t>157</w:t>
                          </w:r>
                          <w:r>
                            <w:fldChar w:fldCharType="end"/>
                          </w:r>
                        </w:p>
                      </w:txbxContent>
                    </wps:txbx>
                    <wps:bodyPr rot="0" vert="horz" wrap="none" lIns="0" tIns="0" rIns="0" bIns="0" anchor="t" anchorCtr="0" upright="1">
                      <a:spAutoFit/>
                    </wps:bodyPr>
                  </wps:wsp>
                </a:graphicData>
              </a:graphic>
            </wp:anchor>
          </w:drawing>
        </mc:Choice>
        <mc:Fallback>
          <w:pict>
            <v:shape id="文本框 312"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B2styDgIAAA4EAAAOAAAAAAAAAAEAIAAAAB4B&#10;AABkcnMvZTJvRG9jLnhtbFBLBQYAAAAABgAGAFkBAACeBQAAAAA=&#10;">
              <v:fill on="f" focussize="0,0"/>
              <v:stroke on="f"/>
              <v:imagedata o:title=""/>
              <o:lock v:ext="edit" aspectratio="f"/>
              <v:textbox inset="0mm,0mm,0mm,0mm" style="mso-fit-shape-to-text:t;">
                <w:txbxContent>
                  <w:p w14:paraId="05B74232">
                    <w:pPr>
                      <w:pStyle w:val="29"/>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70F71">
    <w:pPr>
      <w:pStyle w:val="29"/>
    </w:pPr>
    <w: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9939489" name="文本框 31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84AAFF3">
                          <w:pPr>
                            <w:pStyle w:val="29"/>
                          </w:pPr>
                          <w:r>
                            <w:fldChar w:fldCharType="begin"/>
                          </w:r>
                          <w:r>
                            <w:instrText xml:space="preserve"> PAGE  \* MERGEFORMAT </w:instrText>
                          </w:r>
                          <w:r>
                            <w:fldChar w:fldCharType="separate"/>
                          </w:r>
                          <w:r>
                            <w:t>159</w:t>
                          </w:r>
                          <w:r>
                            <w:fldChar w:fldCharType="end"/>
                          </w:r>
                        </w:p>
                      </w:txbxContent>
                    </wps:txbx>
                    <wps:bodyPr rot="0" vert="horz" wrap="none" lIns="0" tIns="0" rIns="0" bIns="0" anchor="t" anchorCtr="0" upright="1">
                      <a:spAutoFit/>
                    </wps:bodyPr>
                  </wps:wsp>
                </a:graphicData>
              </a:graphic>
            </wp:anchor>
          </w:drawing>
        </mc:Choice>
        <mc:Fallback>
          <w:pict>
            <v:shape id="文本框 313"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cho+lg8CAAAPBAAADgAAAAAAAAABACAAAAAe&#10;AQAAZHJzL2Uyb0RvYy54bWxQSwUGAAAAAAYABgBZAQAAnwUAAAAA&#10;">
              <v:fill on="f" focussize="0,0"/>
              <v:stroke on="f"/>
              <v:imagedata o:title=""/>
              <o:lock v:ext="edit" aspectratio="f"/>
              <v:textbox inset="0mm,0mm,0mm,0mm" style="mso-fit-shape-to-text:t;">
                <w:txbxContent>
                  <w:p w14:paraId="384AAFF3">
                    <w:pPr>
                      <w:pStyle w:val="29"/>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218BF">
    <w:pPr>
      <w:pStyle w:val="29"/>
    </w:pPr>
    <w: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5605378"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0F373A0">
                          <w:pPr>
                            <w:pStyle w:val="29"/>
                          </w:pPr>
                          <w:r>
                            <w:fldChar w:fldCharType="begin"/>
                          </w:r>
                          <w:r>
                            <w:instrText xml:space="preserve"> PAGE  \* MERGEFORMAT </w:instrText>
                          </w:r>
                          <w:r>
                            <w:fldChar w:fldCharType="separate"/>
                          </w:r>
                          <w:r>
                            <w:t>160</w:t>
                          </w:r>
                          <w:r>
                            <w:fldChar w:fldCharType="end"/>
                          </w:r>
                        </w:p>
                      </w:txbxContent>
                    </wps:txbx>
                    <wps:bodyPr rot="0" vert="horz" wrap="none" lIns="0" tIns="0" rIns="0" bIns="0" anchor="t" anchorCtr="0" upright="1">
                      <a:spAutoFit/>
                    </wps:bodyPr>
                  </wps:wsp>
                </a:graphicData>
              </a:graphic>
            </wp:anchor>
          </w:drawing>
        </mc:Choice>
        <mc:Fallback>
          <w:pict>
            <v:shape id="文本框 314"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ZY4fA8CAAAPBAAADgAAAAAAAAABACAAAAAe&#10;AQAAZHJzL2Uyb0RvYy54bWxQSwUGAAAAAAYABgBZAQAAnwUAAAAA&#10;">
              <v:fill on="f" focussize="0,0"/>
              <v:stroke on="f"/>
              <v:imagedata o:title=""/>
              <o:lock v:ext="edit" aspectratio="f"/>
              <v:textbox inset="0mm,0mm,0mm,0mm" style="mso-fit-shape-to-text:t;">
                <w:txbxContent>
                  <w:p w14:paraId="30F373A0">
                    <w:pPr>
                      <w:pStyle w:val="29"/>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F2F">
    <w:pPr>
      <w:pStyle w:val="29"/>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31445"/>
              <wp:effectExtent l="0" t="0" r="0" b="1905"/>
              <wp:wrapNone/>
              <wp:docPr id="1997361874"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D3A171F">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643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GjZgkASAgAACwQAAA4AAAAAAAAAAQAg&#10;AAAAHwEAAGRycy9lMm9Eb2MueG1sUEsFBgAAAAAGAAYAWQEAAKMFAAAAAA==&#10;">
              <v:fill on="f" focussize="0,0"/>
              <v:stroke on="f"/>
              <v:imagedata o:title=""/>
              <o:lock v:ext="edit" aspectratio="f"/>
              <v:textbox inset="0mm,0mm,0mm,0mm" style="mso-fit-shape-to-text:t;">
                <w:txbxContent>
                  <w:p w14:paraId="3D3A171F">
                    <w:pPr>
                      <w:snapToGrid w:val="0"/>
                      <w:rPr>
                        <w:sz w:val="18"/>
                      </w:rPr>
                    </w:pP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71E11">
    <w:pPr>
      <w:pStyle w:val="29"/>
    </w:pPr>
    <w: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58750646"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8E4FFC2">
                          <w:pPr>
                            <w:pStyle w:val="29"/>
                          </w:pPr>
                          <w:r>
                            <w:fldChar w:fldCharType="begin"/>
                          </w:r>
                          <w:r>
                            <w:instrText xml:space="preserve"> PAGE  \* MERGEFORMAT </w:instrText>
                          </w:r>
                          <w:r>
                            <w:fldChar w:fldCharType="separate"/>
                          </w:r>
                          <w:r>
                            <w:t>161</w:t>
                          </w:r>
                          <w:r>
                            <w:fldChar w:fldCharType="end"/>
                          </w:r>
                        </w:p>
                      </w:txbxContent>
                    </wps:txbx>
                    <wps:bodyPr rot="0" vert="horz" wrap="none" lIns="0" tIns="0" rIns="0" bIns="0" anchor="t" anchorCtr="0" upright="1">
                      <a:spAutoFit/>
                    </wps:bodyPr>
                  </wps:wsp>
                </a:graphicData>
              </a:graphic>
            </wp:anchor>
          </w:drawing>
        </mc:Choice>
        <mc:Fallback>
          <w:pict>
            <v:shape id="文本框 315"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tMemwQ8CAAAOBAAADgAAAAAAAAABACAAAAAe&#10;AQAAZHJzL2Uyb0RvYy54bWxQSwUGAAAAAAYABgBZAQAAnwUAAAAA&#10;">
              <v:fill on="f" focussize="0,0"/>
              <v:stroke on="f"/>
              <v:imagedata o:title=""/>
              <o:lock v:ext="edit" aspectratio="f"/>
              <v:textbox inset="0mm,0mm,0mm,0mm" style="mso-fit-shape-to-text:t;">
                <w:txbxContent>
                  <w:p w14:paraId="18E4FFC2">
                    <w:pPr>
                      <w:pStyle w:val="29"/>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9207C">
    <w:pPr>
      <w:pStyle w:val="29"/>
    </w:pPr>
    <w: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3020730" name="文本框 3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4E1034">
                          <w:pPr>
                            <w:pStyle w:val="29"/>
                          </w:pPr>
                          <w:r>
                            <w:fldChar w:fldCharType="begin"/>
                          </w:r>
                          <w:r>
                            <w:instrText xml:space="preserve"> PAGE  \* MERGEFORMAT </w:instrText>
                          </w:r>
                          <w:r>
                            <w:fldChar w:fldCharType="separate"/>
                          </w:r>
                          <w:r>
                            <w:t>162</w:t>
                          </w:r>
                          <w:r>
                            <w:fldChar w:fldCharType="end"/>
                          </w:r>
                        </w:p>
                      </w:txbxContent>
                    </wps:txbx>
                    <wps:bodyPr rot="0" vert="horz" wrap="none" lIns="0" tIns="0" rIns="0" bIns="0" anchor="t" anchorCtr="0" upright="1">
                      <a:spAutoFit/>
                    </wps:bodyPr>
                  </wps:wsp>
                </a:graphicData>
              </a:graphic>
            </wp:anchor>
          </w:drawing>
        </mc:Choice>
        <mc:Fallback>
          <w:pict>
            <v:shape id="文本框 31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MbzyeINAgAADgQAAA4AAAAAAAAAAQAgAAAAHgEA&#10;AGRycy9lMm9Eb2MueG1sUEsFBgAAAAAGAAYAWQEAAJ0FAAAAAA==&#10;">
              <v:fill on="f" focussize="0,0"/>
              <v:stroke on="f"/>
              <v:imagedata o:title=""/>
              <o:lock v:ext="edit" aspectratio="f"/>
              <v:textbox inset="0mm,0mm,0mm,0mm" style="mso-fit-shape-to-text:t;">
                <w:txbxContent>
                  <w:p w14:paraId="144E1034">
                    <w:pPr>
                      <w:pStyle w:val="29"/>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A5419">
    <w:pPr>
      <w:pStyle w:val="29"/>
    </w:pPr>
    <w: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5328332" name="文本框 31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4FCAAD0">
                          <w:pPr>
                            <w:pStyle w:val="29"/>
                          </w:pPr>
                          <w:r>
                            <w:fldChar w:fldCharType="begin"/>
                          </w:r>
                          <w:r>
                            <w:instrText xml:space="preserve"> PAGE  \* MERGEFORMAT </w:instrText>
                          </w:r>
                          <w:r>
                            <w:fldChar w:fldCharType="separate"/>
                          </w:r>
                          <w:r>
                            <w:t>163</w:t>
                          </w:r>
                          <w:r>
                            <w:fldChar w:fldCharType="end"/>
                          </w:r>
                        </w:p>
                      </w:txbxContent>
                    </wps:txbx>
                    <wps:bodyPr rot="0" vert="horz" wrap="none" lIns="0" tIns="0" rIns="0" bIns="0" anchor="t" anchorCtr="0" upright="1">
                      <a:spAutoFit/>
                    </wps:bodyPr>
                  </wps:wsp>
                </a:graphicData>
              </a:graphic>
            </wp:anchor>
          </w:drawing>
        </mc:Choice>
        <mc:Fallback>
          <w:pict>
            <v:shape id="文本框 317"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lpwI+DgIAAA8EAAAOAAAAAAAAAAEAIAAAAB4B&#10;AABkcnMvZTJvRG9jLnhtbFBLBQYAAAAABgAGAFkBAACeBQAAAAA=&#10;">
              <v:fill on="f" focussize="0,0"/>
              <v:stroke on="f"/>
              <v:imagedata o:title=""/>
              <o:lock v:ext="edit" aspectratio="f"/>
              <v:textbox inset="0mm,0mm,0mm,0mm" style="mso-fit-shape-to-text:t;">
                <w:txbxContent>
                  <w:p w14:paraId="74FCAAD0">
                    <w:pPr>
                      <w:pStyle w:val="29"/>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1C0A4">
    <w:pPr>
      <w:pStyle w:val="29"/>
    </w:pPr>
    <w: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380708" name="文本框 3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8D5C2C4">
                          <w:pPr>
                            <w:pStyle w:val="29"/>
                          </w:pPr>
                          <w:r>
                            <w:fldChar w:fldCharType="begin"/>
                          </w:r>
                          <w:r>
                            <w:instrText xml:space="preserve"> PAGE  \* MERGEFORMAT </w:instrText>
                          </w:r>
                          <w:r>
                            <w:fldChar w:fldCharType="separate"/>
                          </w:r>
                          <w:r>
                            <w:t>164</w:t>
                          </w:r>
                          <w:r>
                            <w:fldChar w:fldCharType="end"/>
                          </w:r>
                        </w:p>
                      </w:txbxContent>
                    </wps:txbx>
                    <wps:bodyPr rot="0" vert="horz" wrap="none" lIns="0" tIns="0" rIns="0" bIns="0" anchor="t" anchorCtr="0" upright="1">
                      <a:spAutoFit/>
                    </wps:bodyPr>
                  </wps:wsp>
                </a:graphicData>
              </a:graphic>
            </wp:anchor>
          </w:drawing>
        </mc:Choice>
        <mc:Fallback>
          <w:pict>
            <v:shape id="文本框 318"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K7MHcYNAgAADQQAAA4AAAAAAAAAAQAgAAAAHgEA&#10;AGRycy9lMm9Eb2MueG1sUEsFBgAAAAAGAAYAWQEAAJ0FAAAAAA==&#10;">
              <v:fill on="f" focussize="0,0"/>
              <v:stroke on="f"/>
              <v:imagedata o:title=""/>
              <o:lock v:ext="edit" aspectratio="f"/>
              <v:textbox inset="0mm,0mm,0mm,0mm" style="mso-fit-shape-to-text:t;">
                <w:txbxContent>
                  <w:p w14:paraId="78D5C2C4">
                    <w:pPr>
                      <w:pStyle w:val="29"/>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5D2C4">
    <w:pPr>
      <w:pStyle w:val="29"/>
    </w:pPr>
    <w: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8698564"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872C1E8">
                          <w:pPr>
                            <w:pStyle w:val="29"/>
                          </w:pPr>
                          <w:r>
                            <w:fldChar w:fldCharType="begin"/>
                          </w:r>
                          <w:r>
                            <w:instrText xml:space="preserve"> PAGE  \* MERGEFORMAT </w:instrText>
                          </w:r>
                          <w:r>
                            <w:fldChar w:fldCharType="separate"/>
                          </w:r>
                          <w:r>
                            <w:t>165</w:t>
                          </w:r>
                          <w:r>
                            <w:fldChar w:fldCharType="end"/>
                          </w:r>
                        </w:p>
                      </w:txbxContent>
                    </wps:txbx>
                    <wps:bodyPr rot="0" vert="horz" wrap="none" lIns="0" tIns="0" rIns="0" bIns="0" anchor="t" anchorCtr="0" upright="1">
                      <a:spAutoFit/>
                    </wps:bodyPr>
                  </wps:wsp>
                </a:graphicData>
              </a:graphic>
            </wp:anchor>
          </w:drawing>
        </mc:Choice>
        <mc:Fallback>
          <w:pict>
            <v:shape id="文本框 319"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&#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to7dtw8CAAAPBAAADgAAAAAAAAABACAAAAAe&#10;AQAAZHJzL2Uyb0RvYy54bWxQSwUGAAAAAAYABgBZAQAAnwUAAAAA&#10;">
              <v:fill on="f" focussize="0,0"/>
              <v:stroke on="f"/>
              <v:imagedata o:title=""/>
              <o:lock v:ext="edit" aspectratio="f"/>
              <v:textbox inset="0mm,0mm,0mm,0mm" style="mso-fit-shape-to-text:t;">
                <w:txbxContent>
                  <w:p w14:paraId="3872C1E8">
                    <w:pPr>
                      <w:pStyle w:val="29"/>
                    </w:pPr>
                    <w:r>
                      <w:fldChar w:fldCharType="begin"/>
                    </w:r>
                    <w:r>
                      <w:instrText xml:space="preserve"> PAGE  \* MERGEFORMAT </w:instrText>
                    </w:r>
                    <w:r>
                      <w:fldChar w:fldCharType="separate"/>
                    </w:r>
                    <w:r>
                      <w:t>165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47881">
    <w:pPr>
      <w:pStyle w:val="29"/>
    </w:pPr>
    <w: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5462036"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70C8D5B">
                          <w:pPr>
                            <w:pStyle w:val="29"/>
                          </w:pPr>
                          <w:r>
                            <w:fldChar w:fldCharType="begin"/>
                          </w:r>
                          <w:r>
                            <w:instrText xml:space="preserve"> PAGE  \* MERGEFORMAT </w:instrText>
                          </w:r>
                          <w:r>
                            <w:fldChar w:fldCharType="separate"/>
                          </w:r>
                          <w:r>
                            <w:t>166</w:t>
                          </w:r>
                          <w:r>
                            <w:fldChar w:fldCharType="end"/>
                          </w:r>
                        </w:p>
                      </w:txbxContent>
                    </wps:txbx>
                    <wps:bodyPr rot="0" vert="horz" wrap="none" lIns="0" tIns="0" rIns="0" bIns="0" anchor="t" anchorCtr="0" upright="1">
                      <a:spAutoFit/>
                    </wps:bodyPr>
                  </wps:wsp>
                </a:graphicData>
              </a:graphic>
            </wp:anchor>
          </w:drawing>
        </mc:Choice>
        <mc:Fallback>
          <w:pict>
            <v:shape id="文本框 320"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DdufDA8CAAAOBAAADgAAAAAAAAABACAAAAAe&#10;AQAAZHJzL2Uyb0RvYy54bWxQSwUGAAAAAAYABgBZAQAAnwUAAAAA&#10;">
              <v:fill on="f" focussize="0,0"/>
              <v:stroke on="f"/>
              <v:imagedata o:title=""/>
              <o:lock v:ext="edit" aspectratio="f"/>
              <v:textbox inset="0mm,0mm,0mm,0mm" style="mso-fit-shape-to-text:t;">
                <w:txbxContent>
                  <w:p w14:paraId="370C8D5B">
                    <w:pPr>
                      <w:pStyle w:val="29"/>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E0947">
    <w:pPr>
      <w:pStyle w:val="29"/>
    </w:pPr>
    <w: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8529999" name="文本框 32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25C88B5">
                          <w:pPr>
                            <w:pStyle w:val="29"/>
                          </w:pPr>
                          <w:r>
                            <w:fldChar w:fldCharType="begin"/>
                          </w:r>
                          <w:r>
                            <w:instrText xml:space="preserve"> PAGE  \* MERGEFORMAT </w:instrText>
                          </w:r>
                          <w:r>
                            <w:fldChar w:fldCharType="separate"/>
                          </w:r>
                          <w:r>
                            <w:t>167</w:t>
                          </w:r>
                          <w:r>
                            <w:fldChar w:fldCharType="end"/>
                          </w:r>
                        </w:p>
                      </w:txbxContent>
                    </wps:txbx>
                    <wps:bodyPr rot="0" vert="horz" wrap="none" lIns="0" tIns="0" rIns="0" bIns="0" anchor="t" anchorCtr="0" upright="1">
                      <a:spAutoFit/>
                    </wps:bodyPr>
                  </wps:wsp>
                </a:graphicData>
              </a:graphic>
            </wp:anchor>
          </w:drawing>
        </mc:Choice>
        <mc:Fallback>
          <w:pict>
            <v:shape id="文本框 321"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Lh8l3gwCAAAOBAAADgAAAAAAAAABACAAAAAeAQAA&#10;ZHJzL2Uyb0RvYy54bWxQSwUGAAAAAAYABgBZAQAAnAUAAAAA&#10;">
              <v:fill on="f" focussize="0,0"/>
              <v:stroke on="f"/>
              <v:imagedata o:title=""/>
              <o:lock v:ext="edit" aspectratio="f"/>
              <v:textbox inset="0mm,0mm,0mm,0mm" style="mso-fit-shape-to-text:t;">
                <w:txbxContent>
                  <w:p w14:paraId="525C88B5">
                    <w:pPr>
                      <w:pStyle w:val="29"/>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2EB5D">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4967867"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833943C">
                          <w:pPr>
                            <w:pStyle w:val="29"/>
                          </w:pPr>
                          <w:r>
                            <w:fldChar w:fldCharType="begin"/>
                          </w:r>
                          <w:r>
                            <w:instrText xml:space="preserve"> PAGE  \* MERGEFORMAT </w:instrText>
                          </w:r>
                          <w:r>
                            <w:fldChar w:fldCharType="separate"/>
                          </w:r>
                          <w:r>
                            <w:t>216</w:t>
                          </w:r>
                          <w:r>
                            <w:fldChar w:fldCharType="end"/>
                          </w:r>
                        </w:p>
                      </w:txbxContent>
                    </wps:txbx>
                    <wps:bodyPr rot="0" vert="horz" wrap="none" lIns="0" tIns="0" rIns="0" bIns="0" anchor="t" anchorCtr="0" upright="1">
                      <a:spAutoFit/>
                    </wps:bodyPr>
                  </wps:wsp>
                </a:graphicData>
              </a:graphic>
            </wp:anchor>
          </w:drawing>
        </mc:Choice>
        <mc:Fallback>
          <w:pict>
            <v:shape id="文本框 323"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jnW35A8CAAAPBAAADgAAAAAAAAABACAAAAAe&#10;AQAAZHJzL2Uyb0RvYy54bWxQSwUGAAAAAAYABgBZAQAAnwUAAAAA&#10;">
              <v:fill on="f" focussize="0,0"/>
              <v:stroke on="f"/>
              <v:imagedata o:title=""/>
              <o:lock v:ext="edit" aspectratio="f"/>
              <v:textbox inset="0mm,0mm,0mm,0mm" style="mso-fit-shape-to-text:t;">
                <w:txbxContent>
                  <w:p w14:paraId="6833943C">
                    <w:pPr>
                      <w:pStyle w:val="29"/>
                    </w:pPr>
                    <w:r>
                      <w:fldChar w:fldCharType="begin"/>
                    </w:r>
                    <w:r>
                      <w:instrText xml:space="preserve"> PAGE  \* MERGEFORMAT </w:instrText>
                    </w:r>
                    <w:r>
                      <w:fldChar w:fldCharType="separate"/>
                    </w:r>
                    <w:r>
                      <w:t>216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CA94E">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7512262"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A03D751">
                          <w:pPr>
                            <w:pStyle w:val="29"/>
                          </w:pPr>
                          <w:r>
                            <w:fldChar w:fldCharType="begin"/>
                          </w:r>
                          <w:r>
                            <w:instrText xml:space="preserve"> PAGE  \* MERGEFORMAT </w:instrText>
                          </w:r>
                          <w:r>
                            <w:fldChar w:fldCharType="separate"/>
                          </w:r>
                          <w:r>
                            <w:t>217</w:t>
                          </w:r>
                          <w:r>
                            <w:fldChar w:fldCharType="end"/>
                          </w:r>
                        </w:p>
                      </w:txbxContent>
                    </wps:txbx>
                    <wps:bodyPr rot="0" vert="horz" wrap="none" lIns="0" tIns="0" rIns="0" bIns="0" anchor="t" anchorCtr="0" upright="1">
                      <a:spAutoFit/>
                    </wps:bodyPr>
                  </wps:wsp>
                </a:graphicData>
              </a:graphic>
            </wp:anchor>
          </w:drawing>
        </mc:Choice>
        <mc:Fallback>
          <w:pict>
            <v:shape id="文本框 324"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&#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WQF0Og8CAAAPBAAADgAAAAAAAAABACAAAAAe&#10;AQAAZHJzL2Uyb0RvYy54bWxQSwUGAAAAAAYABgBZAQAAnwUAAAAA&#10;">
              <v:fill on="f" focussize="0,0"/>
              <v:stroke on="f"/>
              <v:imagedata o:title=""/>
              <o:lock v:ext="edit" aspectratio="f"/>
              <v:textbox inset="0mm,0mm,0mm,0mm" style="mso-fit-shape-to-text:t;">
                <w:txbxContent>
                  <w:p w14:paraId="2A03D751">
                    <w:pPr>
                      <w:pStyle w:val="29"/>
                    </w:pPr>
                    <w:r>
                      <w:fldChar w:fldCharType="begin"/>
                    </w:r>
                    <w:r>
                      <w:instrText xml:space="preserve"> PAGE  \* MERGEFORMAT </w:instrText>
                    </w:r>
                    <w:r>
                      <w:fldChar w:fldCharType="separate"/>
                    </w:r>
                    <w:r>
                      <w:t>217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3161B">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2960242"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9873CC3">
                          <w:pPr>
                            <w:pStyle w:val="29"/>
                          </w:pPr>
                          <w:r>
                            <w:fldChar w:fldCharType="begin"/>
                          </w:r>
                          <w:r>
                            <w:instrText xml:space="preserve"> PAGE  \* MERGEFORMAT </w:instrText>
                          </w:r>
                          <w:r>
                            <w:fldChar w:fldCharType="separate"/>
                          </w:r>
                          <w:r>
                            <w:t>224</w:t>
                          </w:r>
                          <w:r>
                            <w:fldChar w:fldCharType="end"/>
                          </w:r>
                        </w:p>
                      </w:txbxContent>
                    </wps:txbx>
                    <wps:bodyPr rot="0" vert="horz" wrap="none" lIns="0" tIns="0" rIns="0" bIns="0" anchor="t" anchorCtr="0" upright="1">
                      <a:spAutoFit/>
                    </wps:bodyPr>
                  </wps:wsp>
                </a:graphicData>
              </a:graphic>
            </wp:anchor>
          </w:drawing>
        </mc:Choice>
        <mc:Fallback>
          <w:pict>
            <v:shape id="文本框 325"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CguCNDgIAAA8EAAAOAAAAAAAAAAEAIAAAAB4B&#10;AABkcnMvZTJvRG9jLnhtbFBLBQYAAAAABgAGAFkBAACeBQAAAAA=&#10;">
              <v:fill on="f" focussize="0,0"/>
              <v:stroke on="f"/>
              <v:imagedata o:title=""/>
              <o:lock v:ext="edit" aspectratio="f"/>
              <v:textbox inset="0mm,0mm,0mm,0mm" style="mso-fit-shape-to-text:t;">
                <w:txbxContent>
                  <w:p w14:paraId="09873CC3">
                    <w:pPr>
                      <w:pStyle w:val="29"/>
                    </w:pPr>
                    <w:r>
                      <w:fldChar w:fldCharType="begin"/>
                    </w:r>
                    <w:r>
                      <w:instrText xml:space="preserve"> PAGE  \* MERGEFORMAT </w:instrText>
                    </w:r>
                    <w:r>
                      <w:fldChar w:fldCharType="separate"/>
                    </w:r>
                    <w:r>
                      <w:t>224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05D31">
    <w:pPr>
      <w:pStyle w:val="29"/>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93CC4">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3628740"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55CF7DB">
                          <w:pPr>
                            <w:pStyle w:val="29"/>
                          </w:pPr>
                          <w:r>
                            <w:fldChar w:fldCharType="begin"/>
                          </w:r>
                          <w:r>
                            <w:instrText xml:space="preserve"> PAGE  \* MERGEFORMAT </w:instrText>
                          </w:r>
                          <w:r>
                            <w:fldChar w:fldCharType="separate"/>
                          </w:r>
                          <w:r>
                            <w:t>229</w:t>
                          </w:r>
                          <w:r>
                            <w:fldChar w:fldCharType="end"/>
                          </w:r>
                        </w:p>
                      </w:txbxContent>
                    </wps:txbx>
                    <wps:bodyPr rot="0" vert="horz" wrap="none" lIns="0" tIns="0" rIns="0" bIns="0" anchor="t" anchorCtr="0" upright="1">
                      <a:spAutoFit/>
                    </wps:bodyPr>
                  </wps:wsp>
                </a:graphicData>
              </a:graphic>
            </wp:anchor>
          </w:drawing>
        </mc:Choice>
        <mc:Fallback>
          <w:pict>
            <v:shape id="文本框 3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KHk8loNAgAADQQAAA4AAAAAAAAAAQAgAAAAHgEA&#10;AGRycy9lMm9Eb2MueG1sUEsFBgAAAAAGAAYAWQEAAJ0FAAAAAA==&#10;">
              <v:fill on="f" focussize="0,0"/>
              <v:stroke on="f"/>
              <v:imagedata o:title=""/>
              <o:lock v:ext="edit" aspectratio="f"/>
              <v:textbox inset="0mm,0mm,0mm,0mm" style="mso-fit-shape-to-text:t;">
                <w:txbxContent>
                  <w:p w14:paraId="555CF7DB">
                    <w:pPr>
                      <w:pStyle w:val="29"/>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7187B">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2217067" name="文本框 32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21A2C64">
                          <w:pPr>
                            <w:pStyle w:val="29"/>
                          </w:pPr>
                          <w:r>
                            <w:fldChar w:fldCharType="begin"/>
                          </w:r>
                          <w:r>
                            <w:instrText xml:space="preserve"> PAGE  \* MERGEFORMAT </w:instrText>
                          </w:r>
                          <w:r>
                            <w:fldChar w:fldCharType="separate"/>
                          </w:r>
                          <w:r>
                            <w:t>231</w:t>
                          </w:r>
                          <w:r>
                            <w:fldChar w:fldCharType="end"/>
                          </w:r>
                        </w:p>
                      </w:txbxContent>
                    </wps:txbx>
                    <wps:bodyPr rot="0" vert="horz" wrap="none" lIns="0" tIns="0" rIns="0" bIns="0" anchor="t" anchorCtr="0" upright="1">
                      <a:spAutoFit/>
                    </wps:bodyPr>
                  </wps:wsp>
                </a:graphicData>
              </a:graphic>
            </wp:anchor>
          </w:drawing>
        </mc:Choice>
        <mc:Fallback>
          <w:pict>
            <v:shape id="文本框 327"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hbl08DgIAAA4EAAAOAAAAAAAAAAEAIAAAAB4B&#10;AABkcnMvZTJvRG9jLnhtbFBLBQYAAAAABgAGAFkBAACeBQAAAAA=&#10;">
              <v:fill on="f" focussize="0,0"/>
              <v:stroke on="f"/>
              <v:imagedata o:title=""/>
              <o:lock v:ext="edit" aspectratio="f"/>
              <v:textbox inset="0mm,0mm,0mm,0mm" style="mso-fit-shape-to-text:t;">
                <w:txbxContent>
                  <w:p w14:paraId="621A2C64">
                    <w:pPr>
                      <w:pStyle w:val="29"/>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FDDD7">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5309176" name="文本框 32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7F9C93E">
                          <w:pPr>
                            <w:pStyle w:val="29"/>
                          </w:pPr>
                          <w:r>
                            <w:fldChar w:fldCharType="begin"/>
                          </w:r>
                          <w:r>
                            <w:instrText xml:space="preserve"> PAGE  \* MERGEFORMAT </w:instrText>
                          </w:r>
                          <w:r>
                            <w:fldChar w:fldCharType="separate"/>
                          </w:r>
                          <w:r>
                            <w:t>234</w:t>
                          </w:r>
                          <w:r>
                            <w:fldChar w:fldCharType="end"/>
                          </w:r>
                        </w:p>
                      </w:txbxContent>
                    </wps:txbx>
                    <wps:bodyPr rot="0" vert="horz" wrap="none" lIns="0" tIns="0" rIns="0" bIns="0" anchor="t" anchorCtr="0" upright="1">
                      <a:spAutoFit/>
                    </wps:bodyPr>
                  </wps:wsp>
                </a:graphicData>
              </a:graphic>
            </wp:anchor>
          </w:drawing>
        </mc:Choice>
        <mc:Fallback>
          <w:pict>
            <v:shape id="文本框 328"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&#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tNRRnw8CAAAPBAAADgAAAAAAAAABACAAAAAe&#10;AQAAZHJzL2Uyb0RvYy54bWxQSwUGAAAAAAYABgBZAQAAnwUAAAAA&#10;">
              <v:fill on="f" focussize="0,0"/>
              <v:stroke on="f"/>
              <v:imagedata o:title=""/>
              <o:lock v:ext="edit" aspectratio="f"/>
              <v:textbox inset="0mm,0mm,0mm,0mm" style="mso-fit-shape-to-text:t;">
                <w:txbxContent>
                  <w:p w14:paraId="37F9C93E">
                    <w:pPr>
                      <w:pStyle w:val="29"/>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E0AC3">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0953268" name="文本框 32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A48F0E9">
                          <w:pPr>
                            <w:pStyle w:val="29"/>
                          </w:pPr>
                          <w:r>
                            <w:fldChar w:fldCharType="begin"/>
                          </w:r>
                          <w:r>
                            <w:instrText xml:space="preserve"> PAGE  \* MERGEFORMAT </w:instrText>
                          </w:r>
                          <w:r>
                            <w:fldChar w:fldCharType="separate"/>
                          </w:r>
                          <w:r>
                            <w:t>235</w:t>
                          </w:r>
                          <w:r>
                            <w:fldChar w:fldCharType="end"/>
                          </w:r>
                        </w:p>
                      </w:txbxContent>
                    </wps:txbx>
                    <wps:bodyPr rot="0" vert="horz" wrap="none" lIns="0" tIns="0" rIns="0" bIns="0" anchor="t" anchorCtr="0" upright="1">
                      <a:spAutoFit/>
                    </wps:bodyPr>
                  </wps:wsp>
                </a:graphicData>
              </a:graphic>
            </wp:anchor>
          </w:drawing>
        </mc:Choice>
        <mc:Fallback>
          <w:pict>
            <v:shape id="文本框 329"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&#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YlEMCDgIAAA4EAAAOAAAAAAAAAAEAIAAAAB4B&#10;AABkcnMvZTJvRG9jLnhtbFBLBQYAAAAABgAGAFkBAACeBQAAAAA=&#10;">
              <v:fill on="f" focussize="0,0"/>
              <v:stroke on="f"/>
              <v:imagedata o:title=""/>
              <o:lock v:ext="edit" aspectratio="f"/>
              <v:textbox inset="0mm,0mm,0mm,0mm" style="mso-fit-shape-to-text:t;">
                <w:txbxContent>
                  <w:p w14:paraId="5A48F0E9">
                    <w:pPr>
                      <w:pStyle w:val="29"/>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A712">
    <w:pPr>
      <w:widowControl/>
      <w:kinsoku w:val="0"/>
      <w:autoSpaceDE w:val="0"/>
      <w:autoSpaceDN w:val="0"/>
      <w:adjustRightInd w:val="0"/>
      <w:snapToGrid w:val="0"/>
      <w:spacing w:line="229" w:lineRule="auto"/>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7461363" name="文本框 33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A8D8B72">
                          <w:pPr>
                            <w:pStyle w:val="29"/>
                          </w:pPr>
                          <w:r>
                            <w:fldChar w:fldCharType="begin"/>
                          </w:r>
                          <w:r>
                            <w:instrText xml:space="preserve"> PAGE  \* MERGEFORMAT </w:instrText>
                          </w:r>
                          <w:r>
                            <w:fldChar w:fldCharType="separate"/>
                          </w:r>
                          <w:r>
                            <w:t>236</w:t>
                          </w:r>
                          <w:r>
                            <w:fldChar w:fldCharType="end"/>
                          </w:r>
                        </w:p>
                      </w:txbxContent>
                    </wps:txbx>
                    <wps:bodyPr rot="0" vert="horz" wrap="none" lIns="0" tIns="0" rIns="0" bIns="0" anchor="t" anchorCtr="0" upright="1">
                      <a:spAutoFit/>
                    </wps:bodyPr>
                  </wps:wsp>
                </a:graphicData>
              </a:graphic>
            </wp:anchor>
          </w:drawing>
        </mc:Choice>
        <mc:Fallback>
          <w:pict>
            <v:shape id="文本框 330"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FuvtkgNAgAADQQAAA4AAAAAAAAAAQAgAAAAHgEA&#10;AGRycy9lMm9Eb2MueG1sUEsFBgAAAAAGAAYAWQEAAJ0FAAAAAA==&#10;">
              <v:fill on="f" focussize="0,0"/>
              <v:stroke on="f"/>
              <v:imagedata o:title=""/>
              <o:lock v:ext="edit" aspectratio="f"/>
              <v:textbox inset="0mm,0mm,0mm,0mm" style="mso-fit-shape-to-text:t;">
                <w:txbxContent>
                  <w:p w14:paraId="4A8D8B72">
                    <w:pPr>
                      <w:pStyle w:val="29"/>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D2873">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6258727" name="文本框 33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2E7B987">
                          <w:pPr>
                            <w:pStyle w:val="29"/>
                          </w:pPr>
                          <w:r>
                            <w:fldChar w:fldCharType="begin"/>
                          </w:r>
                          <w:r>
                            <w:instrText xml:space="preserve"> PAGE  \* MERGEFORMAT </w:instrText>
                          </w:r>
                          <w:r>
                            <w:fldChar w:fldCharType="separate"/>
                          </w:r>
                          <w:r>
                            <w:t>237</w:t>
                          </w:r>
                          <w:r>
                            <w:fldChar w:fldCharType="end"/>
                          </w:r>
                        </w:p>
                      </w:txbxContent>
                    </wps:txbx>
                    <wps:bodyPr rot="0" vert="horz" wrap="none" lIns="0" tIns="0" rIns="0" bIns="0" anchor="t" anchorCtr="0" upright="1">
                      <a:spAutoFit/>
                    </wps:bodyPr>
                  </wps:wsp>
                </a:graphicData>
              </a:graphic>
            </wp:anchor>
          </w:drawing>
        </mc:Choice>
        <mc:Fallback>
          <w:pict>
            <v:shape id="文本框 331"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MGoPBDgIAAA4EAAAOAAAAAAAAAAEAIAAAAB4B&#10;AABkcnMvZTJvRG9jLnhtbFBLBQYAAAAABgAGAFkBAACeBQAAAAA=&#10;">
              <v:fill on="f" focussize="0,0"/>
              <v:stroke on="f"/>
              <v:imagedata o:title=""/>
              <o:lock v:ext="edit" aspectratio="f"/>
              <v:textbox inset="0mm,0mm,0mm,0mm" style="mso-fit-shape-to-text:t;">
                <w:txbxContent>
                  <w:p w14:paraId="22E7B987">
                    <w:pPr>
                      <w:pStyle w:val="29"/>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4202F">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5188823" name="文本框 33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4A40E87">
                          <w:pPr>
                            <w:pStyle w:val="29"/>
                          </w:pPr>
                          <w:r>
                            <w:fldChar w:fldCharType="begin"/>
                          </w:r>
                          <w:r>
                            <w:instrText xml:space="preserve"> PAGE  \* MERGEFORMAT </w:instrText>
                          </w:r>
                          <w:r>
                            <w:fldChar w:fldCharType="separate"/>
                          </w:r>
                          <w:r>
                            <w:t>238</w:t>
                          </w:r>
                          <w:r>
                            <w:fldChar w:fldCharType="end"/>
                          </w:r>
                        </w:p>
                      </w:txbxContent>
                    </wps:txbx>
                    <wps:bodyPr rot="0" vert="horz" wrap="none" lIns="0" tIns="0" rIns="0" bIns="0" anchor="t" anchorCtr="0" upright="1">
                      <a:spAutoFit/>
                    </wps:bodyPr>
                  </wps:wsp>
                </a:graphicData>
              </a:graphic>
            </wp:anchor>
          </w:drawing>
        </mc:Choice>
        <mc:Fallback>
          <w:pict>
            <v:shape id="文本框 332"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DZ4zrDDgIAAA4EAAAOAAAAAAAAAAEAIAAAAB4B&#10;AABkcnMvZTJvRG9jLnhtbFBLBQYAAAAABgAGAFkBAACeBQAAAAA=&#10;">
              <v:fill on="f" focussize="0,0"/>
              <v:stroke on="f"/>
              <v:imagedata o:title=""/>
              <o:lock v:ext="edit" aspectratio="f"/>
              <v:textbox inset="0mm,0mm,0mm,0mm" style="mso-fit-shape-to-text:t;">
                <w:txbxContent>
                  <w:p w14:paraId="44A40E87">
                    <w:pPr>
                      <w:pStyle w:val="29"/>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4A74E">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8520408" name="文本框 33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977E611">
                          <w:pPr>
                            <w:pStyle w:val="29"/>
                          </w:pPr>
                          <w:r>
                            <w:fldChar w:fldCharType="begin"/>
                          </w:r>
                          <w:r>
                            <w:instrText xml:space="preserve"> PAGE  \* MERGEFORMAT </w:instrText>
                          </w:r>
                          <w:r>
                            <w:fldChar w:fldCharType="separate"/>
                          </w:r>
                          <w:r>
                            <w:t>239</w:t>
                          </w:r>
                          <w:r>
                            <w:fldChar w:fldCharType="end"/>
                          </w:r>
                        </w:p>
                      </w:txbxContent>
                    </wps:txbx>
                    <wps:bodyPr rot="0" vert="horz" wrap="none" lIns="0" tIns="0" rIns="0" bIns="0" anchor="t" anchorCtr="0" upright="1">
                      <a:spAutoFit/>
                    </wps:bodyPr>
                  </wps:wsp>
                </a:graphicData>
              </a:graphic>
            </wp:anchor>
          </w:drawing>
        </mc:Choice>
        <mc:Fallback>
          <w:pict>
            <v:shape id="文本框 333"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&#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BuohAcDgIAAA4EAAAOAAAAAAAAAAEAIAAAAB4B&#10;AABkcnMvZTJvRG9jLnhtbFBLBQYAAAAABgAGAFkBAACeBQAAAAA=&#10;">
              <v:fill on="f" focussize="0,0"/>
              <v:stroke on="f"/>
              <v:imagedata o:title=""/>
              <o:lock v:ext="edit" aspectratio="f"/>
              <v:textbox inset="0mm,0mm,0mm,0mm" style="mso-fit-shape-to-text:t;">
                <w:txbxContent>
                  <w:p w14:paraId="0977E611">
                    <w:pPr>
                      <w:pStyle w:val="29"/>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BB779">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6828351" name="文本框 33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AA5B53E">
                          <w:pPr>
                            <w:pStyle w:val="29"/>
                          </w:pPr>
                          <w:r>
                            <w:fldChar w:fldCharType="begin"/>
                          </w:r>
                          <w:r>
                            <w:instrText xml:space="preserve"> PAGE  \* MERGEFORMAT </w:instrText>
                          </w:r>
                          <w:r>
                            <w:fldChar w:fldCharType="separate"/>
                          </w:r>
                          <w:r>
                            <w:t>240</w:t>
                          </w:r>
                          <w:r>
                            <w:fldChar w:fldCharType="end"/>
                          </w:r>
                        </w:p>
                      </w:txbxContent>
                    </wps:txbx>
                    <wps:bodyPr rot="0" vert="horz" wrap="none" lIns="0" tIns="0" rIns="0" bIns="0" anchor="t" anchorCtr="0" upright="1">
                      <a:spAutoFit/>
                    </wps:bodyPr>
                  </wps:wsp>
                </a:graphicData>
              </a:graphic>
            </wp:anchor>
          </w:drawing>
        </mc:Choice>
        <mc:Fallback>
          <w:pict>
            <v:shape id="文本框 334"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TnygHDgIAAA4EAAAOAAAAAAAAAAEAIAAAAB4B&#10;AABkcnMvZTJvRG9jLnhtbFBLBQYAAAAABgAGAFkBAACeBQAAAAA=&#10;">
              <v:fill on="f" focussize="0,0"/>
              <v:stroke on="f"/>
              <v:imagedata o:title=""/>
              <o:lock v:ext="edit" aspectratio="f"/>
              <v:textbox inset="0mm,0mm,0mm,0mm" style="mso-fit-shape-to-text:t;">
                <w:txbxContent>
                  <w:p w14:paraId="3AA5B53E">
                    <w:pPr>
                      <w:pStyle w:val="29"/>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642E6">
    <w:pPr>
      <w:widowControl/>
      <w:kinsoku w:val="0"/>
      <w:autoSpaceDE w:val="0"/>
      <w:autoSpaceDN w:val="0"/>
      <w:adjustRightInd w:val="0"/>
      <w:snapToGrid w:val="0"/>
      <w:spacing w:line="229" w:lineRule="auto"/>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6270649" name="文本框 33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9E7337F">
                          <w:pPr>
                            <w:pStyle w:val="29"/>
                          </w:pPr>
                          <w:r>
                            <w:fldChar w:fldCharType="begin"/>
                          </w:r>
                          <w:r>
                            <w:instrText xml:space="preserve"> PAGE  \* MERGEFORMAT </w:instrText>
                          </w:r>
                          <w:r>
                            <w:fldChar w:fldCharType="separate"/>
                          </w:r>
                          <w:r>
                            <w:t>241</w:t>
                          </w:r>
                          <w:r>
                            <w:fldChar w:fldCharType="end"/>
                          </w:r>
                        </w:p>
                      </w:txbxContent>
                    </wps:txbx>
                    <wps:bodyPr rot="0" vert="horz" wrap="none" lIns="0" tIns="0" rIns="0" bIns="0" anchor="t" anchorCtr="0" upright="1">
                      <a:spAutoFit/>
                    </wps:bodyPr>
                  </wps:wsp>
                </a:graphicData>
              </a:graphic>
            </wp:anchor>
          </w:drawing>
        </mc:Choice>
        <mc:Fallback>
          <w:pict>
            <v:shape id="文本框 335"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UHGEvw8CAAAOBAAADgAAAAAAAAABACAAAAAe&#10;AQAAZHJzL2Uyb0RvYy54bWxQSwUGAAAAAAYABgBZAQAAnwUAAAAA&#10;">
              <v:fill on="f" focussize="0,0"/>
              <v:stroke on="f"/>
              <v:imagedata o:title=""/>
              <o:lock v:ext="edit" aspectratio="f"/>
              <v:textbox inset="0mm,0mm,0mm,0mm" style="mso-fit-shape-to-text:t;">
                <w:txbxContent>
                  <w:p w14:paraId="49E7337F">
                    <w:pPr>
                      <w:pStyle w:val="29"/>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1A41A">
    <w:pPr>
      <w:pStyle w:val="29"/>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14935" cy="131445"/>
              <wp:effectExtent l="0" t="3175" r="3175" b="0"/>
              <wp:wrapNone/>
              <wp:docPr id="1785344745"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D219023">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848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D5X5J0AAAAAMBAAAPAAAAAAAAAAEAIAAAACIA&#10;AABkcnMvZG93bnJldi54bWxQSwECFAAUAAAACACHTuJAeIXJjRECAAALBAAADgAAAAAAAAABACAA&#10;AAAfAQAAZHJzL2Uyb0RvYy54bWxQSwUGAAAAAAYABgBZAQAAogUAAAAA&#10;">
              <v:fill on="f" focussize="0,0"/>
              <v:stroke on="f"/>
              <v:imagedata o:title=""/>
              <o:lock v:ext="edit" aspectratio="f"/>
              <v:textbox inset="0mm,0mm,0mm,0mm" style="mso-fit-shape-to-text:t;">
                <w:txbxContent>
                  <w:p w14:paraId="7D219023">
                    <w:pPr>
                      <w:snapToGrid w:val="0"/>
                      <w:rPr>
                        <w:sz w:val="18"/>
                      </w:rPr>
                    </w:pP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95CCC">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5188880" name="文本框 33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06E7C9F">
                          <w:pPr>
                            <w:pStyle w:val="29"/>
                          </w:pPr>
                          <w:r>
                            <w:fldChar w:fldCharType="begin"/>
                          </w:r>
                          <w:r>
                            <w:instrText xml:space="preserve"> PAGE  \* MERGEFORMAT </w:instrText>
                          </w:r>
                          <w:r>
                            <w:fldChar w:fldCharType="separate"/>
                          </w:r>
                          <w:r>
                            <w:t>243</w:t>
                          </w:r>
                          <w:r>
                            <w:fldChar w:fldCharType="end"/>
                          </w:r>
                        </w:p>
                      </w:txbxContent>
                    </wps:txbx>
                    <wps:bodyPr rot="0" vert="horz" wrap="none" lIns="0" tIns="0" rIns="0" bIns="0" anchor="t" anchorCtr="0" upright="1">
                      <a:spAutoFit/>
                    </wps:bodyPr>
                  </wps:wsp>
                </a:graphicData>
              </a:graphic>
            </wp:anchor>
          </w:drawing>
        </mc:Choice>
        <mc:Fallback>
          <w:pict>
            <v:shape id="文本框 33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ItHQ8QwCAAAOBAAADgAAAAAAAAABACAAAAAeAQAA&#10;ZHJzL2Uyb0RvYy54bWxQSwUGAAAAAAYABgBZAQAAnAUAAAAA&#10;">
              <v:fill on="f" focussize="0,0"/>
              <v:stroke on="f"/>
              <v:imagedata o:title=""/>
              <o:lock v:ext="edit" aspectratio="f"/>
              <v:textbox inset="0mm,0mm,0mm,0mm" style="mso-fit-shape-to-text:t;">
                <w:txbxContent>
                  <w:p w14:paraId="006E7C9F">
                    <w:pPr>
                      <w:pStyle w:val="29"/>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9BF15">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80794" name="文本框 33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3BAFE8C">
                          <w:pPr>
                            <w:pStyle w:val="29"/>
                          </w:pPr>
                          <w:r>
                            <w:fldChar w:fldCharType="begin"/>
                          </w:r>
                          <w:r>
                            <w:instrText xml:space="preserve"> PAGE  \* MERGEFORMAT </w:instrText>
                          </w:r>
                          <w:r>
                            <w:fldChar w:fldCharType="separate"/>
                          </w:r>
                          <w:r>
                            <w:t>244</w:t>
                          </w:r>
                          <w:r>
                            <w:fldChar w:fldCharType="end"/>
                          </w:r>
                        </w:p>
                      </w:txbxContent>
                    </wps:txbx>
                    <wps:bodyPr rot="0" vert="horz" wrap="none" lIns="0" tIns="0" rIns="0" bIns="0" anchor="t" anchorCtr="0" upright="1">
                      <a:spAutoFit/>
                    </wps:bodyPr>
                  </wps:wsp>
                </a:graphicData>
              </a:graphic>
            </wp:anchor>
          </w:drawing>
        </mc:Choice>
        <mc:Fallback>
          <w:pict>
            <v:shape id="文本框 337"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Nx/QMgNAgAADAQAAA4AAAAAAAAAAQAgAAAAHgEA&#10;AGRycy9lMm9Eb2MueG1sUEsFBgAAAAAGAAYAWQEAAJ0FAAAAAA==&#10;">
              <v:fill on="f" focussize="0,0"/>
              <v:stroke on="f"/>
              <v:imagedata o:title=""/>
              <o:lock v:ext="edit" aspectratio="f"/>
              <v:textbox inset="0mm,0mm,0mm,0mm" style="mso-fit-shape-to-text:t;">
                <w:txbxContent>
                  <w:p w14:paraId="03BAFE8C">
                    <w:pPr>
                      <w:pStyle w:val="29"/>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21153">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4551947" name="文本框 33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463D64C">
                          <w:pPr>
                            <w:pStyle w:val="29"/>
                          </w:pPr>
                          <w:r>
                            <w:fldChar w:fldCharType="begin"/>
                          </w:r>
                          <w:r>
                            <w:instrText xml:space="preserve"> PAGE  \* MERGEFORMAT </w:instrText>
                          </w:r>
                          <w:r>
                            <w:fldChar w:fldCharType="separate"/>
                          </w:r>
                          <w:r>
                            <w:t>245</w:t>
                          </w:r>
                          <w:r>
                            <w:fldChar w:fldCharType="end"/>
                          </w:r>
                        </w:p>
                      </w:txbxContent>
                    </wps:txbx>
                    <wps:bodyPr rot="0" vert="horz" wrap="none" lIns="0" tIns="0" rIns="0" bIns="0" anchor="t" anchorCtr="0" upright="1">
                      <a:spAutoFit/>
                    </wps:bodyPr>
                  </wps:wsp>
                </a:graphicData>
              </a:graphic>
            </wp:anchor>
          </w:drawing>
        </mc:Choice>
        <mc:Fallback>
          <w:pict>
            <v:shape id="文本框 338"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F1xEygQAgAADgQAAA4AAAAAAAAAAQAgAAAA&#10;HgEAAGRycy9lMm9Eb2MueG1sUEsFBgAAAAAGAAYAWQEAAKAFAAAAAA==&#10;">
              <v:fill on="f" focussize="0,0"/>
              <v:stroke on="f"/>
              <v:imagedata o:title=""/>
              <o:lock v:ext="edit" aspectratio="f"/>
              <v:textbox inset="0mm,0mm,0mm,0mm" style="mso-fit-shape-to-text:t;">
                <w:txbxContent>
                  <w:p w14:paraId="3463D64C">
                    <w:pPr>
                      <w:pStyle w:val="29"/>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E9C1A">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8619824" name="文本框 33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CFDB7EE">
                          <w:pPr>
                            <w:pStyle w:val="29"/>
                          </w:pPr>
                          <w:r>
                            <w:fldChar w:fldCharType="begin"/>
                          </w:r>
                          <w:r>
                            <w:instrText xml:space="preserve"> PAGE  \* MERGEFORMAT </w:instrText>
                          </w:r>
                          <w:r>
                            <w:fldChar w:fldCharType="separate"/>
                          </w:r>
                          <w:r>
                            <w:t>248</w:t>
                          </w:r>
                          <w:r>
                            <w:fldChar w:fldCharType="end"/>
                          </w:r>
                        </w:p>
                      </w:txbxContent>
                    </wps:txbx>
                    <wps:bodyPr rot="0" vert="horz" wrap="none" lIns="0" tIns="0" rIns="0" bIns="0" anchor="t" anchorCtr="0" upright="1">
                      <a:spAutoFit/>
                    </wps:bodyPr>
                  </wps:wsp>
                </a:graphicData>
              </a:graphic>
            </wp:anchor>
          </w:drawing>
        </mc:Choice>
        <mc:Fallback>
          <w:pict>
            <v:shape id="文本框 339"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&#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9XTKyA8CAAAOBAAADgAAAAAAAAABACAAAAAe&#10;AQAAZHJzL2Uyb0RvYy54bWxQSwUGAAAAAAYABgBZAQAAnwUAAAAA&#10;">
              <v:fill on="f" focussize="0,0"/>
              <v:stroke on="f"/>
              <v:imagedata o:title=""/>
              <o:lock v:ext="edit" aspectratio="f"/>
              <v:textbox inset="0mm,0mm,0mm,0mm" style="mso-fit-shape-to-text:t;">
                <w:txbxContent>
                  <w:p w14:paraId="5CFDB7EE">
                    <w:pPr>
                      <w:pStyle w:val="29"/>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4EA47">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8354173" name="文本框 34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C371FA7">
                          <w:pPr>
                            <w:pStyle w:val="29"/>
                          </w:pPr>
                          <w:r>
                            <w:fldChar w:fldCharType="begin"/>
                          </w:r>
                          <w:r>
                            <w:instrText xml:space="preserve"> PAGE  \* MERGEFORMAT </w:instrText>
                          </w:r>
                          <w:r>
                            <w:fldChar w:fldCharType="separate"/>
                          </w:r>
                          <w:r>
                            <w:t>250</w:t>
                          </w:r>
                          <w:r>
                            <w:fldChar w:fldCharType="end"/>
                          </w:r>
                        </w:p>
                      </w:txbxContent>
                    </wps:txbx>
                    <wps:bodyPr rot="0" vert="horz" wrap="none" lIns="0" tIns="0" rIns="0" bIns="0" anchor="t" anchorCtr="0" upright="1">
                      <a:spAutoFit/>
                    </wps:bodyPr>
                  </wps:wsp>
                </a:graphicData>
              </a:graphic>
            </wp:anchor>
          </w:drawing>
        </mc:Choice>
        <mc:Fallback>
          <w:pict>
            <v:shape id="文本框 340"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VWq8qQ8CAAAPBAAADgAAAAAAAAABACAAAAAe&#10;AQAAZHJzL2Uyb0RvYy54bWxQSwUGAAAAAAYABgBZAQAAnwUAAAAA&#10;">
              <v:fill on="f" focussize="0,0"/>
              <v:stroke on="f"/>
              <v:imagedata o:title=""/>
              <o:lock v:ext="edit" aspectratio="f"/>
              <v:textbox inset="0mm,0mm,0mm,0mm" style="mso-fit-shape-to-text:t;">
                <w:txbxContent>
                  <w:p w14:paraId="7C371FA7">
                    <w:pPr>
                      <w:pStyle w:val="29"/>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94E0">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6334289" name="文本框 34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AB17BA3">
                          <w:pPr>
                            <w:pStyle w:val="29"/>
                          </w:pPr>
                          <w:r>
                            <w:fldChar w:fldCharType="begin"/>
                          </w:r>
                          <w:r>
                            <w:instrText xml:space="preserve"> PAGE  \* MERGEFORMAT </w:instrText>
                          </w:r>
                          <w:r>
                            <w:fldChar w:fldCharType="separate"/>
                          </w:r>
                          <w:r>
                            <w:t>251</w:t>
                          </w:r>
                          <w:r>
                            <w:fldChar w:fldCharType="end"/>
                          </w:r>
                        </w:p>
                      </w:txbxContent>
                    </wps:txbx>
                    <wps:bodyPr rot="0" vert="horz" wrap="none" lIns="0" tIns="0" rIns="0" bIns="0" anchor="t" anchorCtr="0" upright="1">
                      <a:spAutoFit/>
                    </wps:bodyPr>
                  </wps:wsp>
                </a:graphicData>
              </a:graphic>
            </wp:anchor>
          </w:drawing>
        </mc:Choice>
        <mc:Fallback>
          <w:pict>
            <v:shape id="文本框 341"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XSg/CDgIAAA8EAAAOAAAAAAAAAAEAIAAAAB4B&#10;AABkcnMvZTJvRG9jLnhtbFBLBQYAAAAABgAGAFkBAACeBQAAAAA=&#10;">
              <v:fill on="f" focussize="0,0"/>
              <v:stroke on="f"/>
              <v:imagedata o:title=""/>
              <o:lock v:ext="edit" aspectratio="f"/>
              <v:textbox inset="0mm,0mm,0mm,0mm" style="mso-fit-shape-to-text:t;">
                <w:txbxContent>
                  <w:p w14:paraId="6AB17BA3">
                    <w:pPr>
                      <w:pStyle w:val="29"/>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DE97B">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1006024" name="文本框 34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521B2D9">
                          <w:pPr>
                            <w:pStyle w:val="29"/>
                          </w:pPr>
                          <w:r>
                            <w:fldChar w:fldCharType="begin"/>
                          </w:r>
                          <w:r>
                            <w:instrText xml:space="preserve"> PAGE  \* MERGEFORMAT </w:instrText>
                          </w:r>
                          <w:r>
                            <w:fldChar w:fldCharType="separate"/>
                          </w:r>
                          <w:r>
                            <w:t>252</w:t>
                          </w:r>
                          <w:r>
                            <w:fldChar w:fldCharType="end"/>
                          </w:r>
                        </w:p>
                      </w:txbxContent>
                    </wps:txbx>
                    <wps:bodyPr rot="0" vert="horz" wrap="none" lIns="0" tIns="0" rIns="0" bIns="0" anchor="t" anchorCtr="0" upright="1">
                      <a:spAutoFit/>
                    </wps:bodyPr>
                  </wps:wsp>
                </a:graphicData>
              </a:graphic>
            </wp:anchor>
          </w:drawing>
        </mc:Choice>
        <mc:Fallback>
          <w:pict>
            <v:shape id="文本框 342"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H2/v+INAgAADgQAAA4AAAAAAAAAAQAgAAAAHgEA&#10;AGRycy9lMm9Eb2MueG1sUEsFBgAAAAAGAAYAWQEAAJ0FAAAAAA==&#10;">
              <v:fill on="f" focussize="0,0"/>
              <v:stroke on="f"/>
              <v:imagedata o:title=""/>
              <o:lock v:ext="edit" aspectratio="f"/>
              <v:textbox inset="0mm,0mm,0mm,0mm" style="mso-fit-shape-to-text:t;">
                <w:txbxContent>
                  <w:p w14:paraId="4521B2D9">
                    <w:pPr>
                      <w:pStyle w:val="29"/>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44E30">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0331644" name="文本框 34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E2E5971">
                          <w:pPr>
                            <w:pStyle w:val="29"/>
                          </w:pPr>
                          <w:r>
                            <w:fldChar w:fldCharType="begin"/>
                          </w:r>
                          <w:r>
                            <w:instrText xml:space="preserve"> PAGE  \* MERGEFORMAT </w:instrText>
                          </w:r>
                          <w:r>
                            <w:fldChar w:fldCharType="separate"/>
                          </w:r>
                          <w:r>
                            <w:t>253</w:t>
                          </w:r>
                          <w:r>
                            <w:fldChar w:fldCharType="end"/>
                          </w:r>
                        </w:p>
                      </w:txbxContent>
                    </wps:txbx>
                    <wps:bodyPr rot="0" vert="horz" wrap="none" lIns="0" tIns="0" rIns="0" bIns="0" anchor="t" anchorCtr="0" upright="1">
                      <a:spAutoFit/>
                    </wps:bodyPr>
                  </wps:wsp>
                </a:graphicData>
              </a:graphic>
            </wp:anchor>
          </w:drawing>
        </mc:Choice>
        <mc:Fallback>
          <w:pict>
            <v:shape id="文本框 343"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&#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hQk6zA8CAAAPBAAADgAAAAAAAAABACAAAAAe&#10;AQAAZHJzL2Uyb0RvYy54bWxQSwUGAAAAAAYABgBZAQAAnwUAAAAA&#10;">
              <v:fill on="f" focussize="0,0"/>
              <v:stroke on="f"/>
              <v:imagedata o:title=""/>
              <o:lock v:ext="edit" aspectratio="f"/>
              <v:textbox inset="0mm,0mm,0mm,0mm" style="mso-fit-shape-to-text:t;">
                <w:txbxContent>
                  <w:p w14:paraId="4E2E5971">
                    <w:pPr>
                      <w:pStyle w:val="29"/>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674A0">
    <w:pPr>
      <w:pStyle w:val="29"/>
    </w:pPr>
    <w: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0161338" name="文本框 34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A8DC20">
                          <w:pPr>
                            <w:pStyle w:val="29"/>
                          </w:pPr>
                          <w:r>
                            <w:fldChar w:fldCharType="begin"/>
                          </w:r>
                          <w:r>
                            <w:instrText xml:space="preserve"> PAGE  \* MERGEFORMAT </w:instrText>
                          </w:r>
                          <w:r>
                            <w:fldChar w:fldCharType="separate"/>
                          </w:r>
                          <w:r>
                            <w:t>254</w:t>
                          </w:r>
                          <w:r>
                            <w:fldChar w:fldCharType="end"/>
                          </w:r>
                        </w:p>
                      </w:txbxContent>
                    </wps:txbx>
                    <wps:bodyPr rot="0" vert="horz" wrap="none" lIns="0" tIns="0" rIns="0" bIns="0" anchor="t" anchorCtr="0" upright="1">
                      <a:spAutoFit/>
                    </wps:bodyPr>
                  </wps:wsp>
                </a:graphicData>
              </a:graphic>
            </wp:anchor>
          </w:drawing>
        </mc:Choice>
        <mc:Fallback>
          <w:pict>
            <v:shape id="文本框 344"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kehJiA8CAAAPBAAADgAAAAAAAAABACAAAAAe&#10;AQAAZHJzL2Uyb0RvYy54bWxQSwUGAAAAAAYABgBZAQAAnwUAAAAA&#10;">
              <v:fill on="f" focussize="0,0"/>
              <v:stroke on="f"/>
              <v:imagedata o:title=""/>
              <o:lock v:ext="edit" aspectratio="f"/>
              <v:textbox inset="0mm,0mm,0mm,0mm" style="mso-fit-shape-to-text:t;">
                <w:txbxContent>
                  <w:p w14:paraId="14A8DC20">
                    <w:pPr>
                      <w:pStyle w:val="29"/>
                    </w:pPr>
                    <w:r>
                      <w:fldChar w:fldCharType="begin"/>
                    </w:r>
                    <w:r>
                      <w:instrText xml:space="preserve"> PAGE  \* MERGEFORMAT </w:instrText>
                    </w:r>
                    <w:r>
                      <w:fldChar w:fldCharType="separate"/>
                    </w:r>
                    <w:r>
                      <w:t>254</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-57150</wp:posOffset>
              </wp:positionV>
              <wp:extent cx="1181100" cy="129540"/>
              <wp:effectExtent l="0" t="0" r="0" b="3810"/>
              <wp:wrapNone/>
              <wp:docPr id="48211410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81100" cy="129540"/>
                      </a:xfrm>
                      <a:prstGeom prst="rect">
                        <a:avLst/>
                      </a:prstGeom>
                      <a:noFill/>
                      <a:ln>
                        <a:noFill/>
                      </a:ln>
                    </wps:spPr>
                    <wps:txbx>
                      <w:txbxContent>
                        <w:p w14:paraId="594088AE">
                          <w:pPr>
                            <w:snapToGrid w:val="0"/>
                            <w:rPr>
                              <w:sz w:val="18"/>
                              <w:szCs w:val="18"/>
                            </w:rPr>
                          </w:pPr>
                        </w:p>
                      </w:txbxContent>
                    </wps:txbx>
                    <wps:bodyPr rot="0" vert="horz" wrap="square" lIns="0" tIns="0" rIns="0" bIns="0" anchor="t" anchorCtr="0" upright="1">
                      <a:noAutofit/>
                    </wps:bodyPr>
                  </wps:wsp>
                </a:graphicData>
              </a:graphic>
            </wp:anchor>
          </w:drawing>
        </mc:Choice>
        <mc:Fallback>
          <w:pict>
            <v:shape id="文本框 5" o:spid="_x0000_s1026" o:spt="202" type="#_x0000_t202" style="position:absolute;left:0pt;margin-top:-4.5pt;height:10.2pt;width:93pt;mso-position-horizontal:center;mso-position-horizontal-relative:margin;z-index:251661312;mso-width-relative:page;mso-height-relative:page;" filled="f" stroked="f" coordsize="21600,21600" o:gfxdata="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yIWlNQAAAAGAQAADwAAAAAAAAAB&#10;ACAAAAAiAAAAZHJzL2Rvd25yZXYueG1sUEsBAhQAFAAAAAgAh07iQNgSzcwUAgAADQQAAA4AAAAA&#10;AAAAAQAgAAAAIwEAAGRycy9lMm9Eb2MueG1sUEsFBgAAAAAGAAYAWQEAAKkFAAAAAA==&#10;">
              <v:fill on="f" focussize="0,0"/>
              <v:stroke on="f"/>
              <v:imagedata o:title=""/>
              <o:lock v:ext="edit" aspectratio="f"/>
              <v:textbox inset="0mm,0mm,0mm,0mm">
                <w:txbxContent>
                  <w:p w14:paraId="594088AE">
                    <w:pPr>
                      <w:snapToGrid w:val="0"/>
                      <w:rPr>
                        <w:sz w:val="18"/>
                        <w:szCs w:val="18"/>
                      </w:rPr>
                    </w:pP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1811D">
    <w:pPr>
      <w:pStyle w:val="29"/>
      <w:jc w:val="center"/>
    </w:pPr>
    <w: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4270713" name="文本框 34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D5871C6">
                          <w:pPr>
                            <w:pStyle w:val="29"/>
                          </w:pPr>
                          <w:r>
                            <w:fldChar w:fldCharType="begin"/>
                          </w:r>
                          <w:r>
                            <w:instrText xml:space="preserve"> PAGE  \* MERGEFORMAT </w:instrText>
                          </w:r>
                          <w:r>
                            <w:fldChar w:fldCharType="separate"/>
                          </w:r>
                          <w:r>
                            <w:t>277</w:t>
                          </w:r>
                          <w:r>
                            <w:fldChar w:fldCharType="end"/>
                          </w:r>
                        </w:p>
                      </w:txbxContent>
                    </wps:txbx>
                    <wps:bodyPr rot="0" vert="horz" wrap="none" lIns="0" tIns="0" rIns="0" bIns="0" anchor="t" anchorCtr="0" upright="1">
                      <a:spAutoFit/>
                    </wps:bodyPr>
                  </wps:wsp>
                </a:graphicData>
              </a:graphic>
            </wp:anchor>
          </w:drawing>
        </mc:Choice>
        <mc:Fallback>
          <w:pict>
            <v:shape id="文本框 345"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vuPduQ8CAAAPBAAADgAAAAAAAAABACAAAAAe&#10;AQAAZHJzL2Uyb0RvYy54bWxQSwUGAAAAAAYABgBZAQAAnwUAAAAA&#10;">
              <v:fill on="f" focussize="0,0"/>
              <v:stroke on="f"/>
              <v:imagedata o:title=""/>
              <o:lock v:ext="edit" aspectratio="f"/>
              <v:textbox inset="0mm,0mm,0mm,0mm" style="mso-fit-shape-to-text:t;">
                <w:txbxContent>
                  <w:p w14:paraId="2D5871C6">
                    <w:pPr>
                      <w:pStyle w:val="29"/>
                    </w:pPr>
                    <w:r>
                      <w:fldChar w:fldCharType="begin"/>
                    </w:r>
                    <w:r>
                      <w:instrText xml:space="preserve"> PAGE  \* MERGEFORMAT </w:instrText>
                    </w:r>
                    <w:r>
                      <w:fldChar w:fldCharType="separate"/>
                    </w:r>
                    <w:r>
                      <w:t>277</w:t>
                    </w:r>
                    <w: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48298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92D5193">
                          <w:pPr>
                            <w:pStyle w:val="29"/>
                          </w:pP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8OZqgwCAAAMBAAADgAAAAAAAAABACAAAAAeAQAA&#10;ZHJzL2Uyb0RvYy54bWxQSwUGAAAAAAYABgBZAQAAnAUAAAAA&#10;">
              <v:fill on="f" focussize="0,0"/>
              <v:stroke on="f"/>
              <v:imagedata o:title=""/>
              <o:lock v:ext="edit" aspectratio="f"/>
              <v:textbox inset="0mm,0mm,0mm,0mm" style="mso-fit-shape-to-text:t;">
                <w:txbxContent>
                  <w:p w14:paraId="792D5193">
                    <w:pPr>
                      <w:pStyle w:val="29"/>
                    </w:pPr>
                  </w:p>
                </w:txbxContent>
              </v:textbox>
            </v:shape>
          </w:pict>
        </mc:Fallback>
      </mc:AlternateContent>
    </w:r>
  </w:p>
  <w:p w14:paraId="0B94563D">
    <w:pPr>
      <w:pStyle w:val="2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2CBFD">
    <w:pPr>
      <w:pStyle w:val="29"/>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2730549"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ED686AF">
                          <w:pPr>
                            <w:snapToGrid w:val="0"/>
                            <w:rPr>
                              <w:sz w:val="18"/>
                            </w:rPr>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&#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FskLgDgIAAA4EAAAOAAAAAAAAAAEAIAAAAB4B&#10;AABkcnMvZTJvRG9jLnhtbFBLBQYAAAAABgAGAFkBAACeBQAAAAA=&#10;">
              <v:fill on="f" focussize="0,0"/>
              <v:stroke on="f"/>
              <v:imagedata o:title=""/>
              <o:lock v:ext="edit" aspectratio="f"/>
              <v:textbox inset="0mm,0mm,0mm,0mm" style="mso-fit-shape-to-text:t;">
                <w:txbxContent>
                  <w:p w14:paraId="7ED686AF">
                    <w:pPr>
                      <w:snapToGrid w:val="0"/>
                      <w:rPr>
                        <w:sz w:val="18"/>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7E539">
    <w:pPr>
      <w:pStyle w:val="29"/>
      <w:ind w:firstLine="4590" w:firstLineChars="2550"/>
      <w:rPr>
        <w:color w:val="FFFFFF"/>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1332577"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5BB64A3">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Pr>
                              <w:rFonts w:hint="eastAsia"/>
                              <w:b/>
                              <w:bCs/>
                              <w:sz w:val="18"/>
                            </w:rPr>
                            <w:t>错误！未指定书签。</w:t>
                          </w:r>
                          <w:r>
                            <w:rPr>
                              <w:sz w:val="18"/>
                            </w:rPr>
                            <w:fldChar w:fldCharType="end"/>
                          </w:r>
                          <w:r>
                            <w:rPr>
                              <w:sz w:val="18"/>
                            </w:rPr>
                            <w:t xml:space="preserve"> </w:t>
                          </w:r>
                          <w:r>
                            <w:rPr>
                              <w:rFonts w:hint="eastAsia"/>
                              <w:sz w:val="18"/>
                            </w:rPr>
                            <w:t>页</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H+Y2BQNAgAADQQAAA4AAAAAAAAAAQAgAAAAHgEA&#10;AGRycy9lMm9Eb2MueG1sUEsFBgAAAAAGAAYAWQEAAJ0FAAAAAA==&#10;">
              <v:fill on="f" focussize="0,0"/>
              <v:stroke on="f"/>
              <v:imagedata o:title=""/>
              <o:lock v:ext="edit" aspectratio="f"/>
              <v:textbox inset="0mm,0mm,0mm,0mm" style="mso-fit-shape-to-text:t;">
                <w:txbxContent>
                  <w:p w14:paraId="05BB64A3">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Pr>
                        <w:rFonts w:hint="eastAsia"/>
                        <w:b/>
                        <w:bCs/>
                        <w:sz w:val="18"/>
                      </w:rPr>
                      <w:t>错误！未指定书签。</w:t>
                    </w:r>
                    <w:r>
                      <w:rPr>
                        <w:sz w:val="18"/>
                      </w:rPr>
                      <w:fldChar w:fldCharType="end"/>
                    </w:r>
                    <w:r>
                      <w:rPr>
                        <w:sz w:val="18"/>
                      </w:rPr>
                      <w:t xml:space="preserve"> </w:t>
                    </w:r>
                    <w:r>
                      <w:rPr>
                        <w:rFonts w:hint="eastAsia"/>
                        <w:sz w:val="18"/>
                      </w:rPr>
                      <w:t>页</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458E0">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7244715" name="文本框 34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0365F18">
                          <w:pPr>
                            <w:pStyle w:val="29"/>
                          </w:pPr>
                          <w:r>
                            <w:fldChar w:fldCharType="begin"/>
                          </w:r>
                          <w:r>
                            <w:instrText xml:space="preserve"> PAGE  \* MERGEFORMAT </w:instrText>
                          </w:r>
                          <w:r>
                            <w:fldChar w:fldCharType="separate"/>
                          </w:r>
                          <w:r>
                            <w:t>292</w:t>
                          </w:r>
                          <w:r>
                            <w:fldChar w:fldCharType="end"/>
                          </w:r>
                        </w:p>
                      </w:txbxContent>
                    </wps:txbx>
                    <wps:bodyPr rot="0" vert="horz" wrap="none" lIns="0" tIns="0" rIns="0" bIns="0" anchor="t" anchorCtr="0" upright="1">
                      <a:spAutoFit/>
                    </wps:bodyPr>
                  </wps:wsp>
                </a:graphicData>
              </a:graphic>
            </wp:anchor>
          </w:drawing>
        </mc:Choice>
        <mc:Fallback>
          <w:pict>
            <v:shape id="文本框 34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E0lz0UQAgAADwQAAA4AAAAAAAAAAQAgAAAA&#10;HgEAAGRycy9lMm9Eb2MueG1sUEsFBgAAAAAGAAYAWQEAAKAFAAAAAA==&#10;">
              <v:fill on="f" focussize="0,0"/>
              <v:stroke on="f"/>
              <v:imagedata o:title=""/>
              <o:lock v:ext="edit" aspectratio="f"/>
              <v:textbox inset="0mm,0mm,0mm,0mm" style="mso-fit-shape-to-text:t;">
                <w:txbxContent>
                  <w:p w14:paraId="60365F18">
                    <w:pPr>
                      <w:pStyle w:val="29"/>
                    </w:pPr>
                    <w:r>
                      <w:fldChar w:fldCharType="begin"/>
                    </w:r>
                    <w:r>
                      <w:instrText xml:space="preserve"> PAGE  \* MERGEFORMAT </w:instrText>
                    </w:r>
                    <w:r>
                      <w:fldChar w:fldCharType="separate"/>
                    </w:r>
                    <w:r>
                      <w:t>292</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86957">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1638929" name="文本框 34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2A458BF">
                          <w:pPr>
                            <w:pStyle w:val="29"/>
                          </w:pPr>
                          <w:r>
                            <w:fldChar w:fldCharType="begin"/>
                          </w:r>
                          <w:r>
                            <w:instrText xml:space="preserve"> PAGE  \* MERGEFORMAT </w:instrText>
                          </w:r>
                          <w:r>
                            <w:fldChar w:fldCharType="separate"/>
                          </w:r>
                          <w:r>
                            <w:t>295</w:t>
                          </w:r>
                          <w:r>
                            <w:fldChar w:fldCharType="end"/>
                          </w:r>
                        </w:p>
                      </w:txbxContent>
                    </wps:txbx>
                    <wps:bodyPr rot="0" vert="horz" wrap="none" lIns="0" tIns="0" rIns="0" bIns="0" anchor="t" anchorCtr="0" upright="1">
                      <a:spAutoFit/>
                    </wps:bodyPr>
                  </wps:wsp>
                </a:graphicData>
              </a:graphic>
            </wp:anchor>
          </w:drawing>
        </mc:Choice>
        <mc:Fallback>
          <w:pict>
            <v:shape id="文本框 347"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&#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DrvhJg8CAAAPBAAADgAAAAAAAAABACAAAAAe&#10;AQAAZHJzL2Uyb0RvYy54bWxQSwUGAAAAAAYABgBZAQAAnwUAAAAA&#10;">
              <v:fill on="f" focussize="0,0"/>
              <v:stroke on="f"/>
              <v:imagedata o:title=""/>
              <o:lock v:ext="edit" aspectratio="f"/>
              <v:textbox inset="0mm,0mm,0mm,0mm" style="mso-fit-shape-to-text:t;">
                <w:txbxContent>
                  <w:p w14:paraId="52A458BF">
                    <w:pPr>
                      <w:pStyle w:val="29"/>
                    </w:pPr>
                    <w:r>
                      <w:fldChar w:fldCharType="begin"/>
                    </w:r>
                    <w:r>
                      <w:instrText xml:space="preserve"> PAGE  \* MERGEFORMAT </w:instrText>
                    </w:r>
                    <w:r>
                      <w:fldChar w:fldCharType="separate"/>
                    </w:r>
                    <w:r>
                      <w:t>295</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EE2B9">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231565" name="文本框 34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823BA80">
                          <w:pPr>
                            <w:pStyle w:val="29"/>
                          </w:pPr>
                          <w:r>
                            <w:fldChar w:fldCharType="begin"/>
                          </w:r>
                          <w:r>
                            <w:instrText xml:space="preserve"> PAGE  \* MERGEFORMAT </w:instrText>
                          </w:r>
                          <w:r>
                            <w:fldChar w:fldCharType="separate"/>
                          </w:r>
                          <w:r>
                            <w:t>298</w:t>
                          </w:r>
                          <w:r>
                            <w:fldChar w:fldCharType="end"/>
                          </w:r>
                        </w:p>
                      </w:txbxContent>
                    </wps:txbx>
                    <wps:bodyPr rot="0" vert="horz" wrap="none" lIns="0" tIns="0" rIns="0" bIns="0" anchor="t" anchorCtr="0" upright="1">
                      <a:spAutoFit/>
                    </wps:bodyPr>
                  </wps:wsp>
                </a:graphicData>
              </a:graphic>
            </wp:anchor>
          </w:drawing>
        </mc:Choice>
        <mc:Fallback>
          <w:pict>
            <v:shape id="文本框 348"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&#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WE3QFDgIAAA4EAAAOAAAAAAAAAAEAIAAAAB4B&#10;AABkcnMvZTJvRG9jLnhtbFBLBQYAAAAABgAGAFkBAACeBQAAAAA=&#10;">
              <v:fill on="f" focussize="0,0"/>
              <v:stroke on="f"/>
              <v:imagedata o:title=""/>
              <o:lock v:ext="edit" aspectratio="f"/>
              <v:textbox inset="0mm,0mm,0mm,0mm" style="mso-fit-shape-to-text:t;">
                <w:txbxContent>
                  <w:p w14:paraId="0823BA80">
                    <w:pPr>
                      <w:pStyle w:val="29"/>
                    </w:pPr>
                    <w:r>
                      <w:fldChar w:fldCharType="begin"/>
                    </w:r>
                    <w:r>
                      <w:instrText xml:space="preserve"> PAGE  \* MERGEFORMAT </w:instrText>
                    </w:r>
                    <w:r>
                      <w:fldChar w:fldCharType="separate"/>
                    </w:r>
                    <w:r>
                      <w:t>298</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1B5A0">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0207994" name="文本框 34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D1AD8EC">
                          <w:pPr>
                            <w:pStyle w:val="29"/>
                          </w:pPr>
                          <w:r>
                            <w:fldChar w:fldCharType="begin"/>
                          </w:r>
                          <w:r>
                            <w:instrText xml:space="preserve"> PAGE  \* MERGEFORMAT </w:instrText>
                          </w:r>
                          <w:r>
                            <w:fldChar w:fldCharType="separate"/>
                          </w:r>
                          <w:r>
                            <w:t>300</w:t>
                          </w:r>
                          <w:r>
                            <w:fldChar w:fldCharType="end"/>
                          </w:r>
                        </w:p>
                      </w:txbxContent>
                    </wps:txbx>
                    <wps:bodyPr rot="0" vert="horz" wrap="none" lIns="0" tIns="0" rIns="0" bIns="0" anchor="t" anchorCtr="0" upright="1">
                      <a:spAutoFit/>
                    </wps:bodyPr>
                  </wps:wsp>
                </a:graphicData>
              </a:graphic>
            </wp:anchor>
          </w:drawing>
        </mc:Choice>
        <mc:Fallback>
          <w:pict>
            <v:shape id="文本框 349"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EVnZsw8CAAAPBAAADgAAAAAAAAABACAAAAAe&#10;AQAAZHJzL2Uyb0RvYy54bWxQSwUGAAAAAAYABgBZAQAAnwUAAAAA&#10;">
              <v:fill on="f" focussize="0,0"/>
              <v:stroke on="f"/>
              <v:imagedata o:title=""/>
              <o:lock v:ext="edit" aspectratio="f"/>
              <v:textbox inset="0mm,0mm,0mm,0mm" style="mso-fit-shape-to-text:t;">
                <w:txbxContent>
                  <w:p w14:paraId="7D1AD8EC">
                    <w:pPr>
                      <w:pStyle w:val="29"/>
                    </w:pPr>
                    <w:r>
                      <w:fldChar w:fldCharType="begin"/>
                    </w:r>
                    <w:r>
                      <w:instrText xml:space="preserve"> PAGE  \* MERGEFORMAT </w:instrText>
                    </w:r>
                    <w:r>
                      <w:fldChar w:fldCharType="separate"/>
                    </w:r>
                    <w:r>
                      <w:t>300</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3D121">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1823576" name="文本框 35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B8C1BEB">
                          <w:pPr>
                            <w:pStyle w:val="29"/>
                          </w:pPr>
                          <w:r>
                            <w:fldChar w:fldCharType="begin"/>
                          </w:r>
                          <w:r>
                            <w:instrText xml:space="preserve"> PAGE  \* MERGEFORMAT </w:instrText>
                          </w:r>
                          <w:r>
                            <w:fldChar w:fldCharType="separate"/>
                          </w:r>
                          <w:r>
                            <w:t>301</w:t>
                          </w:r>
                          <w:r>
                            <w:fldChar w:fldCharType="end"/>
                          </w:r>
                        </w:p>
                      </w:txbxContent>
                    </wps:txbx>
                    <wps:bodyPr rot="0" vert="horz" wrap="none" lIns="0" tIns="0" rIns="0" bIns="0" anchor="t" anchorCtr="0" upright="1">
                      <a:spAutoFit/>
                    </wps:bodyPr>
                  </wps:wsp>
                </a:graphicData>
              </a:graphic>
            </wp:anchor>
          </w:drawing>
        </mc:Choice>
        <mc:Fallback>
          <w:pict>
            <v:shape id="文本框 350"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6UDoSQ8CAAAOBAAADgAAAAAAAAABACAAAAAe&#10;AQAAZHJzL2Uyb0RvYy54bWxQSwUGAAAAAAYABgBZAQAAnwUAAAAA&#10;">
              <v:fill on="f" focussize="0,0"/>
              <v:stroke on="f"/>
              <v:imagedata o:title=""/>
              <o:lock v:ext="edit" aspectratio="f"/>
              <v:textbox inset="0mm,0mm,0mm,0mm" style="mso-fit-shape-to-text:t;">
                <w:txbxContent>
                  <w:p w14:paraId="5B8C1BEB">
                    <w:pPr>
                      <w:pStyle w:val="29"/>
                    </w:pPr>
                    <w:r>
                      <w:fldChar w:fldCharType="begin"/>
                    </w:r>
                    <w:r>
                      <w:instrText xml:space="preserve"> PAGE  \* MERGEFORMAT </w:instrText>
                    </w:r>
                    <w:r>
                      <w:fldChar w:fldCharType="separate"/>
                    </w:r>
                    <w:r>
                      <w:t>301</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A97FF">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805723" name="文本框 35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4AC3BA6">
                          <w:pPr>
                            <w:pStyle w:val="29"/>
                          </w:pPr>
                          <w:r>
                            <w:fldChar w:fldCharType="begin"/>
                          </w:r>
                          <w:r>
                            <w:instrText xml:space="preserve"> PAGE  \* MERGEFORMAT </w:instrText>
                          </w:r>
                          <w:r>
                            <w:fldChar w:fldCharType="separate"/>
                          </w:r>
                          <w:r>
                            <w:t>302</w:t>
                          </w:r>
                          <w:r>
                            <w:fldChar w:fldCharType="end"/>
                          </w:r>
                        </w:p>
                      </w:txbxContent>
                    </wps:txbx>
                    <wps:bodyPr rot="0" vert="horz" wrap="none" lIns="0" tIns="0" rIns="0" bIns="0" anchor="t" anchorCtr="0" upright="1">
                      <a:spAutoFit/>
                    </wps:bodyPr>
                  </wps:wsp>
                </a:graphicData>
              </a:graphic>
            </wp:anchor>
          </w:drawing>
        </mc:Choice>
        <mc:Fallback>
          <w:pict>
            <v:shape id="文本框 351"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I92yVwwCAAANBAAADgAAAAAAAAABACAAAAAeAQAA&#10;ZHJzL2Uyb0RvYy54bWxQSwUGAAAAAAYABgBZAQAAnAUAAAAA&#10;">
              <v:fill on="f" focussize="0,0"/>
              <v:stroke on="f"/>
              <v:imagedata o:title=""/>
              <o:lock v:ext="edit" aspectratio="f"/>
              <v:textbox inset="0mm,0mm,0mm,0mm" style="mso-fit-shape-to-text:t;">
                <w:txbxContent>
                  <w:p w14:paraId="24AC3BA6">
                    <w:pPr>
                      <w:pStyle w:val="29"/>
                    </w:pPr>
                    <w:r>
                      <w:fldChar w:fldCharType="begin"/>
                    </w:r>
                    <w:r>
                      <w:instrText xml:space="preserve"> PAGE  \* MERGEFORMAT </w:instrText>
                    </w:r>
                    <w:r>
                      <w:fldChar w:fldCharType="separate"/>
                    </w:r>
                    <w:r>
                      <w:t>302</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97BC6">
    <w:pPr>
      <w:widowControl/>
      <w:kinsoku w:val="0"/>
      <w:autoSpaceDE w:val="0"/>
      <w:autoSpaceDN w:val="0"/>
      <w:adjustRightInd w:val="0"/>
      <w:snapToGrid w:val="0"/>
      <w:spacing w:line="229" w:lineRule="auto"/>
      <w:ind w:left="4524"/>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5579922" name="文本框 35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8315424">
                          <w:pPr>
                            <w:pStyle w:val="29"/>
                          </w:pPr>
                          <w:r>
                            <w:fldChar w:fldCharType="begin"/>
                          </w:r>
                          <w:r>
                            <w:instrText xml:space="preserve"> PAGE  \* MERGEFORMAT </w:instrText>
                          </w:r>
                          <w:r>
                            <w:fldChar w:fldCharType="separate"/>
                          </w:r>
                          <w:r>
                            <w:t>303</w:t>
                          </w:r>
                          <w:r>
                            <w:fldChar w:fldCharType="end"/>
                          </w:r>
                        </w:p>
                      </w:txbxContent>
                    </wps:txbx>
                    <wps:bodyPr rot="0" vert="horz" wrap="none" lIns="0" tIns="0" rIns="0" bIns="0" anchor="t" anchorCtr="0" upright="1">
                      <a:spAutoFit/>
                    </wps:bodyPr>
                  </wps:wsp>
                </a:graphicData>
              </a:graphic>
            </wp:anchor>
          </w:drawing>
        </mc:Choice>
        <mc:Fallback>
          <w:pict>
            <v:shape id="文本框 352"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rl1hkA8CAAAPBAAADgAAAAAAAAABACAAAAAe&#10;AQAAZHJzL2Uyb0RvYy54bWxQSwUGAAAAAAYABgBZAQAAnwUAAAAA&#10;">
              <v:fill on="f" focussize="0,0"/>
              <v:stroke on="f"/>
              <v:imagedata o:title=""/>
              <o:lock v:ext="edit" aspectratio="f"/>
              <v:textbox inset="0mm,0mm,0mm,0mm" style="mso-fit-shape-to-text:t;">
                <w:txbxContent>
                  <w:p w14:paraId="38315424">
                    <w:pPr>
                      <w:pStyle w:val="29"/>
                    </w:pPr>
                    <w:r>
                      <w:fldChar w:fldCharType="begin"/>
                    </w:r>
                    <w:r>
                      <w:instrText xml:space="preserve"> PAGE  \* MERGEFORMAT </w:instrText>
                    </w:r>
                    <w:r>
                      <w:fldChar w:fldCharType="separate"/>
                    </w:r>
                    <w:r>
                      <w:t>303</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D3135">
    <w:pPr>
      <w:widowControl/>
      <w:kinsoku w:val="0"/>
      <w:autoSpaceDE w:val="0"/>
      <w:autoSpaceDN w:val="0"/>
      <w:adjustRightInd w:val="0"/>
      <w:snapToGrid w:val="0"/>
      <w:spacing w:line="229" w:lineRule="auto"/>
      <w:ind w:left="4524"/>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8272778" name="文本框 35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10160C6">
                          <w:pPr>
                            <w:pStyle w:val="29"/>
                          </w:pPr>
                          <w:r>
                            <w:fldChar w:fldCharType="begin"/>
                          </w:r>
                          <w:r>
                            <w:instrText xml:space="preserve"> PAGE  \* MERGEFORMAT </w:instrText>
                          </w:r>
                          <w:r>
                            <w:fldChar w:fldCharType="separate"/>
                          </w:r>
                          <w:r>
                            <w:t>304</w:t>
                          </w:r>
                          <w:r>
                            <w:fldChar w:fldCharType="end"/>
                          </w:r>
                        </w:p>
                      </w:txbxContent>
                    </wps:txbx>
                    <wps:bodyPr rot="0" vert="horz" wrap="none" lIns="0" tIns="0" rIns="0" bIns="0" anchor="t" anchorCtr="0" upright="1">
                      <a:spAutoFit/>
                    </wps:bodyPr>
                  </wps:wsp>
                </a:graphicData>
              </a:graphic>
            </wp:anchor>
          </w:drawing>
        </mc:Choice>
        <mc:Fallback>
          <w:pict>
            <v:shape id="文本框 353"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fvf3ng8CAAAOBAAADgAAAAAAAAABACAAAAAe&#10;AQAAZHJzL2Uyb0RvYy54bWxQSwUGAAAAAAYABgBZAQAAnwUAAAAA&#10;">
              <v:fill on="f" focussize="0,0"/>
              <v:stroke on="f"/>
              <v:imagedata o:title=""/>
              <o:lock v:ext="edit" aspectratio="f"/>
              <v:textbox inset="0mm,0mm,0mm,0mm" style="mso-fit-shape-to-text:t;">
                <w:txbxContent>
                  <w:p w14:paraId="210160C6">
                    <w:pPr>
                      <w:pStyle w:val="29"/>
                    </w:pPr>
                    <w:r>
                      <w:fldChar w:fldCharType="begin"/>
                    </w:r>
                    <w:r>
                      <w:instrText xml:space="preserve"> PAGE  \* MERGEFORMAT </w:instrText>
                    </w:r>
                    <w:r>
                      <w:fldChar w:fldCharType="separate"/>
                    </w:r>
                    <w:r>
                      <w:t>304</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82C8A">
    <w:pPr>
      <w:widowControl/>
      <w:kinsoku w:val="0"/>
      <w:autoSpaceDE w:val="0"/>
      <w:autoSpaceDN w:val="0"/>
      <w:adjustRightInd w:val="0"/>
      <w:snapToGrid w:val="0"/>
      <w:spacing w:line="229" w:lineRule="auto"/>
      <w:ind w:left="4557"/>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8946347" name="文本框 35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24F0FEE">
                          <w:pPr>
                            <w:pStyle w:val="29"/>
                          </w:pPr>
                          <w:r>
                            <w:fldChar w:fldCharType="begin"/>
                          </w:r>
                          <w:r>
                            <w:instrText xml:space="preserve"> PAGE  \* MERGEFORMAT </w:instrText>
                          </w:r>
                          <w:r>
                            <w:fldChar w:fldCharType="separate"/>
                          </w:r>
                          <w:r>
                            <w:t>305</w:t>
                          </w:r>
                          <w:r>
                            <w:fldChar w:fldCharType="end"/>
                          </w:r>
                        </w:p>
                      </w:txbxContent>
                    </wps:txbx>
                    <wps:bodyPr rot="0" vert="horz" wrap="none" lIns="0" tIns="0" rIns="0" bIns="0" anchor="t" anchorCtr="0" upright="1">
                      <a:spAutoFit/>
                    </wps:bodyPr>
                  </wps:wsp>
                </a:graphicData>
              </a:graphic>
            </wp:anchor>
          </w:drawing>
        </mc:Choice>
        <mc:Fallback>
          <w:pict>
            <v:shape id="文本框 354"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JwVGEYQAgAADgQAAA4AAAAAAAAAAQAgAAAA&#10;HgEAAGRycy9lMm9Eb2MueG1sUEsFBgAAAAAGAAYAWQEAAKAFAAAAAA==&#10;">
              <v:fill on="f" focussize="0,0"/>
              <v:stroke on="f"/>
              <v:imagedata o:title=""/>
              <o:lock v:ext="edit" aspectratio="f"/>
              <v:textbox inset="0mm,0mm,0mm,0mm" style="mso-fit-shape-to-text:t;">
                <w:txbxContent>
                  <w:p w14:paraId="624F0FEE">
                    <w:pPr>
                      <w:pStyle w:val="29"/>
                    </w:pPr>
                    <w:r>
                      <w:fldChar w:fldCharType="begin"/>
                    </w:r>
                    <w:r>
                      <w:instrText xml:space="preserve"> PAGE  \* MERGEFORMAT </w:instrText>
                    </w:r>
                    <w:r>
                      <w:fldChar w:fldCharType="separate"/>
                    </w:r>
                    <w:r>
                      <w:t>305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5032C">
    <w:pPr>
      <w:pStyle w:val="29"/>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2643377" name="文本框 29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5B1DEB5">
                          <w:pPr>
                            <w:pStyle w:val="29"/>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292"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RncxNDgIAAA8EAAAOAAAAAAAAAAEAIAAAAB4B&#10;AABkcnMvZTJvRG9jLnhtbFBLBQYAAAAABgAGAFkBAACeBQAAAAA=&#10;">
              <v:fill on="f" focussize="0,0"/>
              <v:stroke on="f"/>
              <v:imagedata o:title=""/>
              <o:lock v:ext="edit" aspectratio="f"/>
              <v:textbox inset="0mm,0mm,0mm,0mm" style="mso-fit-shape-to-text:t;">
                <w:txbxContent>
                  <w:p w14:paraId="75B1DEB5">
                    <w:pPr>
                      <w:pStyle w:val="2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14935" cy="131445"/>
              <wp:effectExtent l="0" t="0" r="0" b="1905"/>
              <wp:wrapNone/>
              <wp:docPr id="1268108031"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E529A0D">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7155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MFx1usSAgAACwQAAA4AAAAAAAAAAQAg&#10;AAAAHwEAAGRycy9lMm9Eb2MueG1sUEsFBgAAAAAGAAYAWQEAAKMFAAAAAA==&#10;">
              <v:fill on="f" focussize="0,0"/>
              <v:stroke on="f"/>
              <v:imagedata o:title=""/>
              <o:lock v:ext="edit" aspectratio="f"/>
              <v:textbox inset="0mm,0mm,0mm,0mm" style="mso-fit-shape-to-text:t;">
                <w:txbxContent>
                  <w:p w14:paraId="1E529A0D">
                    <w:pPr>
                      <w:snapToGrid w:val="0"/>
                      <w:rPr>
                        <w:sz w:val="18"/>
                      </w:rPr>
                    </w:pP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EF9CB">
    <w:pPr>
      <w:widowControl/>
      <w:kinsoku w:val="0"/>
      <w:autoSpaceDE w:val="0"/>
      <w:autoSpaceDN w:val="0"/>
      <w:adjustRightInd w:val="0"/>
      <w:snapToGrid w:val="0"/>
      <w:spacing w:line="229" w:lineRule="auto"/>
      <w:ind w:left="452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8763153" name="文本框 35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9567351">
                          <w:pPr>
                            <w:pStyle w:val="29"/>
                          </w:pPr>
                          <w:r>
                            <w:fldChar w:fldCharType="begin"/>
                          </w:r>
                          <w:r>
                            <w:instrText xml:space="preserve"> PAGE  \* MERGEFORMAT </w:instrText>
                          </w:r>
                          <w:r>
                            <w:fldChar w:fldCharType="separate"/>
                          </w:r>
                          <w:r>
                            <w:t>307</w:t>
                          </w:r>
                          <w:r>
                            <w:fldChar w:fldCharType="end"/>
                          </w:r>
                        </w:p>
                      </w:txbxContent>
                    </wps:txbx>
                    <wps:bodyPr rot="0" vert="horz" wrap="none" lIns="0" tIns="0" rIns="0" bIns="0" anchor="t" anchorCtr="0" upright="1">
                      <a:spAutoFit/>
                    </wps:bodyPr>
                  </wps:wsp>
                </a:graphicData>
              </a:graphic>
            </wp:anchor>
          </w:drawing>
        </mc:Choice>
        <mc:Fallback>
          <w:pict>
            <v:shape id="文本框 355"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AQExA8CAAAPBAAADgAAAAAAAAABACAAAAAe&#10;AQAAZHJzL2Uyb0RvYy54bWxQSwUGAAAAAAYABgBZAQAAnwUAAAAA&#10;">
              <v:fill on="f" focussize="0,0"/>
              <v:stroke on="f"/>
              <v:imagedata o:title=""/>
              <o:lock v:ext="edit" aspectratio="f"/>
              <v:textbox inset="0mm,0mm,0mm,0mm" style="mso-fit-shape-to-text:t;">
                <w:txbxContent>
                  <w:p w14:paraId="59567351">
                    <w:pPr>
                      <w:pStyle w:val="29"/>
                    </w:pPr>
                    <w:r>
                      <w:fldChar w:fldCharType="begin"/>
                    </w:r>
                    <w:r>
                      <w:instrText xml:space="preserve"> PAGE  \* MERGEFORMAT </w:instrText>
                    </w:r>
                    <w:r>
                      <w:fldChar w:fldCharType="separate"/>
                    </w:r>
                    <w:r>
                      <w:t>307</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F887E">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0696230" name="文本框 35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2AE4A16">
                          <w:pPr>
                            <w:pStyle w:val="29"/>
                          </w:pPr>
                          <w:r>
                            <w:fldChar w:fldCharType="begin"/>
                          </w:r>
                          <w:r>
                            <w:instrText xml:space="preserve"> PAGE  \* MERGEFORMAT </w:instrText>
                          </w:r>
                          <w:r>
                            <w:fldChar w:fldCharType="separate"/>
                          </w:r>
                          <w:r>
                            <w:t>308</w:t>
                          </w:r>
                          <w:r>
                            <w:fldChar w:fldCharType="end"/>
                          </w:r>
                        </w:p>
                      </w:txbxContent>
                    </wps:txbx>
                    <wps:bodyPr rot="0" vert="horz" wrap="none" lIns="0" tIns="0" rIns="0" bIns="0" anchor="t" anchorCtr="0" upright="1">
                      <a:spAutoFit/>
                    </wps:bodyPr>
                  </wps:wsp>
                </a:graphicData>
              </a:graphic>
            </wp:anchor>
          </w:drawing>
        </mc:Choice>
        <mc:Fallback>
          <w:pict>
            <v:shape id="文本框 35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FgGMZQNAgAADgQAAA4AAAAAAAAAAQAgAAAAHgEA&#10;AGRycy9lMm9Eb2MueG1sUEsFBgAAAAAGAAYAWQEAAJ0FAAAAAA==&#10;">
              <v:fill on="f" focussize="0,0"/>
              <v:stroke on="f"/>
              <v:imagedata o:title=""/>
              <o:lock v:ext="edit" aspectratio="f"/>
              <v:textbox inset="0mm,0mm,0mm,0mm" style="mso-fit-shape-to-text:t;">
                <w:txbxContent>
                  <w:p w14:paraId="42AE4A16">
                    <w:pPr>
                      <w:pStyle w:val="29"/>
                    </w:pPr>
                    <w:r>
                      <w:fldChar w:fldCharType="begin"/>
                    </w:r>
                    <w:r>
                      <w:instrText xml:space="preserve"> PAGE  \* MERGEFORMAT </w:instrText>
                    </w:r>
                    <w:r>
                      <w:fldChar w:fldCharType="separate"/>
                    </w:r>
                    <w:r>
                      <w:t>308</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5C8C7">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37879069" name="文本框 35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4AE22C5">
                          <w:pPr>
                            <w:pStyle w:val="29"/>
                          </w:pPr>
                          <w:r>
                            <w:fldChar w:fldCharType="begin"/>
                          </w:r>
                          <w:r>
                            <w:instrText xml:space="preserve"> PAGE  \* MERGEFORMAT </w:instrText>
                          </w:r>
                          <w:r>
                            <w:fldChar w:fldCharType="separate"/>
                          </w:r>
                          <w:r>
                            <w:t>309</w:t>
                          </w:r>
                          <w:r>
                            <w:fldChar w:fldCharType="end"/>
                          </w:r>
                        </w:p>
                      </w:txbxContent>
                    </wps:txbx>
                    <wps:bodyPr rot="0" vert="horz" wrap="none" lIns="0" tIns="0" rIns="0" bIns="0" anchor="t" anchorCtr="0" upright="1">
                      <a:spAutoFit/>
                    </wps:bodyPr>
                  </wps:wsp>
                </a:graphicData>
              </a:graphic>
            </wp:anchor>
          </w:drawing>
        </mc:Choice>
        <mc:Fallback>
          <w:pict>
            <v:shape id="文本框 357"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&#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cOFNPw8CAAAOBAAADgAAAAAAAAABACAAAAAe&#10;AQAAZHJzL2Uyb0RvYy54bWxQSwUGAAAAAAYABgBZAQAAnwUAAAAA&#10;">
              <v:fill on="f" focussize="0,0"/>
              <v:stroke on="f"/>
              <v:imagedata o:title=""/>
              <o:lock v:ext="edit" aspectratio="f"/>
              <v:textbox inset="0mm,0mm,0mm,0mm" style="mso-fit-shape-to-text:t;">
                <w:txbxContent>
                  <w:p w14:paraId="14AE22C5">
                    <w:pPr>
                      <w:pStyle w:val="29"/>
                    </w:pPr>
                    <w:r>
                      <w:fldChar w:fldCharType="begin"/>
                    </w:r>
                    <w:r>
                      <w:instrText xml:space="preserve"> PAGE  \* MERGEFORMAT </w:instrText>
                    </w:r>
                    <w:r>
                      <w:fldChar w:fldCharType="separate"/>
                    </w:r>
                    <w:r>
                      <w:t>309</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9A8A2">
    <w:pPr>
      <w:widowControl/>
      <w:kinsoku w:val="0"/>
      <w:autoSpaceDE w:val="0"/>
      <w:autoSpaceDN w:val="0"/>
      <w:adjustRightInd w:val="0"/>
      <w:snapToGrid w:val="0"/>
      <w:spacing w:line="229" w:lineRule="auto"/>
      <w:ind w:left="464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35906437" name="文本框 35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B427414">
                          <w:pPr>
                            <w:pStyle w:val="29"/>
                          </w:pPr>
                          <w:r>
                            <w:fldChar w:fldCharType="begin"/>
                          </w:r>
                          <w:r>
                            <w:instrText xml:space="preserve"> PAGE  \* MERGEFORMAT </w:instrText>
                          </w:r>
                          <w:r>
                            <w:fldChar w:fldCharType="separate"/>
                          </w:r>
                          <w:r>
                            <w:t>310</w:t>
                          </w:r>
                          <w:r>
                            <w:fldChar w:fldCharType="end"/>
                          </w:r>
                        </w:p>
                      </w:txbxContent>
                    </wps:txbx>
                    <wps:bodyPr rot="0" vert="horz" wrap="none" lIns="0" tIns="0" rIns="0" bIns="0" anchor="t" anchorCtr="0" upright="1">
                      <a:spAutoFit/>
                    </wps:bodyPr>
                  </wps:wsp>
                </a:graphicData>
              </a:graphic>
            </wp:anchor>
          </w:drawing>
        </mc:Choice>
        <mc:Fallback>
          <w:pict>
            <v:shape id="文本框 358"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8Gkv9g8CAAAOBAAADgAAAAAAAAABACAAAAAe&#10;AQAAZHJzL2Uyb0RvYy54bWxQSwUGAAAAAAYABgBZAQAAnwUAAAAA&#10;">
              <v:fill on="f" focussize="0,0"/>
              <v:stroke on="f"/>
              <v:imagedata o:title=""/>
              <o:lock v:ext="edit" aspectratio="f"/>
              <v:textbox inset="0mm,0mm,0mm,0mm" style="mso-fit-shape-to-text:t;">
                <w:txbxContent>
                  <w:p w14:paraId="2B427414">
                    <w:pPr>
                      <w:pStyle w:val="29"/>
                    </w:pPr>
                    <w:r>
                      <w:fldChar w:fldCharType="begin"/>
                    </w:r>
                    <w:r>
                      <w:instrText xml:space="preserve"> PAGE  \* MERGEFORMAT </w:instrText>
                    </w:r>
                    <w:r>
                      <w:fldChar w:fldCharType="separate"/>
                    </w:r>
                    <w:r>
                      <w:t>310</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DCC0B">
    <w:pPr>
      <w:widowControl/>
      <w:kinsoku w:val="0"/>
      <w:autoSpaceDE w:val="0"/>
      <w:autoSpaceDN w:val="0"/>
      <w:adjustRightInd w:val="0"/>
      <w:snapToGrid w:val="0"/>
      <w:spacing w:line="229" w:lineRule="auto"/>
      <w:ind w:left="458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7473491" name="文本框 35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6A9E76A">
                          <w:pPr>
                            <w:pStyle w:val="29"/>
                          </w:pPr>
                          <w:r>
                            <w:fldChar w:fldCharType="begin"/>
                          </w:r>
                          <w:r>
                            <w:instrText xml:space="preserve"> PAGE  \* MERGEFORMAT </w:instrText>
                          </w:r>
                          <w:r>
                            <w:fldChar w:fldCharType="separate"/>
                          </w:r>
                          <w:r>
                            <w:t>311</w:t>
                          </w:r>
                          <w:r>
                            <w:fldChar w:fldCharType="end"/>
                          </w:r>
                        </w:p>
                      </w:txbxContent>
                    </wps:txbx>
                    <wps:bodyPr rot="0" vert="horz" wrap="none" lIns="0" tIns="0" rIns="0" bIns="0" anchor="t" anchorCtr="0" upright="1">
                      <a:spAutoFit/>
                    </wps:bodyPr>
                  </wps:wsp>
                </a:graphicData>
              </a:graphic>
            </wp:anchor>
          </w:drawing>
        </mc:Choice>
        <mc:Fallback>
          <w:pict>
            <v:shape id="文本框 359"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GR2VjEQAgAADgQAAA4AAAAAAAAAAQAgAAAA&#10;HgEAAGRycy9lMm9Eb2MueG1sUEsFBgAAAAAGAAYAWQEAAKAFAAAAAA==&#10;">
              <v:fill on="f" focussize="0,0"/>
              <v:stroke on="f"/>
              <v:imagedata o:title=""/>
              <o:lock v:ext="edit" aspectratio="f"/>
              <v:textbox inset="0mm,0mm,0mm,0mm" style="mso-fit-shape-to-text:t;">
                <w:txbxContent>
                  <w:p w14:paraId="16A9E76A">
                    <w:pPr>
                      <w:pStyle w:val="29"/>
                    </w:pPr>
                    <w:r>
                      <w:fldChar w:fldCharType="begin"/>
                    </w:r>
                    <w:r>
                      <w:instrText xml:space="preserve"> PAGE  \* MERGEFORMAT </w:instrText>
                    </w:r>
                    <w:r>
                      <w:fldChar w:fldCharType="separate"/>
                    </w:r>
                    <w:r>
                      <w:t>311</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09483">
    <w:pPr>
      <w:spacing w:line="196" w:lineRule="auto"/>
      <w:ind w:left="4382"/>
      <w:rPr>
        <w:rFonts w:eastAsia="Times New Roman"/>
        <w:sz w:val="17"/>
        <w:szCs w:val="17"/>
      </w:rPr>
    </w:pPr>
    <w:r>
      <w:rPr>
        <w:sz w:val="17"/>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7689298" name="文本框 36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675F3B1">
                          <w:pPr>
                            <w:pStyle w:val="29"/>
                          </w:pPr>
                          <w:r>
                            <w:fldChar w:fldCharType="begin"/>
                          </w:r>
                          <w:r>
                            <w:instrText xml:space="preserve"> PAGE  \* MERGEFORMAT </w:instrText>
                          </w:r>
                          <w:r>
                            <w:fldChar w:fldCharType="separate"/>
                          </w:r>
                          <w:r>
                            <w:t>312</w:t>
                          </w:r>
                          <w:r>
                            <w:fldChar w:fldCharType="end"/>
                          </w:r>
                        </w:p>
                      </w:txbxContent>
                    </wps:txbx>
                    <wps:bodyPr rot="0" vert="horz" wrap="none" lIns="0" tIns="0" rIns="0" bIns="0" anchor="t" anchorCtr="0" upright="1">
                      <a:spAutoFit/>
                    </wps:bodyPr>
                  </wps:wsp>
                </a:graphicData>
              </a:graphic>
            </wp:anchor>
          </w:drawing>
        </mc:Choice>
        <mc:Fallback>
          <w:pict>
            <v:shape id="文本框 360"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&#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c+LZw8CAAAPBAAADgAAAAAAAAABACAAAAAe&#10;AQAAZHJzL2Uyb0RvYy54bWxQSwUGAAAAAAYABgBZAQAAnwUAAAAA&#10;">
              <v:fill on="f" focussize="0,0"/>
              <v:stroke on="f"/>
              <v:imagedata o:title=""/>
              <o:lock v:ext="edit" aspectratio="f"/>
              <v:textbox inset="0mm,0mm,0mm,0mm" style="mso-fit-shape-to-text:t;">
                <w:txbxContent>
                  <w:p w14:paraId="5675F3B1">
                    <w:pPr>
                      <w:pStyle w:val="29"/>
                    </w:pPr>
                    <w:r>
                      <w:fldChar w:fldCharType="begin"/>
                    </w:r>
                    <w:r>
                      <w:instrText xml:space="preserve"> PAGE  \* MERGEFORMAT </w:instrText>
                    </w:r>
                    <w:r>
                      <w:fldChar w:fldCharType="separate"/>
                    </w:r>
                    <w:r>
                      <w:t>312</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9BF16">
    <w:pPr>
      <w:tabs>
        <w:tab w:val="center" w:pos="4677"/>
      </w:tabs>
      <w:spacing w:line="196" w:lineRule="auto"/>
      <w:rPr>
        <w:rFonts w:eastAsia="Times New Roman"/>
        <w:sz w:val="17"/>
        <w:szCs w:val="17"/>
      </w:rPr>
    </w:pPr>
    <w:r>
      <w:rPr>
        <w:sz w:val="17"/>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491069" name="文本框 36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29ABD9D">
                          <w:pPr>
                            <w:pStyle w:val="29"/>
                          </w:pPr>
                          <w:r>
                            <w:fldChar w:fldCharType="begin"/>
                          </w:r>
                          <w:r>
                            <w:instrText xml:space="preserve"> PAGE  \* MERGEFORMAT </w:instrText>
                          </w:r>
                          <w:r>
                            <w:fldChar w:fldCharType="separate"/>
                          </w:r>
                          <w:r>
                            <w:t>313</w:t>
                          </w:r>
                          <w:r>
                            <w:fldChar w:fldCharType="end"/>
                          </w:r>
                        </w:p>
                      </w:txbxContent>
                    </wps:txbx>
                    <wps:bodyPr rot="0" vert="horz" wrap="none" lIns="0" tIns="0" rIns="0" bIns="0" anchor="t" anchorCtr="0" upright="1">
                      <a:spAutoFit/>
                    </wps:bodyPr>
                  </wps:wsp>
                </a:graphicData>
              </a:graphic>
            </wp:anchor>
          </w:drawing>
        </mc:Choice>
        <mc:Fallback>
          <w:pict>
            <v:shape id="文本框 361"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0OvQwQwCAAAMBAAADgAAAAAAAAABACAAAAAeAQAA&#10;ZHJzL2Uyb0RvYy54bWxQSwUGAAAAAAYABgBZAQAAnAUAAAAA&#10;">
              <v:fill on="f" focussize="0,0"/>
              <v:stroke on="f"/>
              <v:imagedata o:title=""/>
              <o:lock v:ext="edit" aspectratio="f"/>
              <v:textbox inset="0mm,0mm,0mm,0mm" style="mso-fit-shape-to-text:t;">
                <w:txbxContent>
                  <w:p w14:paraId="529ABD9D">
                    <w:pPr>
                      <w:pStyle w:val="29"/>
                    </w:pPr>
                    <w:r>
                      <w:fldChar w:fldCharType="begin"/>
                    </w:r>
                    <w:r>
                      <w:instrText xml:space="preserve"> PAGE  \* MERGEFORMAT </w:instrText>
                    </w:r>
                    <w:r>
                      <w:fldChar w:fldCharType="separate"/>
                    </w:r>
                    <w:r>
                      <w:t>313</w:t>
                    </w:r>
                    <w:r>
                      <w:fldChar w:fldCharType="end"/>
                    </w:r>
                  </w:p>
                </w:txbxContent>
              </v:textbox>
            </v:shape>
          </w:pict>
        </mc:Fallback>
      </mc:AlternateContent>
    </w:r>
    <w:r>
      <w:rPr>
        <w:rFonts w:hint="eastAsia"/>
        <w:sz w:val="17"/>
        <w:szCs w:val="17"/>
      </w:rPr>
      <w:tab/>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7D672">
    <w:pPr>
      <w:spacing w:line="229" w:lineRule="auto"/>
      <w:ind w:left="4411"/>
      <w:rPr>
        <w:rFonts w:hint="eastAsia" w:ascii="宋体" w:hAnsi="宋体" w:cs="宋体"/>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3766136" name="文本框 36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07E587C">
                          <w:pPr>
                            <w:pStyle w:val="29"/>
                          </w:pPr>
                          <w:r>
                            <w:fldChar w:fldCharType="begin"/>
                          </w:r>
                          <w:r>
                            <w:instrText xml:space="preserve"> PAGE  \* MERGEFORMAT </w:instrText>
                          </w:r>
                          <w:r>
                            <w:fldChar w:fldCharType="separate"/>
                          </w:r>
                          <w:r>
                            <w:t>314</w:t>
                          </w:r>
                          <w:r>
                            <w:fldChar w:fldCharType="end"/>
                          </w:r>
                        </w:p>
                      </w:txbxContent>
                    </wps:txbx>
                    <wps:bodyPr rot="0" vert="horz" wrap="none" lIns="0" tIns="0" rIns="0" bIns="0" anchor="t" anchorCtr="0" upright="1">
                      <a:spAutoFit/>
                    </wps:bodyPr>
                  </wps:wsp>
                </a:graphicData>
              </a:graphic>
            </wp:anchor>
          </w:drawing>
        </mc:Choice>
        <mc:Fallback>
          <w:pict>
            <v:shape id="文本框 362"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Zf8OsDgIAAA8EAAAOAAAAAAAAAAEAIAAAAB4B&#10;AABkcnMvZTJvRG9jLnhtbFBLBQYAAAAABgAGAFkBAACeBQAAAAA=&#10;">
              <v:fill on="f" focussize="0,0"/>
              <v:stroke on="f"/>
              <v:imagedata o:title=""/>
              <o:lock v:ext="edit" aspectratio="f"/>
              <v:textbox inset="0mm,0mm,0mm,0mm" style="mso-fit-shape-to-text:t;">
                <w:txbxContent>
                  <w:p w14:paraId="607E587C">
                    <w:pPr>
                      <w:pStyle w:val="29"/>
                    </w:pPr>
                    <w:r>
                      <w:fldChar w:fldCharType="begin"/>
                    </w:r>
                    <w:r>
                      <w:instrText xml:space="preserve"> PAGE  \* MERGEFORMAT </w:instrText>
                    </w:r>
                    <w:r>
                      <w:fldChar w:fldCharType="separate"/>
                    </w:r>
                    <w:r>
                      <w:t>314</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10062">
    <w:pPr>
      <w:spacing w:line="229" w:lineRule="auto"/>
      <w:ind w:left="4411"/>
      <w:rPr>
        <w:rFonts w:hint="eastAsia" w:ascii="宋体" w:hAnsi="宋体" w:cs="宋体"/>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0436106" name="文本框 36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41C8B86">
                          <w:pPr>
                            <w:pStyle w:val="29"/>
                          </w:pPr>
                          <w:r>
                            <w:fldChar w:fldCharType="begin"/>
                          </w:r>
                          <w:r>
                            <w:instrText xml:space="preserve"> PAGE  \* MERGEFORMAT </w:instrText>
                          </w:r>
                          <w:r>
                            <w:fldChar w:fldCharType="separate"/>
                          </w:r>
                          <w:r>
                            <w:t>316</w:t>
                          </w:r>
                          <w:r>
                            <w:fldChar w:fldCharType="end"/>
                          </w:r>
                        </w:p>
                      </w:txbxContent>
                    </wps:txbx>
                    <wps:bodyPr rot="0" vert="horz" wrap="none" lIns="0" tIns="0" rIns="0" bIns="0" anchor="t" anchorCtr="0" upright="1">
                      <a:spAutoFit/>
                    </wps:bodyPr>
                  </wps:wsp>
                </a:graphicData>
              </a:graphic>
            </wp:anchor>
          </w:drawing>
        </mc:Choice>
        <mc:Fallback>
          <w:pict>
            <v:shape id="文本框 363"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&#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AgFVWhDgIAAA8EAAAOAAAAAAAAAAEAIAAAAB4B&#10;AABkcnMvZTJvRG9jLnhtbFBLBQYAAAAABgAGAFkBAACeBQAAAAA=&#10;">
              <v:fill on="f" focussize="0,0"/>
              <v:stroke on="f"/>
              <v:imagedata o:title=""/>
              <o:lock v:ext="edit" aspectratio="f"/>
              <v:textbox inset="0mm,0mm,0mm,0mm" style="mso-fit-shape-to-text:t;">
                <w:txbxContent>
                  <w:p w14:paraId="441C8B86">
                    <w:pPr>
                      <w:pStyle w:val="29"/>
                    </w:pPr>
                    <w:r>
                      <w:fldChar w:fldCharType="begin"/>
                    </w:r>
                    <w:r>
                      <w:instrText xml:space="preserve"> PAGE  \* MERGEFORMAT </w:instrText>
                    </w:r>
                    <w:r>
                      <w:fldChar w:fldCharType="separate"/>
                    </w:r>
                    <w:r>
                      <w:t>316</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856F4">
    <w:pPr>
      <w:pStyle w:val="29"/>
    </w:pPr>
    <w: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8364819" name="文本框 36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5F7B726">
                          <w:pPr>
                            <w:pStyle w:val="29"/>
                          </w:pPr>
                          <w:r>
                            <w:fldChar w:fldCharType="begin"/>
                          </w:r>
                          <w:r>
                            <w:instrText xml:space="preserve"> PAGE  \* MERGEFORMAT </w:instrText>
                          </w:r>
                          <w:r>
                            <w:fldChar w:fldCharType="separate"/>
                          </w:r>
                          <w:r>
                            <w:t>317</w:t>
                          </w:r>
                          <w:r>
                            <w:fldChar w:fldCharType="end"/>
                          </w:r>
                        </w:p>
                      </w:txbxContent>
                    </wps:txbx>
                    <wps:bodyPr rot="0" vert="horz" wrap="none" lIns="0" tIns="0" rIns="0" bIns="0" anchor="t" anchorCtr="0" upright="1">
                      <a:spAutoFit/>
                    </wps:bodyPr>
                  </wps:wsp>
                </a:graphicData>
              </a:graphic>
            </wp:anchor>
          </w:drawing>
        </mc:Choice>
        <mc:Fallback>
          <w:pict>
            <v:shape id="文本框 364"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R2kOjDgIAAA8EAAAOAAAAAAAAAAEAIAAAAB4B&#10;AABkcnMvZTJvRG9jLnhtbFBLBQYAAAAABgAGAFkBAACeBQAAAAA=&#10;">
              <v:fill on="f" focussize="0,0"/>
              <v:stroke on="f"/>
              <v:imagedata o:title=""/>
              <o:lock v:ext="edit" aspectratio="f"/>
              <v:textbox inset="0mm,0mm,0mm,0mm" style="mso-fit-shape-to-text:t;">
                <w:txbxContent>
                  <w:p w14:paraId="25F7B726">
                    <w:pPr>
                      <w:pStyle w:val="29"/>
                    </w:pPr>
                    <w:r>
                      <w:fldChar w:fldCharType="begin"/>
                    </w:r>
                    <w:r>
                      <w:instrText xml:space="preserve"> PAGE  \* MERGEFORMAT </w:instrText>
                    </w:r>
                    <w:r>
                      <w:fldChar w:fldCharType="separate"/>
                    </w:r>
                    <w:r>
                      <w:t>317</w:t>
                    </w:r>
                    <w: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posOffset>2617470</wp:posOffset>
              </wp:positionH>
              <wp:positionV relativeFrom="paragraph">
                <wp:posOffset>0</wp:posOffset>
              </wp:positionV>
              <wp:extent cx="1094740" cy="154305"/>
              <wp:effectExtent l="0" t="0" r="2540" b="0"/>
              <wp:wrapNone/>
              <wp:docPr id="1350779881" name="文本框 1044"/>
              <wp:cNvGraphicFramePr/>
              <a:graphic xmlns:a="http://schemas.openxmlformats.org/drawingml/2006/main">
                <a:graphicData uri="http://schemas.microsoft.com/office/word/2010/wordprocessingShape">
                  <wps:wsp>
                    <wps:cNvSpPr txBox="1">
                      <a:spLocks noChangeArrowheads="1"/>
                    </wps:cNvSpPr>
                    <wps:spPr bwMode="auto">
                      <a:xfrm>
                        <a:off x="0" y="0"/>
                        <a:ext cx="1094740" cy="154305"/>
                      </a:xfrm>
                      <a:prstGeom prst="rect">
                        <a:avLst/>
                      </a:prstGeom>
                      <a:noFill/>
                      <a:ln>
                        <a:noFill/>
                      </a:ln>
                      <a:effectLst/>
                    </wps:spPr>
                    <wps:txbx>
                      <w:txbxContent>
                        <w:p w14:paraId="21C2E31A">
                          <w:pPr>
                            <w:snapToGrid w:val="0"/>
                            <w:rPr>
                              <w:sz w:val="18"/>
                            </w:rPr>
                          </w:pPr>
                        </w:p>
                      </w:txbxContent>
                    </wps:txbx>
                    <wps:bodyPr rot="0" vert="horz" wrap="square" lIns="0" tIns="0" rIns="0" bIns="0" anchor="t" anchorCtr="0" upright="1">
                      <a:noAutofit/>
                    </wps:bodyPr>
                  </wps:wsp>
                </a:graphicData>
              </a:graphic>
            </wp:anchor>
          </w:drawing>
        </mc:Choice>
        <mc:Fallback>
          <w:pict>
            <v:shape id="文本框 1044" o:spid="_x0000_s1026" o:spt="202" type="#_x0000_t202" style="position:absolute;left:0pt;margin-left:206.1pt;margin-top:0pt;height:12.15pt;width:86.2pt;mso-position-horizontal-relative:margin;z-index:251665408;mso-width-relative:page;mso-height-relative:page;" filled="f" stroked="f" coordsize="21600,21600" o:gfxdata="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4CvzTWAAAABwEA&#10;AA8AAAAAAAAAAQAgAAAAIgAAAGRycy9kb3ducmV2LnhtbFBLAQIUABQAAAAIAIdO4kCU/EFhHAIA&#10;AB8EAAAOAAAAAAAAAAEAIAAAACUBAABkcnMvZTJvRG9jLnhtbFBLBQYAAAAABgAGAFkBAACzBQAA&#10;AAA=&#10;">
              <v:fill on="f" focussize="0,0"/>
              <v:stroke on="f"/>
              <v:imagedata o:title=""/>
              <o:lock v:ext="edit" aspectratio="f"/>
              <v:textbox inset="0mm,0mm,0mm,0mm">
                <w:txbxContent>
                  <w:p w14:paraId="21C2E31A">
                    <w:pPr>
                      <w:snapToGrid w:val="0"/>
                      <w:rPr>
                        <w:sz w:val="18"/>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41E93">
    <w:pPr>
      <w:spacing w:line="229" w:lineRule="auto"/>
      <w:ind w:left="4759"/>
      <w:rPr>
        <w:rFonts w:hint="eastAsia" w:ascii="宋体" w:hAnsi="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5541276" name="文本框 29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9EDCC19">
                          <w:pPr>
                            <w:pStyle w:val="29"/>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文本框 293"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ql5uc8AAAAFAQAADwAAAAAAAAABACAAAAAiAAAA&#10;ZHJzL2Rvd25yZXYueG1sUEsBAhQAFAAAAAgAh07iQPaae70QAgAADwQAAA4AAAAAAAAAAQAgAAAA&#10;HgEAAGRycy9lMm9Eb2MueG1sUEsFBgAAAAAGAAYAWQEAAKAFAAAAAA==&#10;">
              <v:fill on="f" focussize="0,0"/>
              <v:stroke on="f"/>
              <v:imagedata o:title=""/>
              <o:lock v:ext="edit" aspectratio="f"/>
              <v:textbox inset="0mm,0mm,0mm,0mm" style="mso-fit-shape-to-text:t;">
                <w:txbxContent>
                  <w:p w14:paraId="59EDCC19">
                    <w:pPr>
                      <w:pStyle w:val="2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1566F">
    <w:pPr>
      <w:pStyle w:val="29"/>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-47625</wp:posOffset>
              </wp:positionV>
              <wp:extent cx="1115060" cy="157480"/>
              <wp:effectExtent l="0" t="0" r="0" b="4445"/>
              <wp:wrapNone/>
              <wp:docPr id="2134041837"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1115060" cy="157480"/>
                      </a:xfrm>
                      <a:prstGeom prst="rect">
                        <a:avLst/>
                      </a:prstGeom>
                      <a:noFill/>
                      <a:ln>
                        <a:noFill/>
                      </a:ln>
                    </wps:spPr>
                    <wps:txbx>
                      <w:txbxContent>
                        <w:p w14:paraId="13414F3E">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t>132</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wps:txbx>
                    <wps:bodyPr rot="0" vert="horz" wrap="none" lIns="0" tIns="0" rIns="0" bIns="0" anchor="t" anchorCtr="0" upright="1">
                      <a:spAutoFit/>
                    </wps:bodyPr>
                  </wps:wsp>
                </a:graphicData>
              </a:graphic>
            </wp:anchor>
          </w:drawing>
        </mc:Choice>
        <mc:Fallback>
          <w:pict>
            <v:shape id="文本框 14" o:spid="_x0000_s1026" o:spt="202" type="#_x0000_t202" style="position:absolute;left:0pt;margin-top:-3.75pt;height:12.4pt;width:87.8pt;mso-position-horizontal:center;mso-position-horizontal-relative:margin;mso-wrap-style:none;z-index:251663360;mso-width-relative:page;mso-height-relative:page;" filled="f" stroked="f" coordsize="21600,21600" o:gfxdata="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QdOAT0wAAAAYBAAAPAAAAAAAAAAEA&#10;IAAAACIAAABkcnMvZG93bnJldi54bWxQSwECFAAUAAAACACHTuJA604pLxQCAAANBAAADgAAAAAA&#10;AAABACAAAAAiAQAAZHJzL2Uyb0RvYy54bWxQSwUGAAAAAAYABgBZAQAAqAUAAAAA&#10;">
              <v:fill on="f" focussize="0,0"/>
              <v:stroke on="f"/>
              <v:imagedata o:title=""/>
              <o:lock v:ext="edit" aspectratio="f"/>
              <v:textbox inset="0mm,0mm,0mm,0mm" style="mso-fit-shape-to-text:t;">
                <w:txbxContent>
                  <w:p w14:paraId="13414F3E">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t>132</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BB6A0">
    <w:pPr>
      <w:pStyle w:val="29"/>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8348957" name="文本框 29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6F6DAB3">
                          <w:pPr>
                            <w:pStyle w:val="29"/>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文本框 294"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&#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qXm5zwAAAAUBAAAPAAAAAAAAAAEAIAAAACIAAABk&#10;cnMvZG93bnJldi54bWxQSwECFAAUAAAACACHTuJAnNZdzA8CAAAOBAAADgAAAAAAAAABACAAAAAe&#10;AQAAZHJzL2Uyb0RvYy54bWxQSwUGAAAAAAYABgBZAQAAnwUAAAAA&#10;">
              <v:fill on="f" focussize="0,0"/>
              <v:stroke on="f"/>
              <v:imagedata o:title=""/>
              <o:lock v:ext="edit" aspectratio="f"/>
              <v:textbox inset="0mm,0mm,0mm,0mm" style="mso-fit-shape-to-text:t;">
                <w:txbxContent>
                  <w:p w14:paraId="66F6DAB3">
                    <w:pPr>
                      <w:pStyle w:val="29"/>
                    </w:pPr>
                    <w:r>
                      <w:fldChar w:fldCharType="begin"/>
                    </w:r>
                    <w:r>
                      <w:instrText xml:space="preserve"> PAGE  \* MERGEFORMAT </w:instrText>
                    </w:r>
                    <w:r>
                      <w:fldChar w:fldCharType="separate"/>
                    </w:r>
                    <w:r>
                      <w:t>8</w:t>
                    </w:r>
                    <w:r>
                      <w:fldChar w:fldCharType="end"/>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14935" cy="131445"/>
              <wp:effectExtent l="0" t="0" r="0" b="1905"/>
              <wp:wrapNone/>
              <wp:docPr id="1316413050"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DECFB42">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7052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PlfknQAAAAAwEAAA8AAAAAAAAAAQAgAAAAIgAA&#10;AGRycy9kb3ducmV2LnhtbFBLAQIUABQAAAAIAIdO4kC5uJnNEAIAAAsEAAAOAAAAAAAAAAEAIAAA&#10;AB8BAABkcnMvZTJvRG9jLnhtbFBLBQYAAAAABgAGAFkBAAChBQAAAAA=&#10;">
              <v:fill on="f" focussize="0,0"/>
              <v:stroke on="f"/>
              <v:imagedata o:title=""/>
              <o:lock v:ext="edit" aspectratio="f"/>
              <v:textbox inset="0mm,0mm,0mm,0mm" style="mso-fit-shape-to-text:t;">
                <w:txbxContent>
                  <w:p w14:paraId="6DECFB42">
                    <w:pPr>
                      <w:snapToGrid w:val="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A83F6">
    <w:pPr>
      <w:pStyle w:val="3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D714C">
    <w:pPr>
      <w:pStyle w:val="30"/>
      <w:pBdr>
        <w:bottom w:val="none" w:color="auto" w:sz="0" w:space="1"/>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EBB15">
    <w:pPr>
      <w:pStyle w:val="30"/>
      <w:pBdr>
        <w:bottom w:val="none" w:color="auto" w:sz="0" w:space="1"/>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E00CC">
    <w:pPr>
      <w:pStyle w:val="30"/>
      <w:pBdr>
        <w:bottom w:val="none" w:color="auto" w:sz="0" w:space="1"/>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77CC4">
    <w:pPr>
      <w:pStyle w:val="30"/>
      <w:pBdr>
        <w:bottom w:val="none" w:color="auto" w:sz="0" w:space="1"/>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9468D">
    <w:pPr>
      <w:pStyle w:val="30"/>
      <w:pBdr>
        <w:bottom w:val="none" w:color="auto" w:sz="0" w:space="1"/>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D8310">
    <w:pPr>
      <w:pStyle w:val="30"/>
      <w:pBdr>
        <w:bottom w:val="none" w:color="auto" w:sz="0" w:space="1"/>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EB3C9">
    <w:pPr>
      <w:pStyle w:val="30"/>
      <w:pBdr>
        <w:bottom w:val="none" w:color="auto" w:sz="0" w:space="1"/>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B1177">
    <w:pPr>
      <w:pStyle w:val="30"/>
      <w:pBdr>
        <w:bottom w:val="none" w:color="auto" w:sz="0" w:space="1"/>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7931A">
    <w:pPr>
      <w:pStyle w:val="30"/>
      <w:pBdr>
        <w:bottom w:val="none" w:color="auto" w:sz="0" w:space="1"/>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0F7E0">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1E052">
    <w:pPr>
      <w:pStyle w:val="30"/>
      <w:pBdr>
        <w:bottom w:val="none" w:color="auto" w:sz="0" w:space="0"/>
      </w:pBdr>
      <w:tabs>
        <w:tab w:val="left" w:pos="2059"/>
      </w:tabs>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CC764">
    <w:pPr>
      <w:pStyle w:val="30"/>
      <w:pBdr>
        <w:bottom w:val="none" w:color="auto" w:sz="0" w:space="1"/>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10394">
    <w:pPr>
      <w:pStyle w:val="30"/>
      <w:pBdr>
        <w:bottom w:val="none" w:color="auto" w:sz="0" w:space="1"/>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EF965">
    <w:pPr>
      <w:pStyle w:val="30"/>
      <w:pBdr>
        <w:bottom w:val="none" w:color="auto" w:sz="0" w:space="1"/>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0C320">
    <w:pPr>
      <w:pStyle w:val="30"/>
      <w:pBdr>
        <w:bottom w:val="none" w:color="auto" w:sz="0" w:space="1"/>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19C4">
    <w:pPr>
      <w:pStyle w:val="30"/>
      <w:pBdr>
        <w:bottom w:val="none" w:color="auto" w:sz="0" w:space="1"/>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5F112">
    <w:pPr>
      <w:pStyle w:val="30"/>
      <w:pBdr>
        <w:bottom w:val="none" w:color="auto" w:sz="0" w:space="1"/>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8CA16">
    <w:pPr>
      <w:pStyle w:val="30"/>
      <w:pBdr>
        <w:bottom w:val="none" w:color="auto" w:sz="0" w:space="1"/>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02468">
    <w:pPr>
      <w:pStyle w:val="30"/>
      <w:pBdr>
        <w:bottom w:val="none" w:color="auto" w:sz="0" w:space="1"/>
      </w:pBdr>
      <w:rPr>
        <w:lang w:eastAsia="en-US"/>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C3B25">
    <w:pPr>
      <w:pStyle w:val="30"/>
      <w:pBdr>
        <w:bottom w:val="none" w:color="auto" w:sz="0" w:space="1"/>
      </w:pBd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63665">
    <w:pPr>
      <w:pStyle w:val="30"/>
      <w:pBdr>
        <w:bottom w:val="none" w:color="auto" w:sz="0" w:space="1"/>
      </w:pBdr>
      <w:rPr>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6485">
    <w:pPr>
      <w:pStyle w:val="30"/>
      <w:pBdr>
        <w:bottom w:val="none" w:color="auto" w:sz="0" w:space="1"/>
      </w:pBdr>
      <w:jc w:val="both"/>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EFE56">
    <w:pPr>
      <w:pStyle w:val="30"/>
      <w:pBdr>
        <w:bottom w:val="none" w:color="auto" w:sz="0" w:space="1"/>
      </w:pBdr>
      <w:rPr>
        <w:lang w:eastAsia="en-US"/>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1F876">
    <w:pPr>
      <w:pStyle w:val="30"/>
      <w:pBdr>
        <w:bottom w:val="none" w:color="auto" w:sz="0" w:space="1"/>
      </w:pBdr>
      <w:rPr>
        <w:lang w:eastAsia="en-US"/>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33B31">
    <w:pPr>
      <w:pStyle w:val="30"/>
      <w:pBdr>
        <w:bottom w:val="none" w:color="auto" w:sz="0" w:space="1"/>
      </w:pBd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F1400">
    <w:pPr>
      <w:pStyle w:val="30"/>
      <w:pBdr>
        <w:bottom w:val="none" w:color="auto" w:sz="0" w:space="1"/>
      </w:pBdr>
      <w:rPr>
        <w:lang w:eastAsia="en-US"/>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2EAA6">
    <w:pPr>
      <w:widowControl/>
      <w:kinsoku w:val="0"/>
      <w:autoSpaceDE w:val="0"/>
      <w:autoSpaceDN w:val="0"/>
      <w:adjustRightInd w:val="0"/>
      <w:snapToGrid w:val="0"/>
      <w:spacing w:before="48" w:line="219" w:lineRule="auto"/>
      <w:ind w:left="6"/>
      <w:jc w:val="left"/>
      <w:textAlignment w:val="baseline"/>
      <w:rPr>
        <w:rFonts w:hint="eastAsia" w:ascii="宋体" w:hAnsi="宋体" w:cs="宋体"/>
        <w:snapToGrid w:val="0"/>
        <w:color w:val="000000"/>
        <w:kern w:val="0"/>
        <w:sz w:val="18"/>
        <w:szCs w:val="18"/>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72576" behindDoc="0" locked="0" layoutInCell="0" allowOverlap="1">
              <wp:simplePos x="0" y="0"/>
              <wp:positionH relativeFrom="page">
                <wp:posOffset>899795</wp:posOffset>
              </wp:positionH>
              <wp:positionV relativeFrom="page">
                <wp:posOffset>713740</wp:posOffset>
              </wp:positionV>
              <wp:extent cx="5761355" cy="6350"/>
              <wp:effectExtent l="4445" t="0" r="0" b="3810"/>
              <wp:wrapNone/>
              <wp:docPr id="414333738" name="任意多边形 185"/>
              <wp:cNvGraphicFramePr/>
              <a:graphic xmlns:a="http://schemas.openxmlformats.org/drawingml/2006/main">
                <a:graphicData uri="http://schemas.microsoft.com/office/word/2010/wordprocessingShape">
                  <wps:wsp>
                    <wps:cNvSpPr>
                      <a:spLocks noChangeArrowheads="1"/>
                    </wps:cNvSpPr>
                    <wps:spPr bwMode="auto">
                      <a:xfrm>
                        <a:off x="0" y="0"/>
                        <a:ext cx="5761355" cy="6350"/>
                      </a:xfrm>
                      <a:custGeom>
                        <a:avLst/>
                        <a:gdLst>
                          <a:gd name="T0" fmla="*/ 0 w 9072"/>
                          <a:gd name="T1" fmla="*/ 0 h 10"/>
                          <a:gd name="T2" fmla="*/ 9072 w 9072"/>
                          <a:gd name="T3" fmla="*/ 0 h 10"/>
                          <a:gd name="T4" fmla="*/ 9072 w 9072"/>
                          <a:gd name="T5" fmla="*/ 9 h 10"/>
                          <a:gd name="T6" fmla="*/ 0 w 9072"/>
                          <a:gd name="T7" fmla="*/ 9 h 10"/>
                          <a:gd name="T8" fmla="*/ 0 w 9072"/>
                          <a:gd name="T9" fmla="*/ 0 h 10"/>
                        </a:gdLst>
                        <a:ahLst/>
                        <a:cxnLst>
                          <a:cxn ang="0">
                            <a:pos x="T0" y="T1"/>
                          </a:cxn>
                          <a:cxn ang="0">
                            <a:pos x="T2" y="T3"/>
                          </a:cxn>
                          <a:cxn ang="0">
                            <a:pos x="T4" y="T5"/>
                          </a:cxn>
                          <a:cxn ang="0">
                            <a:pos x="T6" y="T7"/>
                          </a:cxn>
                          <a:cxn ang="0">
                            <a:pos x="T8" y="T9"/>
                          </a:cxn>
                        </a:cxnLst>
                        <a:rect l="0" t="0" r="r" b="b"/>
                        <a:pathLst>
                          <a:path w="9072" h="10">
                            <a:moveTo>
                              <a:pt x="0" y="0"/>
                            </a:moveTo>
                            <a:lnTo>
                              <a:pt x="9072" y="0"/>
                            </a:lnTo>
                            <a:lnTo>
                              <a:pt x="9072" y="9"/>
                            </a:lnTo>
                            <a:lnTo>
                              <a:pt x="0" y="9"/>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任意多边形 185" o:spid="_x0000_s1026" o:spt="100" style="position:absolute;left:0pt;margin-left:70.85pt;margin-top:56.2pt;height:0.5pt;width:453.65pt;mso-position-horizontal-relative:page;mso-position-vertical-relative:page;z-index:251672576;mso-width-relative:page;mso-height-relative:page;" fillcolor="#000000" filled="t" stroked="f" coordsize="9072,10" o:allowincell="f" o:gfxdata="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GxJrPDZAAAADAEAAA8AAAAAAAAAAQAgAAAA&#10;IgAAAGRycy9kb3ducmV2LnhtbFBLAQIUABQAAAAIAIdO4kCvYr24JwMAAMMHAAAOAAAAAAAAAAEA&#10;IAAAACgBAABkcnMvZTJvRG9jLnhtbFBLBQYAAAAABgAGAFkBAADBBgAAAAA=&#10;" path="m0,0l9072,0,9072,9,0,9,0,0xe">
              <v:path o:connectlocs="0,0;5761355,0;5761355,5715;0,5715;0,0" o:connectangles="0,0,0,0,0"/>
              <v:fill on="t" focussize="0,0"/>
              <v:stroke on="f"/>
              <v:imagedata o:title=""/>
              <o:lock v:ext="edit" aspectratio="f"/>
            </v:shape>
          </w:pict>
        </mc:Fallback>
      </mc:AlternateContent>
    </w:r>
    <w:r>
      <w:rPr>
        <w:rFonts w:ascii="宋体" w:hAnsi="宋体" w:cs="宋体"/>
        <w:snapToGrid w:val="0"/>
        <w:color w:val="000000"/>
        <w:spacing w:val="-1"/>
        <w:kern w:val="0"/>
        <w:sz w:val="18"/>
        <w:szCs w:val="18"/>
      </w:rPr>
      <w:t>广东省公路工程施工招标文件范本（2025</w:t>
    </w:r>
    <w:r>
      <w:rPr>
        <w:rFonts w:ascii="宋体" w:hAnsi="宋体" w:cs="宋体"/>
        <w:snapToGrid w:val="0"/>
        <w:color w:val="000000"/>
        <w:spacing w:val="-30"/>
        <w:kern w:val="0"/>
        <w:sz w:val="18"/>
        <w:szCs w:val="18"/>
      </w:rPr>
      <w:t xml:space="preserve"> </w:t>
    </w:r>
    <w:r>
      <w:rPr>
        <w:rFonts w:ascii="宋体" w:hAnsi="宋体" w:cs="宋体"/>
        <w:snapToGrid w:val="0"/>
        <w:color w:val="000000"/>
        <w:spacing w:val="-1"/>
        <w:kern w:val="0"/>
        <w:sz w:val="18"/>
        <w:szCs w:val="18"/>
      </w:rPr>
      <w:t>年版）</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F8647">
    <w:pPr>
      <w:pStyle w:val="30"/>
      <w:pBdr>
        <w:bottom w:val="none" w:color="auto" w:sz="0" w:space="1"/>
      </w:pBd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E16CB">
    <w:pPr>
      <w:pStyle w:val="30"/>
      <w:pBdr>
        <w:bottom w:val="none" w:color="auto" w:sz="0" w:space="1"/>
      </w:pBdr>
      <w:rPr>
        <w:lang w:eastAsia="en-US"/>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24D48">
    <w:pPr>
      <w:pStyle w:val="30"/>
      <w:pBdr>
        <w:bottom w:val="none" w:color="auto" w:sz="0" w:space="1"/>
      </w:pBdr>
      <w:rPr>
        <w:lang w:eastAsia="en-US"/>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1941">
    <w:pPr>
      <w:pStyle w:val="30"/>
      <w:pBdr>
        <w:bottom w:val="none" w:color="auto" w:sz="0" w:space="1"/>
      </w:pBdr>
      <w:rPr>
        <w:lang w:eastAsia="en-US"/>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5DA84">
    <w:pPr>
      <w:pStyle w:val="30"/>
      <w:pBdr>
        <w:bottom w:val="none" w:color="auto" w:sz="0" w:space="1"/>
      </w:pBdr>
      <w:rPr>
        <w:lang w:eastAsia="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91DEB">
    <w:pPr>
      <w:pStyle w:val="30"/>
      <w:pBdr>
        <w:bottom w:val="none" w:color="auto" w:sz="0" w:space="1"/>
      </w:pBdr>
      <w:jc w:val="both"/>
      <w:rPr>
        <w:lang w:eastAsia="en-US"/>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4C391">
    <w:pPr>
      <w:pStyle w:val="30"/>
      <w:pBdr>
        <w:bottom w:val="none" w:color="auto" w:sz="0" w:space="1"/>
      </w:pBdr>
      <w:rPr>
        <w:lang w:eastAsia="en-US"/>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0BDBE">
    <w:pPr>
      <w:pStyle w:val="30"/>
      <w:pBdr>
        <w:bottom w:val="none" w:color="auto" w:sz="0" w:space="1"/>
      </w:pBdr>
      <w:rPr>
        <w:lang w:eastAsia="en-US"/>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01EFF">
    <w:pPr>
      <w:pStyle w:val="30"/>
      <w:pBdr>
        <w:bottom w:val="none" w:color="auto" w:sz="0" w:space="1"/>
      </w:pBdr>
      <w:rPr>
        <w:lang w:eastAsia="en-US"/>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DD579">
    <w:pPr>
      <w:pStyle w:val="30"/>
      <w:pBdr>
        <w:bottom w:val="none" w:color="auto" w:sz="0" w:space="1"/>
      </w:pBdr>
      <w:rPr>
        <w:lang w:eastAsia="en-US"/>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C3D98">
    <w:pPr>
      <w:pStyle w:val="30"/>
      <w:pBdr>
        <w:bottom w:val="none" w:color="auto" w:sz="0" w:space="1"/>
      </w:pBdr>
      <w:rPr>
        <w:lang w:eastAsia="en-US"/>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4C309">
    <w:pPr>
      <w:pStyle w:val="30"/>
      <w:pBdr>
        <w:bottom w:val="none" w:color="auto" w:sz="0" w:space="1"/>
      </w:pBdr>
      <w:rPr>
        <w:lang w:eastAsia="en-US"/>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A00AE">
    <w:pPr>
      <w:pStyle w:val="30"/>
      <w:pBdr>
        <w:bottom w:val="none" w:color="auto" w:sz="0" w:space="1"/>
      </w:pBdr>
      <w:rPr>
        <w:lang w:eastAsia="en-US"/>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9DC6F">
    <w:pPr>
      <w:pStyle w:val="30"/>
      <w:pBdr>
        <w:bottom w:val="none" w:color="auto" w:sz="0" w:space="1"/>
      </w:pBdr>
      <w:rPr>
        <w:lang w:eastAsia="en-US"/>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A8AAE">
    <w:pPr>
      <w:pStyle w:val="30"/>
      <w:pBdr>
        <w:bottom w:val="none" w:color="auto" w:sz="0" w:space="1"/>
      </w:pBd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C78A3">
    <w:pPr>
      <w:pStyle w:val="3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5D68E">
    <w:pPr>
      <w:pStyle w:val="30"/>
      <w:pBdr>
        <w:bottom w:val="none" w:color="auto" w:sz="0" w:space="1"/>
      </w:pBd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A9B0C">
    <w:pPr>
      <w:pStyle w:val="30"/>
      <w:pBdr>
        <w:bottom w:val="none" w:color="auto" w:sz="0" w:space="1"/>
      </w:pBd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37E5E">
    <w:pPr>
      <w:pStyle w:val="30"/>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512BE">
    <w:pPr>
      <w:pStyle w:val="3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19CE0">
    <w:pPr>
      <w:pStyle w:val="30"/>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97C15">
    <w:pPr>
      <w:pStyle w:val="30"/>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A9C4B">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BB84C"/>
    <w:multiLevelType w:val="singleLevel"/>
    <w:tmpl w:val="B3EBB84C"/>
    <w:lvl w:ilvl="0" w:tentative="0">
      <w:start w:val="2"/>
      <w:numFmt w:val="chineseCounting"/>
      <w:suff w:val="nothing"/>
      <w:lvlText w:val="（%1）"/>
      <w:lvlJc w:val="left"/>
      <w:rPr>
        <w:rFonts w:hint="eastAsia"/>
      </w:rPr>
    </w:lvl>
  </w:abstractNum>
  <w:abstractNum w:abstractNumId="1">
    <w:nsid w:val="0000000B"/>
    <w:multiLevelType w:val="multilevel"/>
    <w:tmpl w:val="0000000B"/>
    <w:lvl w:ilvl="0" w:tentative="0">
      <w:start w:val="1"/>
      <w:numFmt w:val="chineseCountingThousand"/>
      <w:suff w:val="space"/>
      <w:lvlText w:val="第%1章"/>
      <w:lvlJc w:val="left"/>
      <w:pPr>
        <w:ind w:left="567" w:hanging="279"/>
      </w:pPr>
      <w:rPr>
        <w:rFonts w:hint="eastAsia" w:ascii="宋体" w:hAnsi="Times New Roman" w:eastAsia="宋体" w:cs="Times New Roman"/>
        <w:b/>
        <w:i w:val="0"/>
        <w:spacing w:val="0"/>
        <w:position w:val="0"/>
        <w:sz w:val="44"/>
      </w:rPr>
    </w:lvl>
    <w:lvl w:ilvl="1" w:tentative="0">
      <w:start w:val="1"/>
      <w:numFmt w:val="decimal"/>
      <w:suff w:val="space"/>
      <w:lvlText w:val="%2."/>
      <w:lvlJc w:val="left"/>
      <w:pPr>
        <w:ind w:left="454" w:hanging="454"/>
      </w:pPr>
      <w:rPr>
        <w:rFonts w:hint="eastAsia" w:ascii="宋体" w:hAnsi="Times New Roman" w:eastAsia="宋体" w:cs="Times New Roman"/>
        <w:b/>
        <w:i w:val="0"/>
        <w:sz w:val="32"/>
      </w:rPr>
    </w:lvl>
    <w:lvl w:ilvl="2" w:tentative="0">
      <w:start w:val="1"/>
      <w:numFmt w:val="decimal"/>
      <w:suff w:val="space"/>
      <w:lvlText w:val="%2.%3"/>
      <w:lvlJc w:val="left"/>
      <w:pPr>
        <w:ind w:left="454" w:hanging="454"/>
      </w:pPr>
      <w:rPr>
        <w:rFonts w:hint="eastAsia" w:ascii="宋体" w:hAnsi="Times New Roman" w:eastAsia="宋体" w:cs="Times New Roman"/>
        <w:b/>
        <w:i w:val="0"/>
        <w:sz w:val="28"/>
      </w:rPr>
    </w:lvl>
    <w:lvl w:ilvl="3" w:tentative="0">
      <w:start w:val="1"/>
      <w:numFmt w:val="decimal"/>
      <w:suff w:val="space"/>
      <w:lvlText w:val="%2.%3.%4"/>
      <w:lvlJc w:val="left"/>
      <w:pPr>
        <w:ind w:left="284" w:hanging="284"/>
      </w:pPr>
      <w:rPr>
        <w:rFonts w:hint="eastAsia" w:ascii="宋体" w:hAnsi="Times New Roman" w:eastAsia="宋体" w:cs="Times New Roman"/>
        <w:b/>
        <w:i w:val="0"/>
        <w:sz w:val="28"/>
      </w:rPr>
    </w:lvl>
    <w:lvl w:ilvl="4" w:tentative="0">
      <w:start w:val="1"/>
      <w:numFmt w:val="decimal"/>
      <w:isLgl/>
      <w:suff w:val="space"/>
      <w:lvlText w:val="%2.%3.%4.%5"/>
      <w:lvlJc w:val="left"/>
      <w:pPr>
        <w:ind w:left="284" w:hanging="284"/>
      </w:pPr>
      <w:rPr>
        <w:rFonts w:hint="eastAsia" w:ascii="宋体" w:hAnsi="Times New Roman" w:eastAsia="宋体" w:cs="Times New Roman"/>
        <w:b/>
        <w:i w:val="0"/>
        <w:strike w:val="0"/>
        <w:dstrike w:val="0"/>
        <w:sz w:val="28"/>
        <w:u w:val="none"/>
      </w:rPr>
    </w:lvl>
    <w:lvl w:ilvl="5" w:tentative="0">
      <w:start w:val="1"/>
      <w:numFmt w:val="decimal"/>
      <w:lvlRestart w:val="0"/>
      <w:suff w:val="space"/>
      <w:lvlText w:val="1.1.1.1.1.%6%5"/>
      <w:lvlJc w:val="left"/>
      <w:rPr>
        <w:rFonts w:hint="eastAsia" w:ascii="宋体" w:hAnsi="Times New Roman" w:eastAsia="宋体" w:cs="Times New Roman"/>
        <w:b/>
        <w:i w:val="0"/>
        <w:sz w:val="28"/>
      </w:rPr>
    </w:lvl>
    <w:lvl w:ilvl="6" w:tentative="0">
      <w:start w:val="1"/>
      <w:numFmt w:val="none"/>
      <w:suff w:val="nothing"/>
      <w:lvlText w:val=""/>
      <w:lvlJc w:val="left"/>
      <w:rPr>
        <w:rFonts w:cs="Times New Roman"/>
      </w:rPr>
    </w:lvl>
    <w:lvl w:ilvl="7" w:tentative="0">
      <w:start w:val="1"/>
      <w:numFmt w:val="none"/>
      <w:pStyle w:val="10"/>
      <w:suff w:val="nothing"/>
      <w:lvlText w:val=""/>
      <w:lvlJc w:val="left"/>
      <w:rPr>
        <w:rFonts w:cs="Times New Roman"/>
      </w:rPr>
    </w:lvl>
    <w:lvl w:ilvl="8" w:tentative="0">
      <w:start w:val="1"/>
      <w:numFmt w:val="none"/>
      <w:suff w:val="nothing"/>
      <w:lvlText w:val=""/>
      <w:lvlJc w:val="left"/>
      <w:rPr>
        <w:rFonts w:cs="Times New Roman"/>
      </w:rPr>
    </w:lvl>
  </w:abstractNum>
  <w:abstractNum w:abstractNumId="2">
    <w:nsid w:val="0000000E"/>
    <w:multiLevelType w:val="singleLevel"/>
    <w:tmpl w:val="0000000E"/>
    <w:lvl w:ilvl="0" w:tentative="0">
      <w:start w:val="1"/>
      <w:numFmt w:val="chineseCounting"/>
      <w:pStyle w:val="14"/>
      <w:suff w:val="space"/>
      <w:lvlText w:val="第%1章"/>
      <w:lvlJc w:val="left"/>
      <w:rPr>
        <w:rFonts w:cs="Times New Roman"/>
      </w:rPr>
    </w:lvl>
  </w:abstractNum>
  <w:abstractNum w:abstractNumId="3">
    <w:nsid w:val="1822982B"/>
    <w:multiLevelType w:val="singleLevel"/>
    <w:tmpl w:val="1822982B"/>
    <w:lvl w:ilvl="0" w:tentative="0">
      <w:start w:val="1"/>
      <w:numFmt w:val="decimal"/>
      <w:lvlText w:val="(%1)"/>
      <w:lvlJc w:val="left"/>
      <w:pPr>
        <w:tabs>
          <w:tab w:val="left" w:pos="312"/>
        </w:tabs>
      </w:pPr>
    </w:lvl>
  </w:abstractNum>
  <w:abstractNum w:abstractNumId="4">
    <w:nsid w:val="56905293"/>
    <w:multiLevelType w:val="singleLevel"/>
    <w:tmpl w:val="56905293"/>
    <w:lvl w:ilvl="0" w:tentative="0">
      <w:start w:val="7"/>
      <w:numFmt w:val="decimal"/>
      <w:suff w:val="nothing"/>
      <w:lvlText w:val="（%1）"/>
      <w:lvlJc w:val="left"/>
    </w:lvl>
  </w:abstractNum>
  <w:abstractNum w:abstractNumId="5">
    <w:nsid w:val="5AAF1C38"/>
    <w:multiLevelType w:val="multilevel"/>
    <w:tmpl w:val="5AAF1C38"/>
    <w:lvl w:ilvl="0" w:tentative="0">
      <w:start w:val="1"/>
      <w:numFmt w:val="chineseCountingThousand"/>
      <w:suff w:val="space"/>
      <w:lvlText w:val="第%1章  "/>
      <w:lvlJc w:val="left"/>
      <w:rPr>
        <w:rFonts w:hint="eastAsia" w:cs="Times New Roman"/>
      </w:rPr>
    </w:lvl>
    <w:lvl w:ilvl="1" w:tentative="0">
      <w:start w:val="1"/>
      <w:numFmt w:val="decimal"/>
      <w:pStyle w:val="118"/>
      <w:suff w:val="space"/>
      <w:lvlText w:val="%2."/>
      <w:lvlJc w:val="left"/>
      <w:pPr>
        <w:tabs>
          <w:tab w:val="left" w:pos="0"/>
        </w:tabs>
        <w:ind w:left="284"/>
      </w:pPr>
      <w:rPr>
        <w:rFonts w:hint="eastAsia" w:ascii="宋体" w:hAnsi="宋体" w:eastAsia="宋体" w:cs="宋体"/>
      </w:rPr>
    </w:lvl>
    <w:lvl w:ilvl="2" w:tentative="0">
      <w:start w:val="1"/>
      <w:numFmt w:val="decimal"/>
      <w:pStyle w:val="90"/>
      <w:suff w:val="space"/>
      <w:lvlText w:val="%2.%3"/>
      <w:lvlJc w:val="left"/>
      <w:pPr>
        <w:tabs>
          <w:tab w:val="left" w:pos="0"/>
        </w:tabs>
        <w:ind w:left="425" w:hanging="425"/>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oNotHyphenateCaps/>
  <w:drawingGridHorizontalSpacing w:val="210"/>
  <w:drawingGridVerticalSpacing w:val="-794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zNzNiYWExZWRiNzg2MmU3ODAxNDVlMDVlMWUzMmUifQ=="/>
  </w:docVars>
  <w:rsids>
    <w:rsidRoot w:val="00172A27"/>
    <w:rsid w:val="00000151"/>
    <w:rsid w:val="00000AE6"/>
    <w:rsid w:val="00002CFC"/>
    <w:rsid w:val="00004A77"/>
    <w:rsid w:val="00005D9A"/>
    <w:rsid w:val="00005F60"/>
    <w:rsid w:val="0000612D"/>
    <w:rsid w:val="00007098"/>
    <w:rsid w:val="00007502"/>
    <w:rsid w:val="00010CA9"/>
    <w:rsid w:val="00011DA3"/>
    <w:rsid w:val="00012481"/>
    <w:rsid w:val="000133F5"/>
    <w:rsid w:val="00013AEB"/>
    <w:rsid w:val="00015040"/>
    <w:rsid w:val="00015931"/>
    <w:rsid w:val="000171CB"/>
    <w:rsid w:val="0001796D"/>
    <w:rsid w:val="000208BC"/>
    <w:rsid w:val="000209DC"/>
    <w:rsid w:val="00024A69"/>
    <w:rsid w:val="0003212A"/>
    <w:rsid w:val="000327BC"/>
    <w:rsid w:val="000327CC"/>
    <w:rsid w:val="00034ACB"/>
    <w:rsid w:val="00034B07"/>
    <w:rsid w:val="000350F3"/>
    <w:rsid w:val="000375DC"/>
    <w:rsid w:val="000404B0"/>
    <w:rsid w:val="000409AC"/>
    <w:rsid w:val="00041F75"/>
    <w:rsid w:val="00042B0F"/>
    <w:rsid w:val="000442EC"/>
    <w:rsid w:val="00045648"/>
    <w:rsid w:val="0004586E"/>
    <w:rsid w:val="00045F85"/>
    <w:rsid w:val="00047D26"/>
    <w:rsid w:val="00047D6D"/>
    <w:rsid w:val="00052B6F"/>
    <w:rsid w:val="00052CBA"/>
    <w:rsid w:val="000531FC"/>
    <w:rsid w:val="0005433E"/>
    <w:rsid w:val="00055C88"/>
    <w:rsid w:val="0005635C"/>
    <w:rsid w:val="00056C24"/>
    <w:rsid w:val="00060CB6"/>
    <w:rsid w:val="000619E6"/>
    <w:rsid w:val="00061A6D"/>
    <w:rsid w:val="00062C84"/>
    <w:rsid w:val="00062CDB"/>
    <w:rsid w:val="00063A72"/>
    <w:rsid w:val="00064226"/>
    <w:rsid w:val="0006467C"/>
    <w:rsid w:val="00064691"/>
    <w:rsid w:val="00065568"/>
    <w:rsid w:val="00071D95"/>
    <w:rsid w:val="00073A85"/>
    <w:rsid w:val="0007502F"/>
    <w:rsid w:val="00076847"/>
    <w:rsid w:val="00076AF7"/>
    <w:rsid w:val="000815EB"/>
    <w:rsid w:val="00084446"/>
    <w:rsid w:val="0008573A"/>
    <w:rsid w:val="000866BA"/>
    <w:rsid w:val="000901EA"/>
    <w:rsid w:val="00090C03"/>
    <w:rsid w:val="0009136E"/>
    <w:rsid w:val="00092E73"/>
    <w:rsid w:val="00094099"/>
    <w:rsid w:val="0009520D"/>
    <w:rsid w:val="000964FA"/>
    <w:rsid w:val="0009724E"/>
    <w:rsid w:val="000A04A7"/>
    <w:rsid w:val="000A4773"/>
    <w:rsid w:val="000A4D64"/>
    <w:rsid w:val="000B0C96"/>
    <w:rsid w:val="000B0D8E"/>
    <w:rsid w:val="000B10DF"/>
    <w:rsid w:val="000B4A5B"/>
    <w:rsid w:val="000B65B1"/>
    <w:rsid w:val="000B7036"/>
    <w:rsid w:val="000C0059"/>
    <w:rsid w:val="000C0CD8"/>
    <w:rsid w:val="000C1008"/>
    <w:rsid w:val="000C31E9"/>
    <w:rsid w:val="000C41E1"/>
    <w:rsid w:val="000C4F1C"/>
    <w:rsid w:val="000C566B"/>
    <w:rsid w:val="000C6C82"/>
    <w:rsid w:val="000C7DA5"/>
    <w:rsid w:val="000D02A0"/>
    <w:rsid w:val="000D0B73"/>
    <w:rsid w:val="000D1897"/>
    <w:rsid w:val="000D193E"/>
    <w:rsid w:val="000D4F62"/>
    <w:rsid w:val="000D5747"/>
    <w:rsid w:val="000D5B2F"/>
    <w:rsid w:val="000D7D43"/>
    <w:rsid w:val="000E003D"/>
    <w:rsid w:val="000E0A9A"/>
    <w:rsid w:val="000E1771"/>
    <w:rsid w:val="000E23D1"/>
    <w:rsid w:val="000E28F5"/>
    <w:rsid w:val="000E2FE5"/>
    <w:rsid w:val="000E33A6"/>
    <w:rsid w:val="000E33DA"/>
    <w:rsid w:val="000E432A"/>
    <w:rsid w:val="000E5BEF"/>
    <w:rsid w:val="000F01A6"/>
    <w:rsid w:val="000F1FEE"/>
    <w:rsid w:val="000F284D"/>
    <w:rsid w:val="000F2ADD"/>
    <w:rsid w:val="000F2D22"/>
    <w:rsid w:val="000F5CFF"/>
    <w:rsid w:val="001020AF"/>
    <w:rsid w:val="001027FC"/>
    <w:rsid w:val="00102D03"/>
    <w:rsid w:val="00103723"/>
    <w:rsid w:val="00105355"/>
    <w:rsid w:val="00106F86"/>
    <w:rsid w:val="00107AA5"/>
    <w:rsid w:val="00110CCB"/>
    <w:rsid w:val="00111011"/>
    <w:rsid w:val="00111023"/>
    <w:rsid w:val="00111A9B"/>
    <w:rsid w:val="0011506F"/>
    <w:rsid w:val="00120715"/>
    <w:rsid w:val="00120CA6"/>
    <w:rsid w:val="001216DD"/>
    <w:rsid w:val="001223C2"/>
    <w:rsid w:val="00126D03"/>
    <w:rsid w:val="00127723"/>
    <w:rsid w:val="00127F21"/>
    <w:rsid w:val="00130605"/>
    <w:rsid w:val="00130C2F"/>
    <w:rsid w:val="001312EC"/>
    <w:rsid w:val="00133387"/>
    <w:rsid w:val="00134281"/>
    <w:rsid w:val="00134902"/>
    <w:rsid w:val="00135D3B"/>
    <w:rsid w:val="00136C80"/>
    <w:rsid w:val="00137701"/>
    <w:rsid w:val="001411B2"/>
    <w:rsid w:val="0014138D"/>
    <w:rsid w:val="0014171E"/>
    <w:rsid w:val="00141CEE"/>
    <w:rsid w:val="00141E40"/>
    <w:rsid w:val="00143662"/>
    <w:rsid w:val="001441DD"/>
    <w:rsid w:val="001471E9"/>
    <w:rsid w:val="001477B5"/>
    <w:rsid w:val="00147998"/>
    <w:rsid w:val="0015088B"/>
    <w:rsid w:val="00150E02"/>
    <w:rsid w:val="0015183B"/>
    <w:rsid w:val="00151ADE"/>
    <w:rsid w:val="00152BDA"/>
    <w:rsid w:val="00154F4C"/>
    <w:rsid w:val="00155AE1"/>
    <w:rsid w:val="00157BED"/>
    <w:rsid w:val="00161306"/>
    <w:rsid w:val="0016186D"/>
    <w:rsid w:val="001646E4"/>
    <w:rsid w:val="00164CCE"/>
    <w:rsid w:val="00166264"/>
    <w:rsid w:val="00166D06"/>
    <w:rsid w:val="001728E2"/>
    <w:rsid w:val="00172A27"/>
    <w:rsid w:val="00172C98"/>
    <w:rsid w:val="001743CA"/>
    <w:rsid w:val="00174703"/>
    <w:rsid w:val="001747D8"/>
    <w:rsid w:val="00180BCD"/>
    <w:rsid w:val="001812C0"/>
    <w:rsid w:val="00181693"/>
    <w:rsid w:val="00184128"/>
    <w:rsid w:val="00184E5C"/>
    <w:rsid w:val="00184FDD"/>
    <w:rsid w:val="00187610"/>
    <w:rsid w:val="001879CA"/>
    <w:rsid w:val="001909A4"/>
    <w:rsid w:val="0019322A"/>
    <w:rsid w:val="001974D3"/>
    <w:rsid w:val="001A394B"/>
    <w:rsid w:val="001A3D34"/>
    <w:rsid w:val="001A4716"/>
    <w:rsid w:val="001A4C09"/>
    <w:rsid w:val="001A660B"/>
    <w:rsid w:val="001A719C"/>
    <w:rsid w:val="001A759D"/>
    <w:rsid w:val="001A7A90"/>
    <w:rsid w:val="001B251D"/>
    <w:rsid w:val="001B36A2"/>
    <w:rsid w:val="001B3B09"/>
    <w:rsid w:val="001B3C99"/>
    <w:rsid w:val="001B4536"/>
    <w:rsid w:val="001B4B1E"/>
    <w:rsid w:val="001B4EF9"/>
    <w:rsid w:val="001B5E91"/>
    <w:rsid w:val="001B60DF"/>
    <w:rsid w:val="001B6335"/>
    <w:rsid w:val="001C125D"/>
    <w:rsid w:val="001C1FD8"/>
    <w:rsid w:val="001C2B43"/>
    <w:rsid w:val="001C469C"/>
    <w:rsid w:val="001C7DAB"/>
    <w:rsid w:val="001D11E0"/>
    <w:rsid w:val="001D294A"/>
    <w:rsid w:val="001D2DE7"/>
    <w:rsid w:val="001D4572"/>
    <w:rsid w:val="001D4BFA"/>
    <w:rsid w:val="001D4FBC"/>
    <w:rsid w:val="001D6704"/>
    <w:rsid w:val="001D73B8"/>
    <w:rsid w:val="001E12B4"/>
    <w:rsid w:val="001E237E"/>
    <w:rsid w:val="001E2D1D"/>
    <w:rsid w:val="001E3ADE"/>
    <w:rsid w:val="001E3C65"/>
    <w:rsid w:val="001E3CD0"/>
    <w:rsid w:val="001E46FD"/>
    <w:rsid w:val="001E5D6D"/>
    <w:rsid w:val="001E61D6"/>
    <w:rsid w:val="001F4606"/>
    <w:rsid w:val="001F4A17"/>
    <w:rsid w:val="001F51C4"/>
    <w:rsid w:val="001F62C8"/>
    <w:rsid w:val="0020049C"/>
    <w:rsid w:val="002022FE"/>
    <w:rsid w:val="00203D85"/>
    <w:rsid w:val="002040D5"/>
    <w:rsid w:val="0020505E"/>
    <w:rsid w:val="002052C9"/>
    <w:rsid w:val="0020531F"/>
    <w:rsid w:val="00205A20"/>
    <w:rsid w:val="00205FBA"/>
    <w:rsid w:val="0020604E"/>
    <w:rsid w:val="00207430"/>
    <w:rsid w:val="00207E85"/>
    <w:rsid w:val="002111D6"/>
    <w:rsid w:val="00211CE3"/>
    <w:rsid w:val="00213BDD"/>
    <w:rsid w:val="002145C9"/>
    <w:rsid w:val="00214C79"/>
    <w:rsid w:val="00214C88"/>
    <w:rsid w:val="00215993"/>
    <w:rsid w:val="002160A2"/>
    <w:rsid w:val="00216336"/>
    <w:rsid w:val="002167B9"/>
    <w:rsid w:val="00217C99"/>
    <w:rsid w:val="00221164"/>
    <w:rsid w:val="0022463C"/>
    <w:rsid w:val="00224F4D"/>
    <w:rsid w:val="002276A9"/>
    <w:rsid w:val="00233863"/>
    <w:rsid w:val="00235411"/>
    <w:rsid w:val="00236486"/>
    <w:rsid w:val="00237130"/>
    <w:rsid w:val="002375E6"/>
    <w:rsid w:val="0024010A"/>
    <w:rsid w:val="00240378"/>
    <w:rsid w:val="002404F7"/>
    <w:rsid w:val="002419EE"/>
    <w:rsid w:val="00243FCB"/>
    <w:rsid w:val="002440FF"/>
    <w:rsid w:val="00245CB2"/>
    <w:rsid w:val="00245D36"/>
    <w:rsid w:val="002469F9"/>
    <w:rsid w:val="00250B23"/>
    <w:rsid w:val="00252EE0"/>
    <w:rsid w:val="00256508"/>
    <w:rsid w:val="002577BF"/>
    <w:rsid w:val="00257EED"/>
    <w:rsid w:val="002603C1"/>
    <w:rsid w:val="00260C11"/>
    <w:rsid w:val="002610CB"/>
    <w:rsid w:val="002614CC"/>
    <w:rsid w:val="00261C61"/>
    <w:rsid w:val="00263185"/>
    <w:rsid w:val="00264463"/>
    <w:rsid w:val="002644DE"/>
    <w:rsid w:val="00265CA3"/>
    <w:rsid w:val="002673CB"/>
    <w:rsid w:val="00267477"/>
    <w:rsid w:val="0027060C"/>
    <w:rsid w:val="0027155C"/>
    <w:rsid w:val="00271C1F"/>
    <w:rsid w:val="002733E2"/>
    <w:rsid w:val="0027378E"/>
    <w:rsid w:val="00274DBC"/>
    <w:rsid w:val="0027538C"/>
    <w:rsid w:val="00275B21"/>
    <w:rsid w:val="00275CAF"/>
    <w:rsid w:val="0027654B"/>
    <w:rsid w:val="00280A1A"/>
    <w:rsid w:val="00284768"/>
    <w:rsid w:val="0028742E"/>
    <w:rsid w:val="00287431"/>
    <w:rsid w:val="00290F66"/>
    <w:rsid w:val="00291466"/>
    <w:rsid w:val="00291FD1"/>
    <w:rsid w:val="00292246"/>
    <w:rsid w:val="0029343C"/>
    <w:rsid w:val="002944C8"/>
    <w:rsid w:val="0029524E"/>
    <w:rsid w:val="00295EEA"/>
    <w:rsid w:val="00296158"/>
    <w:rsid w:val="0029758D"/>
    <w:rsid w:val="002A15DA"/>
    <w:rsid w:val="002A183F"/>
    <w:rsid w:val="002A192E"/>
    <w:rsid w:val="002A1FD9"/>
    <w:rsid w:val="002A677A"/>
    <w:rsid w:val="002A73F5"/>
    <w:rsid w:val="002A7F5D"/>
    <w:rsid w:val="002B38B8"/>
    <w:rsid w:val="002B3D0C"/>
    <w:rsid w:val="002B4429"/>
    <w:rsid w:val="002B4B1B"/>
    <w:rsid w:val="002B623C"/>
    <w:rsid w:val="002C07ED"/>
    <w:rsid w:val="002C07EE"/>
    <w:rsid w:val="002C3BB1"/>
    <w:rsid w:val="002C57C4"/>
    <w:rsid w:val="002C621C"/>
    <w:rsid w:val="002C711C"/>
    <w:rsid w:val="002D1689"/>
    <w:rsid w:val="002D1966"/>
    <w:rsid w:val="002D24D5"/>
    <w:rsid w:val="002D4CDF"/>
    <w:rsid w:val="002D5AF8"/>
    <w:rsid w:val="002D7868"/>
    <w:rsid w:val="002E0C04"/>
    <w:rsid w:val="002E253D"/>
    <w:rsid w:val="002E2D3F"/>
    <w:rsid w:val="002E427F"/>
    <w:rsid w:val="002E4298"/>
    <w:rsid w:val="002E4E87"/>
    <w:rsid w:val="002E4E8E"/>
    <w:rsid w:val="002E768E"/>
    <w:rsid w:val="002F1E99"/>
    <w:rsid w:val="002F3C6E"/>
    <w:rsid w:val="002F4D33"/>
    <w:rsid w:val="002F59DC"/>
    <w:rsid w:val="002F5F37"/>
    <w:rsid w:val="002F6265"/>
    <w:rsid w:val="002F6CB9"/>
    <w:rsid w:val="00300FCD"/>
    <w:rsid w:val="003023F6"/>
    <w:rsid w:val="00302B90"/>
    <w:rsid w:val="003078D2"/>
    <w:rsid w:val="00310B31"/>
    <w:rsid w:val="0031351C"/>
    <w:rsid w:val="003217B4"/>
    <w:rsid w:val="00323ED7"/>
    <w:rsid w:val="00331189"/>
    <w:rsid w:val="00332789"/>
    <w:rsid w:val="0033572A"/>
    <w:rsid w:val="00335762"/>
    <w:rsid w:val="00335D2D"/>
    <w:rsid w:val="00336D28"/>
    <w:rsid w:val="003370B7"/>
    <w:rsid w:val="003410D7"/>
    <w:rsid w:val="00341347"/>
    <w:rsid w:val="00341EFD"/>
    <w:rsid w:val="0034327B"/>
    <w:rsid w:val="0034415A"/>
    <w:rsid w:val="0034765C"/>
    <w:rsid w:val="003510C0"/>
    <w:rsid w:val="003520FE"/>
    <w:rsid w:val="003531FD"/>
    <w:rsid w:val="00355A80"/>
    <w:rsid w:val="00355C7F"/>
    <w:rsid w:val="00356938"/>
    <w:rsid w:val="003571B9"/>
    <w:rsid w:val="00361206"/>
    <w:rsid w:val="00361A85"/>
    <w:rsid w:val="00362B12"/>
    <w:rsid w:val="00362DBA"/>
    <w:rsid w:val="00366E6D"/>
    <w:rsid w:val="00371FC6"/>
    <w:rsid w:val="0037429D"/>
    <w:rsid w:val="00375654"/>
    <w:rsid w:val="00376A9E"/>
    <w:rsid w:val="00376E44"/>
    <w:rsid w:val="00380ED3"/>
    <w:rsid w:val="0038199A"/>
    <w:rsid w:val="00382360"/>
    <w:rsid w:val="00386CCE"/>
    <w:rsid w:val="003875B7"/>
    <w:rsid w:val="00390491"/>
    <w:rsid w:val="00390EF4"/>
    <w:rsid w:val="003913EE"/>
    <w:rsid w:val="00391A6B"/>
    <w:rsid w:val="00392F1B"/>
    <w:rsid w:val="0039382B"/>
    <w:rsid w:val="00393AF1"/>
    <w:rsid w:val="00395821"/>
    <w:rsid w:val="00397018"/>
    <w:rsid w:val="003A0AAE"/>
    <w:rsid w:val="003A1A50"/>
    <w:rsid w:val="003A26CC"/>
    <w:rsid w:val="003A2AB1"/>
    <w:rsid w:val="003A3BC6"/>
    <w:rsid w:val="003A46B3"/>
    <w:rsid w:val="003A7325"/>
    <w:rsid w:val="003A7E2D"/>
    <w:rsid w:val="003B0DBC"/>
    <w:rsid w:val="003B2229"/>
    <w:rsid w:val="003B3416"/>
    <w:rsid w:val="003B4484"/>
    <w:rsid w:val="003B4642"/>
    <w:rsid w:val="003B5754"/>
    <w:rsid w:val="003B5DCC"/>
    <w:rsid w:val="003C2652"/>
    <w:rsid w:val="003C3A29"/>
    <w:rsid w:val="003C431B"/>
    <w:rsid w:val="003C64F7"/>
    <w:rsid w:val="003C76CE"/>
    <w:rsid w:val="003C79A3"/>
    <w:rsid w:val="003C7A10"/>
    <w:rsid w:val="003D20AF"/>
    <w:rsid w:val="003D32CB"/>
    <w:rsid w:val="003D365A"/>
    <w:rsid w:val="003D3BCE"/>
    <w:rsid w:val="003D52BD"/>
    <w:rsid w:val="003D7C55"/>
    <w:rsid w:val="003E16D9"/>
    <w:rsid w:val="003E565C"/>
    <w:rsid w:val="003E5967"/>
    <w:rsid w:val="003E7F5A"/>
    <w:rsid w:val="003F104B"/>
    <w:rsid w:val="003F1298"/>
    <w:rsid w:val="003F4E37"/>
    <w:rsid w:val="003F5271"/>
    <w:rsid w:val="00400A5B"/>
    <w:rsid w:val="00403AEE"/>
    <w:rsid w:val="00405CE2"/>
    <w:rsid w:val="004068AD"/>
    <w:rsid w:val="00410C32"/>
    <w:rsid w:val="00411722"/>
    <w:rsid w:val="0041219F"/>
    <w:rsid w:val="00412419"/>
    <w:rsid w:val="00412863"/>
    <w:rsid w:val="00412BF6"/>
    <w:rsid w:val="004130AC"/>
    <w:rsid w:val="00414B29"/>
    <w:rsid w:val="00414E9C"/>
    <w:rsid w:val="00417B46"/>
    <w:rsid w:val="004200FC"/>
    <w:rsid w:val="00421800"/>
    <w:rsid w:val="004234B6"/>
    <w:rsid w:val="004238F2"/>
    <w:rsid w:val="0042559D"/>
    <w:rsid w:val="00426534"/>
    <w:rsid w:val="004266E6"/>
    <w:rsid w:val="00431036"/>
    <w:rsid w:val="00432115"/>
    <w:rsid w:val="00432A72"/>
    <w:rsid w:val="00433B5D"/>
    <w:rsid w:val="00434BD1"/>
    <w:rsid w:val="00435BFE"/>
    <w:rsid w:val="004430A4"/>
    <w:rsid w:val="00443189"/>
    <w:rsid w:val="004440C4"/>
    <w:rsid w:val="00444AD7"/>
    <w:rsid w:val="00444CB9"/>
    <w:rsid w:val="00445D18"/>
    <w:rsid w:val="00451AB8"/>
    <w:rsid w:val="004537BA"/>
    <w:rsid w:val="004544B6"/>
    <w:rsid w:val="0045470D"/>
    <w:rsid w:val="00457AF9"/>
    <w:rsid w:val="00462714"/>
    <w:rsid w:val="00463598"/>
    <w:rsid w:val="00464C4C"/>
    <w:rsid w:val="00472144"/>
    <w:rsid w:val="00473A0E"/>
    <w:rsid w:val="00473B61"/>
    <w:rsid w:val="004740A8"/>
    <w:rsid w:val="00474F15"/>
    <w:rsid w:val="004774AE"/>
    <w:rsid w:val="00477BB2"/>
    <w:rsid w:val="00480D0F"/>
    <w:rsid w:val="00481180"/>
    <w:rsid w:val="00481793"/>
    <w:rsid w:val="00482711"/>
    <w:rsid w:val="00482CF6"/>
    <w:rsid w:val="00483D07"/>
    <w:rsid w:val="00484D5C"/>
    <w:rsid w:val="00484DE8"/>
    <w:rsid w:val="00485546"/>
    <w:rsid w:val="00486364"/>
    <w:rsid w:val="00487580"/>
    <w:rsid w:val="00497298"/>
    <w:rsid w:val="0049782F"/>
    <w:rsid w:val="004A063F"/>
    <w:rsid w:val="004A0B5F"/>
    <w:rsid w:val="004A2184"/>
    <w:rsid w:val="004A3761"/>
    <w:rsid w:val="004A3D2E"/>
    <w:rsid w:val="004A410E"/>
    <w:rsid w:val="004A6092"/>
    <w:rsid w:val="004A6C4E"/>
    <w:rsid w:val="004B0205"/>
    <w:rsid w:val="004B04AE"/>
    <w:rsid w:val="004B3700"/>
    <w:rsid w:val="004B3B4B"/>
    <w:rsid w:val="004B6C42"/>
    <w:rsid w:val="004C000D"/>
    <w:rsid w:val="004C13CA"/>
    <w:rsid w:val="004C1640"/>
    <w:rsid w:val="004C3C58"/>
    <w:rsid w:val="004C64B4"/>
    <w:rsid w:val="004C77CB"/>
    <w:rsid w:val="004D1CE8"/>
    <w:rsid w:val="004D3DD0"/>
    <w:rsid w:val="004D4BA4"/>
    <w:rsid w:val="004D64F6"/>
    <w:rsid w:val="004E036E"/>
    <w:rsid w:val="004E3161"/>
    <w:rsid w:val="004E47E7"/>
    <w:rsid w:val="004E5833"/>
    <w:rsid w:val="004E60ED"/>
    <w:rsid w:val="004E6924"/>
    <w:rsid w:val="004E72B9"/>
    <w:rsid w:val="004F1CA9"/>
    <w:rsid w:val="004F1F08"/>
    <w:rsid w:val="004F3B38"/>
    <w:rsid w:val="004F486A"/>
    <w:rsid w:val="004F6400"/>
    <w:rsid w:val="004F6CE7"/>
    <w:rsid w:val="004F75EF"/>
    <w:rsid w:val="00501093"/>
    <w:rsid w:val="00502AF4"/>
    <w:rsid w:val="00506059"/>
    <w:rsid w:val="00511B73"/>
    <w:rsid w:val="00512693"/>
    <w:rsid w:val="005126D0"/>
    <w:rsid w:val="0051363B"/>
    <w:rsid w:val="00514D2D"/>
    <w:rsid w:val="00515174"/>
    <w:rsid w:val="00515E93"/>
    <w:rsid w:val="00516166"/>
    <w:rsid w:val="00516FB3"/>
    <w:rsid w:val="005215FE"/>
    <w:rsid w:val="00522FF6"/>
    <w:rsid w:val="0052438B"/>
    <w:rsid w:val="00534047"/>
    <w:rsid w:val="00535059"/>
    <w:rsid w:val="00535396"/>
    <w:rsid w:val="0053598F"/>
    <w:rsid w:val="00540158"/>
    <w:rsid w:val="00540A9A"/>
    <w:rsid w:val="00540EFC"/>
    <w:rsid w:val="00542733"/>
    <w:rsid w:val="00542BA4"/>
    <w:rsid w:val="00543769"/>
    <w:rsid w:val="00544A1E"/>
    <w:rsid w:val="00545B57"/>
    <w:rsid w:val="00547C7C"/>
    <w:rsid w:val="005503FF"/>
    <w:rsid w:val="00550BC6"/>
    <w:rsid w:val="00551B71"/>
    <w:rsid w:val="00552046"/>
    <w:rsid w:val="0055797F"/>
    <w:rsid w:val="00557A13"/>
    <w:rsid w:val="005605A8"/>
    <w:rsid w:val="0056113F"/>
    <w:rsid w:val="00565B42"/>
    <w:rsid w:val="00566A07"/>
    <w:rsid w:val="005671B3"/>
    <w:rsid w:val="005672FA"/>
    <w:rsid w:val="005719ED"/>
    <w:rsid w:val="005730AC"/>
    <w:rsid w:val="005748D1"/>
    <w:rsid w:val="0057598B"/>
    <w:rsid w:val="00575C99"/>
    <w:rsid w:val="005762F5"/>
    <w:rsid w:val="005765EF"/>
    <w:rsid w:val="00580FC0"/>
    <w:rsid w:val="00582A21"/>
    <w:rsid w:val="005844FA"/>
    <w:rsid w:val="005850E7"/>
    <w:rsid w:val="00590F57"/>
    <w:rsid w:val="00590FAC"/>
    <w:rsid w:val="00591201"/>
    <w:rsid w:val="00591828"/>
    <w:rsid w:val="00592894"/>
    <w:rsid w:val="005933D9"/>
    <w:rsid w:val="005952B1"/>
    <w:rsid w:val="00597C67"/>
    <w:rsid w:val="005A006E"/>
    <w:rsid w:val="005A0C43"/>
    <w:rsid w:val="005A21D5"/>
    <w:rsid w:val="005A66AB"/>
    <w:rsid w:val="005B0561"/>
    <w:rsid w:val="005B061E"/>
    <w:rsid w:val="005B0FCE"/>
    <w:rsid w:val="005B1A45"/>
    <w:rsid w:val="005C00C0"/>
    <w:rsid w:val="005C0BD1"/>
    <w:rsid w:val="005C0E38"/>
    <w:rsid w:val="005C1ED1"/>
    <w:rsid w:val="005C4C29"/>
    <w:rsid w:val="005C5ECE"/>
    <w:rsid w:val="005C7DE6"/>
    <w:rsid w:val="005D03E0"/>
    <w:rsid w:val="005D22D3"/>
    <w:rsid w:val="005D4A02"/>
    <w:rsid w:val="005D66C9"/>
    <w:rsid w:val="005E06CC"/>
    <w:rsid w:val="005E3278"/>
    <w:rsid w:val="005E4675"/>
    <w:rsid w:val="005F01B7"/>
    <w:rsid w:val="005F0640"/>
    <w:rsid w:val="005F212B"/>
    <w:rsid w:val="005F2BC7"/>
    <w:rsid w:val="005F39FA"/>
    <w:rsid w:val="005F3C10"/>
    <w:rsid w:val="005F496B"/>
    <w:rsid w:val="005F4DC9"/>
    <w:rsid w:val="005F59E7"/>
    <w:rsid w:val="005F73BE"/>
    <w:rsid w:val="00600C9B"/>
    <w:rsid w:val="00602384"/>
    <w:rsid w:val="006024FA"/>
    <w:rsid w:val="0060333C"/>
    <w:rsid w:val="006033E1"/>
    <w:rsid w:val="00603757"/>
    <w:rsid w:val="00605CC1"/>
    <w:rsid w:val="00612006"/>
    <w:rsid w:val="0061290F"/>
    <w:rsid w:val="00612C6C"/>
    <w:rsid w:val="006134DA"/>
    <w:rsid w:val="00614F2D"/>
    <w:rsid w:val="006150CF"/>
    <w:rsid w:val="006169FF"/>
    <w:rsid w:val="00617357"/>
    <w:rsid w:val="00617650"/>
    <w:rsid w:val="00617B64"/>
    <w:rsid w:val="00621951"/>
    <w:rsid w:val="0062493F"/>
    <w:rsid w:val="006252AB"/>
    <w:rsid w:val="00625372"/>
    <w:rsid w:val="0063118F"/>
    <w:rsid w:val="00633611"/>
    <w:rsid w:val="00636AD2"/>
    <w:rsid w:val="00636D65"/>
    <w:rsid w:val="0064086E"/>
    <w:rsid w:val="00641D41"/>
    <w:rsid w:val="00642767"/>
    <w:rsid w:val="00642B44"/>
    <w:rsid w:val="006452DB"/>
    <w:rsid w:val="00646DF1"/>
    <w:rsid w:val="0065009B"/>
    <w:rsid w:val="006527F5"/>
    <w:rsid w:val="00652B86"/>
    <w:rsid w:val="00652CE7"/>
    <w:rsid w:val="00655183"/>
    <w:rsid w:val="006613EC"/>
    <w:rsid w:val="00661A50"/>
    <w:rsid w:val="00661BFA"/>
    <w:rsid w:val="006622B8"/>
    <w:rsid w:val="00662314"/>
    <w:rsid w:val="0066277F"/>
    <w:rsid w:val="00663822"/>
    <w:rsid w:val="00664203"/>
    <w:rsid w:val="0066436D"/>
    <w:rsid w:val="0066475F"/>
    <w:rsid w:val="006658F6"/>
    <w:rsid w:val="00665AD5"/>
    <w:rsid w:val="0067097E"/>
    <w:rsid w:val="00674C5D"/>
    <w:rsid w:val="00675479"/>
    <w:rsid w:val="006755F9"/>
    <w:rsid w:val="00676969"/>
    <w:rsid w:val="006778DC"/>
    <w:rsid w:val="00677AFA"/>
    <w:rsid w:val="00680420"/>
    <w:rsid w:val="00681337"/>
    <w:rsid w:val="00684310"/>
    <w:rsid w:val="00684443"/>
    <w:rsid w:val="00687A04"/>
    <w:rsid w:val="006910D5"/>
    <w:rsid w:val="00691BF6"/>
    <w:rsid w:val="00691CC7"/>
    <w:rsid w:val="0069215C"/>
    <w:rsid w:val="00693997"/>
    <w:rsid w:val="00693DFD"/>
    <w:rsid w:val="00693E9F"/>
    <w:rsid w:val="0069725F"/>
    <w:rsid w:val="006A065F"/>
    <w:rsid w:val="006A12D2"/>
    <w:rsid w:val="006A2181"/>
    <w:rsid w:val="006A2456"/>
    <w:rsid w:val="006A3354"/>
    <w:rsid w:val="006A49D4"/>
    <w:rsid w:val="006A5A17"/>
    <w:rsid w:val="006A63C7"/>
    <w:rsid w:val="006A7567"/>
    <w:rsid w:val="006B1983"/>
    <w:rsid w:val="006B3231"/>
    <w:rsid w:val="006B3CC1"/>
    <w:rsid w:val="006B5073"/>
    <w:rsid w:val="006B765B"/>
    <w:rsid w:val="006B7C11"/>
    <w:rsid w:val="006C1F30"/>
    <w:rsid w:val="006C211D"/>
    <w:rsid w:val="006C33BD"/>
    <w:rsid w:val="006C38CF"/>
    <w:rsid w:val="006C41E0"/>
    <w:rsid w:val="006C5170"/>
    <w:rsid w:val="006C61AA"/>
    <w:rsid w:val="006D0506"/>
    <w:rsid w:val="006D1D93"/>
    <w:rsid w:val="006D3176"/>
    <w:rsid w:val="006D3190"/>
    <w:rsid w:val="006D4294"/>
    <w:rsid w:val="006D4C69"/>
    <w:rsid w:val="006D5F4F"/>
    <w:rsid w:val="006D615D"/>
    <w:rsid w:val="006E19BB"/>
    <w:rsid w:val="006E1CF9"/>
    <w:rsid w:val="006E2117"/>
    <w:rsid w:val="006E275C"/>
    <w:rsid w:val="006E39C2"/>
    <w:rsid w:val="006E6ECB"/>
    <w:rsid w:val="006F074E"/>
    <w:rsid w:val="006F2E32"/>
    <w:rsid w:val="006F375E"/>
    <w:rsid w:val="006F4E96"/>
    <w:rsid w:val="006F57D5"/>
    <w:rsid w:val="006F59BE"/>
    <w:rsid w:val="006F6666"/>
    <w:rsid w:val="006F7E4C"/>
    <w:rsid w:val="00700425"/>
    <w:rsid w:val="00702B82"/>
    <w:rsid w:val="007042A4"/>
    <w:rsid w:val="0070695A"/>
    <w:rsid w:val="007069C0"/>
    <w:rsid w:val="00711853"/>
    <w:rsid w:val="0071199E"/>
    <w:rsid w:val="007121A2"/>
    <w:rsid w:val="00713720"/>
    <w:rsid w:val="00720E49"/>
    <w:rsid w:val="00721C24"/>
    <w:rsid w:val="007222B7"/>
    <w:rsid w:val="00723509"/>
    <w:rsid w:val="00723BFA"/>
    <w:rsid w:val="00723F3B"/>
    <w:rsid w:val="00723F4B"/>
    <w:rsid w:val="00724A4B"/>
    <w:rsid w:val="00724C63"/>
    <w:rsid w:val="007268C7"/>
    <w:rsid w:val="00727D5D"/>
    <w:rsid w:val="00732F61"/>
    <w:rsid w:val="0073380C"/>
    <w:rsid w:val="00734C54"/>
    <w:rsid w:val="00736A02"/>
    <w:rsid w:val="00743039"/>
    <w:rsid w:val="007462A0"/>
    <w:rsid w:val="00750139"/>
    <w:rsid w:val="00750A0E"/>
    <w:rsid w:val="00750F47"/>
    <w:rsid w:val="00751DD1"/>
    <w:rsid w:val="00753141"/>
    <w:rsid w:val="00753281"/>
    <w:rsid w:val="00753428"/>
    <w:rsid w:val="0075400B"/>
    <w:rsid w:val="007556C5"/>
    <w:rsid w:val="00755F3D"/>
    <w:rsid w:val="007626AF"/>
    <w:rsid w:val="007636DD"/>
    <w:rsid w:val="00766582"/>
    <w:rsid w:val="00767C3E"/>
    <w:rsid w:val="00770B0B"/>
    <w:rsid w:val="00775600"/>
    <w:rsid w:val="00775914"/>
    <w:rsid w:val="00776CA4"/>
    <w:rsid w:val="007813E9"/>
    <w:rsid w:val="00784331"/>
    <w:rsid w:val="00785DDD"/>
    <w:rsid w:val="007872B1"/>
    <w:rsid w:val="007903FA"/>
    <w:rsid w:val="0079159E"/>
    <w:rsid w:val="00791D3D"/>
    <w:rsid w:val="007948F6"/>
    <w:rsid w:val="00794A1D"/>
    <w:rsid w:val="00794C79"/>
    <w:rsid w:val="00795DBB"/>
    <w:rsid w:val="007960F0"/>
    <w:rsid w:val="007A14B7"/>
    <w:rsid w:val="007A1E40"/>
    <w:rsid w:val="007A1FBC"/>
    <w:rsid w:val="007A455A"/>
    <w:rsid w:val="007A494F"/>
    <w:rsid w:val="007B0CC5"/>
    <w:rsid w:val="007B4931"/>
    <w:rsid w:val="007B579C"/>
    <w:rsid w:val="007C407D"/>
    <w:rsid w:val="007C416E"/>
    <w:rsid w:val="007C4E73"/>
    <w:rsid w:val="007C5824"/>
    <w:rsid w:val="007C5BF2"/>
    <w:rsid w:val="007C6FB1"/>
    <w:rsid w:val="007D1D1B"/>
    <w:rsid w:val="007D25C7"/>
    <w:rsid w:val="007D4259"/>
    <w:rsid w:val="007D481A"/>
    <w:rsid w:val="007D5978"/>
    <w:rsid w:val="007D7086"/>
    <w:rsid w:val="007D7252"/>
    <w:rsid w:val="007D7C1A"/>
    <w:rsid w:val="007E02F7"/>
    <w:rsid w:val="007E03E4"/>
    <w:rsid w:val="007E0D8A"/>
    <w:rsid w:val="007E1354"/>
    <w:rsid w:val="007E1D6B"/>
    <w:rsid w:val="007E2C2F"/>
    <w:rsid w:val="007E352C"/>
    <w:rsid w:val="007E3C12"/>
    <w:rsid w:val="007E4575"/>
    <w:rsid w:val="007E45B5"/>
    <w:rsid w:val="007E4C49"/>
    <w:rsid w:val="007E531C"/>
    <w:rsid w:val="007E552D"/>
    <w:rsid w:val="007E78EF"/>
    <w:rsid w:val="007F25AD"/>
    <w:rsid w:val="007F273E"/>
    <w:rsid w:val="007F281B"/>
    <w:rsid w:val="007F3D51"/>
    <w:rsid w:val="007F7DE3"/>
    <w:rsid w:val="00800450"/>
    <w:rsid w:val="008007AC"/>
    <w:rsid w:val="008011C7"/>
    <w:rsid w:val="00802062"/>
    <w:rsid w:val="0080250D"/>
    <w:rsid w:val="0080289D"/>
    <w:rsid w:val="0080386D"/>
    <w:rsid w:val="00805410"/>
    <w:rsid w:val="00806FA2"/>
    <w:rsid w:val="008077A9"/>
    <w:rsid w:val="008078FE"/>
    <w:rsid w:val="00810210"/>
    <w:rsid w:val="0081055C"/>
    <w:rsid w:val="008149FB"/>
    <w:rsid w:val="00814D7B"/>
    <w:rsid w:val="00815855"/>
    <w:rsid w:val="00815B30"/>
    <w:rsid w:val="00816AAD"/>
    <w:rsid w:val="00817364"/>
    <w:rsid w:val="00817C46"/>
    <w:rsid w:val="00817CF5"/>
    <w:rsid w:val="008213F4"/>
    <w:rsid w:val="00821AD6"/>
    <w:rsid w:val="00822728"/>
    <w:rsid w:val="00823C90"/>
    <w:rsid w:val="00823D6E"/>
    <w:rsid w:val="008241EC"/>
    <w:rsid w:val="00824524"/>
    <w:rsid w:val="0082604E"/>
    <w:rsid w:val="00826E2A"/>
    <w:rsid w:val="00831DF1"/>
    <w:rsid w:val="008323FF"/>
    <w:rsid w:val="00833E8B"/>
    <w:rsid w:val="00833F6C"/>
    <w:rsid w:val="00834409"/>
    <w:rsid w:val="008400CF"/>
    <w:rsid w:val="008438C9"/>
    <w:rsid w:val="00843C7D"/>
    <w:rsid w:val="00843FD3"/>
    <w:rsid w:val="00846380"/>
    <w:rsid w:val="00846CC6"/>
    <w:rsid w:val="008519D7"/>
    <w:rsid w:val="008522AE"/>
    <w:rsid w:val="0085363F"/>
    <w:rsid w:val="00854769"/>
    <w:rsid w:val="00854977"/>
    <w:rsid w:val="008576C6"/>
    <w:rsid w:val="00860B0F"/>
    <w:rsid w:val="00860EB3"/>
    <w:rsid w:val="0086108D"/>
    <w:rsid w:val="00862937"/>
    <w:rsid w:val="00865FC1"/>
    <w:rsid w:val="00866326"/>
    <w:rsid w:val="00873A5A"/>
    <w:rsid w:val="00874560"/>
    <w:rsid w:val="008763B2"/>
    <w:rsid w:val="008810E9"/>
    <w:rsid w:val="008823A1"/>
    <w:rsid w:val="00882664"/>
    <w:rsid w:val="00885F36"/>
    <w:rsid w:val="00886440"/>
    <w:rsid w:val="00887AB9"/>
    <w:rsid w:val="00890CF1"/>
    <w:rsid w:val="00890DF6"/>
    <w:rsid w:val="00892286"/>
    <w:rsid w:val="0089609F"/>
    <w:rsid w:val="0089630A"/>
    <w:rsid w:val="00896A29"/>
    <w:rsid w:val="00896DD0"/>
    <w:rsid w:val="00896DD6"/>
    <w:rsid w:val="008A0221"/>
    <w:rsid w:val="008A1807"/>
    <w:rsid w:val="008A188A"/>
    <w:rsid w:val="008A4D0A"/>
    <w:rsid w:val="008A60B3"/>
    <w:rsid w:val="008A6181"/>
    <w:rsid w:val="008A6D2E"/>
    <w:rsid w:val="008A7196"/>
    <w:rsid w:val="008B4239"/>
    <w:rsid w:val="008B4A37"/>
    <w:rsid w:val="008B5983"/>
    <w:rsid w:val="008B5C0D"/>
    <w:rsid w:val="008B7636"/>
    <w:rsid w:val="008B7DD4"/>
    <w:rsid w:val="008C1A07"/>
    <w:rsid w:val="008C1A1F"/>
    <w:rsid w:val="008C1D06"/>
    <w:rsid w:val="008C4005"/>
    <w:rsid w:val="008C49C5"/>
    <w:rsid w:val="008D0CDA"/>
    <w:rsid w:val="008D40E9"/>
    <w:rsid w:val="008E151C"/>
    <w:rsid w:val="008E2307"/>
    <w:rsid w:val="008E63E0"/>
    <w:rsid w:val="008E713C"/>
    <w:rsid w:val="008E78FE"/>
    <w:rsid w:val="008F0F30"/>
    <w:rsid w:val="008F2563"/>
    <w:rsid w:val="008F329A"/>
    <w:rsid w:val="008F3D93"/>
    <w:rsid w:val="008F4677"/>
    <w:rsid w:val="008F7E11"/>
    <w:rsid w:val="00900438"/>
    <w:rsid w:val="00900D36"/>
    <w:rsid w:val="00901011"/>
    <w:rsid w:val="0090110D"/>
    <w:rsid w:val="00901C5B"/>
    <w:rsid w:val="00901D62"/>
    <w:rsid w:val="0090392C"/>
    <w:rsid w:val="00906416"/>
    <w:rsid w:val="009103D3"/>
    <w:rsid w:val="00910EE0"/>
    <w:rsid w:val="009110EA"/>
    <w:rsid w:val="0091213A"/>
    <w:rsid w:val="009152E5"/>
    <w:rsid w:val="00916B52"/>
    <w:rsid w:val="00916EB9"/>
    <w:rsid w:val="0092033A"/>
    <w:rsid w:val="0092735C"/>
    <w:rsid w:val="00930058"/>
    <w:rsid w:val="00930A61"/>
    <w:rsid w:val="00931C30"/>
    <w:rsid w:val="00932A6F"/>
    <w:rsid w:val="00934319"/>
    <w:rsid w:val="00934AB5"/>
    <w:rsid w:val="00934AE5"/>
    <w:rsid w:val="009354DB"/>
    <w:rsid w:val="00935BEE"/>
    <w:rsid w:val="009365DC"/>
    <w:rsid w:val="009440EC"/>
    <w:rsid w:val="0094480B"/>
    <w:rsid w:val="00944A0A"/>
    <w:rsid w:val="0094655B"/>
    <w:rsid w:val="00946B97"/>
    <w:rsid w:val="00946F87"/>
    <w:rsid w:val="00950488"/>
    <w:rsid w:val="00951086"/>
    <w:rsid w:val="00952094"/>
    <w:rsid w:val="009532AF"/>
    <w:rsid w:val="009547AC"/>
    <w:rsid w:val="00955A1D"/>
    <w:rsid w:val="0095633F"/>
    <w:rsid w:val="009568A6"/>
    <w:rsid w:val="00956A1C"/>
    <w:rsid w:val="00957A3D"/>
    <w:rsid w:val="00957E94"/>
    <w:rsid w:val="0096229B"/>
    <w:rsid w:val="009629BC"/>
    <w:rsid w:val="009646A3"/>
    <w:rsid w:val="00964B28"/>
    <w:rsid w:val="00964ECB"/>
    <w:rsid w:val="009677C8"/>
    <w:rsid w:val="0097042A"/>
    <w:rsid w:val="00970F76"/>
    <w:rsid w:val="00971634"/>
    <w:rsid w:val="00972358"/>
    <w:rsid w:val="00972526"/>
    <w:rsid w:val="0097259B"/>
    <w:rsid w:val="009738B8"/>
    <w:rsid w:val="00973BBA"/>
    <w:rsid w:val="00974101"/>
    <w:rsid w:val="00974AD6"/>
    <w:rsid w:val="00974B67"/>
    <w:rsid w:val="009758E0"/>
    <w:rsid w:val="00976487"/>
    <w:rsid w:val="009770D4"/>
    <w:rsid w:val="009800D3"/>
    <w:rsid w:val="00980255"/>
    <w:rsid w:val="0098281C"/>
    <w:rsid w:val="00982D39"/>
    <w:rsid w:val="00985E65"/>
    <w:rsid w:val="0098635A"/>
    <w:rsid w:val="0098795C"/>
    <w:rsid w:val="0099010A"/>
    <w:rsid w:val="0099113C"/>
    <w:rsid w:val="00991479"/>
    <w:rsid w:val="0099375B"/>
    <w:rsid w:val="0099390E"/>
    <w:rsid w:val="00997785"/>
    <w:rsid w:val="009A085C"/>
    <w:rsid w:val="009A32FB"/>
    <w:rsid w:val="009A3693"/>
    <w:rsid w:val="009A5448"/>
    <w:rsid w:val="009A5460"/>
    <w:rsid w:val="009A7FE2"/>
    <w:rsid w:val="009B1E85"/>
    <w:rsid w:val="009B2A1D"/>
    <w:rsid w:val="009B301D"/>
    <w:rsid w:val="009B4356"/>
    <w:rsid w:val="009B452D"/>
    <w:rsid w:val="009B471E"/>
    <w:rsid w:val="009B6B03"/>
    <w:rsid w:val="009C01BC"/>
    <w:rsid w:val="009C3500"/>
    <w:rsid w:val="009C44B7"/>
    <w:rsid w:val="009C5FE3"/>
    <w:rsid w:val="009C6097"/>
    <w:rsid w:val="009D0CA8"/>
    <w:rsid w:val="009D2977"/>
    <w:rsid w:val="009D440F"/>
    <w:rsid w:val="009D4765"/>
    <w:rsid w:val="009D52AA"/>
    <w:rsid w:val="009D6242"/>
    <w:rsid w:val="009D725E"/>
    <w:rsid w:val="009D74FD"/>
    <w:rsid w:val="009E0161"/>
    <w:rsid w:val="009E0426"/>
    <w:rsid w:val="009E1403"/>
    <w:rsid w:val="009E199B"/>
    <w:rsid w:val="009E5840"/>
    <w:rsid w:val="009E6C54"/>
    <w:rsid w:val="009E70B3"/>
    <w:rsid w:val="009F1535"/>
    <w:rsid w:val="009F1BE2"/>
    <w:rsid w:val="009F4147"/>
    <w:rsid w:val="009F648C"/>
    <w:rsid w:val="009F742D"/>
    <w:rsid w:val="00A032FC"/>
    <w:rsid w:val="00A05297"/>
    <w:rsid w:val="00A053DE"/>
    <w:rsid w:val="00A06B02"/>
    <w:rsid w:val="00A10443"/>
    <w:rsid w:val="00A12C3E"/>
    <w:rsid w:val="00A12CEC"/>
    <w:rsid w:val="00A139AB"/>
    <w:rsid w:val="00A13C26"/>
    <w:rsid w:val="00A14D57"/>
    <w:rsid w:val="00A15A4B"/>
    <w:rsid w:val="00A17DB4"/>
    <w:rsid w:val="00A24C79"/>
    <w:rsid w:val="00A25DE6"/>
    <w:rsid w:val="00A3127C"/>
    <w:rsid w:val="00A32894"/>
    <w:rsid w:val="00A3346F"/>
    <w:rsid w:val="00A33639"/>
    <w:rsid w:val="00A33AEE"/>
    <w:rsid w:val="00A3580F"/>
    <w:rsid w:val="00A358EA"/>
    <w:rsid w:val="00A36016"/>
    <w:rsid w:val="00A36539"/>
    <w:rsid w:val="00A378E4"/>
    <w:rsid w:val="00A40D14"/>
    <w:rsid w:val="00A4276A"/>
    <w:rsid w:val="00A433EF"/>
    <w:rsid w:val="00A43C9C"/>
    <w:rsid w:val="00A43ECF"/>
    <w:rsid w:val="00A44D81"/>
    <w:rsid w:val="00A4543E"/>
    <w:rsid w:val="00A45B85"/>
    <w:rsid w:val="00A462A0"/>
    <w:rsid w:val="00A46FBF"/>
    <w:rsid w:val="00A53879"/>
    <w:rsid w:val="00A56C04"/>
    <w:rsid w:val="00A572E7"/>
    <w:rsid w:val="00A57A10"/>
    <w:rsid w:val="00A61397"/>
    <w:rsid w:val="00A618FC"/>
    <w:rsid w:val="00A61FF9"/>
    <w:rsid w:val="00A628E0"/>
    <w:rsid w:val="00A62C47"/>
    <w:rsid w:val="00A63BB9"/>
    <w:rsid w:val="00A63BE7"/>
    <w:rsid w:val="00A642C3"/>
    <w:rsid w:val="00A64EC3"/>
    <w:rsid w:val="00A70570"/>
    <w:rsid w:val="00A7114E"/>
    <w:rsid w:val="00A7153E"/>
    <w:rsid w:val="00A71A77"/>
    <w:rsid w:val="00A72883"/>
    <w:rsid w:val="00A73579"/>
    <w:rsid w:val="00A7425F"/>
    <w:rsid w:val="00A742C6"/>
    <w:rsid w:val="00A74724"/>
    <w:rsid w:val="00A74B05"/>
    <w:rsid w:val="00A7505B"/>
    <w:rsid w:val="00A75075"/>
    <w:rsid w:val="00A75520"/>
    <w:rsid w:val="00A758A7"/>
    <w:rsid w:val="00A759A7"/>
    <w:rsid w:val="00A76190"/>
    <w:rsid w:val="00A76B65"/>
    <w:rsid w:val="00A76EF1"/>
    <w:rsid w:val="00A8176E"/>
    <w:rsid w:val="00A83B71"/>
    <w:rsid w:val="00A849F0"/>
    <w:rsid w:val="00A876FD"/>
    <w:rsid w:val="00A90FD8"/>
    <w:rsid w:val="00A9420B"/>
    <w:rsid w:val="00A94534"/>
    <w:rsid w:val="00A9648B"/>
    <w:rsid w:val="00A97092"/>
    <w:rsid w:val="00A97914"/>
    <w:rsid w:val="00AA0550"/>
    <w:rsid w:val="00AA1CD4"/>
    <w:rsid w:val="00AA2693"/>
    <w:rsid w:val="00AA3EAE"/>
    <w:rsid w:val="00AA4520"/>
    <w:rsid w:val="00AA4609"/>
    <w:rsid w:val="00AA74AB"/>
    <w:rsid w:val="00AB14CA"/>
    <w:rsid w:val="00AB3DB4"/>
    <w:rsid w:val="00AB58A1"/>
    <w:rsid w:val="00AC16E6"/>
    <w:rsid w:val="00AC1DD5"/>
    <w:rsid w:val="00AC4518"/>
    <w:rsid w:val="00AC56E8"/>
    <w:rsid w:val="00AC5DBA"/>
    <w:rsid w:val="00AC5FC8"/>
    <w:rsid w:val="00AD0064"/>
    <w:rsid w:val="00AD0B43"/>
    <w:rsid w:val="00AD0BDC"/>
    <w:rsid w:val="00AD21D6"/>
    <w:rsid w:val="00AD361F"/>
    <w:rsid w:val="00AD40F0"/>
    <w:rsid w:val="00AD422A"/>
    <w:rsid w:val="00AD45CE"/>
    <w:rsid w:val="00AD4AF7"/>
    <w:rsid w:val="00AE0070"/>
    <w:rsid w:val="00AE1103"/>
    <w:rsid w:val="00AE15E8"/>
    <w:rsid w:val="00AE3B99"/>
    <w:rsid w:val="00AE3C32"/>
    <w:rsid w:val="00AE5044"/>
    <w:rsid w:val="00AF07CB"/>
    <w:rsid w:val="00AF3FAC"/>
    <w:rsid w:val="00AF5703"/>
    <w:rsid w:val="00AF57A0"/>
    <w:rsid w:val="00AF58AC"/>
    <w:rsid w:val="00AF6DB4"/>
    <w:rsid w:val="00B0011C"/>
    <w:rsid w:val="00B00C2F"/>
    <w:rsid w:val="00B013C0"/>
    <w:rsid w:val="00B01670"/>
    <w:rsid w:val="00B018F1"/>
    <w:rsid w:val="00B07113"/>
    <w:rsid w:val="00B11127"/>
    <w:rsid w:val="00B1346A"/>
    <w:rsid w:val="00B135EF"/>
    <w:rsid w:val="00B13F8F"/>
    <w:rsid w:val="00B1474A"/>
    <w:rsid w:val="00B16C1E"/>
    <w:rsid w:val="00B17501"/>
    <w:rsid w:val="00B2122C"/>
    <w:rsid w:val="00B2130E"/>
    <w:rsid w:val="00B2140A"/>
    <w:rsid w:val="00B21AA4"/>
    <w:rsid w:val="00B22255"/>
    <w:rsid w:val="00B2255F"/>
    <w:rsid w:val="00B263DD"/>
    <w:rsid w:val="00B30CE7"/>
    <w:rsid w:val="00B3287D"/>
    <w:rsid w:val="00B33056"/>
    <w:rsid w:val="00B33474"/>
    <w:rsid w:val="00B34656"/>
    <w:rsid w:val="00B34C4F"/>
    <w:rsid w:val="00B361CA"/>
    <w:rsid w:val="00B407D2"/>
    <w:rsid w:val="00B41DD0"/>
    <w:rsid w:val="00B42136"/>
    <w:rsid w:val="00B44586"/>
    <w:rsid w:val="00B45AEA"/>
    <w:rsid w:val="00B5175F"/>
    <w:rsid w:val="00B51BC6"/>
    <w:rsid w:val="00B520E4"/>
    <w:rsid w:val="00B5320A"/>
    <w:rsid w:val="00B54D36"/>
    <w:rsid w:val="00B6108E"/>
    <w:rsid w:val="00B619AB"/>
    <w:rsid w:val="00B61E04"/>
    <w:rsid w:val="00B6392B"/>
    <w:rsid w:val="00B64092"/>
    <w:rsid w:val="00B6451F"/>
    <w:rsid w:val="00B64C42"/>
    <w:rsid w:val="00B65EFC"/>
    <w:rsid w:val="00B67E93"/>
    <w:rsid w:val="00B722AA"/>
    <w:rsid w:val="00B7346C"/>
    <w:rsid w:val="00B734E9"/>
    <w:rsid w:val="00B753ED"/>
    <w:rsid w:val="00B7543C"/>
    <w:rsid w:val="00B7635F"/>
    <w:rsid w:val="00B769DB"/>
    <w:rsid w:val="00B80971"/>
    <w:rsid w:val="00B81C75"/>
    <w:rsid w:val="00B82799"/>
    <w:rsid w:val="00B82928"/>
    <w:rsid w:val="00B82C2C"/>
    <w:rsid w:val="00B82FBC"/>
    <w:rsid w:val="00B847F7"/>
    <w:rsid w:val="00B85790"/>
    <w:rsid w:val="00B86CA6"/>
    <w:rsid w:val="00B87654"/>
    <w:rsid w:val="00B94752"/>
    <w:rsid w:val="00B96796"/>
    <w:rsid w:val="00B97B0D"/>
    <w:rsid w:val="00BA0003"/>
    <w:rsid w:val="00BA041E"/>
    <w:rsid w:val="00BA08F9"/>
    <w:rsid w:val="00BA3B80"/>
    <w:rsid w:val="00BA511A"/>
    <w:rsid w:val="00BA51EB"/>
    <w:rsid w:val="00BA56C0"/>
    <w:rsid w:val="00BA5A5D"/>
    <w:rsid w:val="00BA6642"/>
    <w:rsid w:val="00BB09D5"/>
    <w:rsid w:val="00BB20AA"/>
    <w:rsid w:val="00BB2A7D"/>
    <w:rsid w:val="00BB4E73"/>
    <w:rsid w:val="00BB5073"/>
    <w:rsid w:val="00BB5DF0"/>
    <w:rsid w:val="00BB6265"/>
    <w:rsid w:val="00BB78B2"/>
    <w:rsid w:val="00BB7D57"/>
    <w:rsid w:val="00BC05A3"/>
    <w:rsid w:val="00BC0990"/>
    <w:rsid w:val="00BC0DFA"/>
    <w:rsid w:val="00BC3580"/>
    <w:rsid w:val="00BC6BE1"/>
    <w:rsid w:val="00BD16BD"/>
    <w:rsid w:val="00BD3739"/>
    <w:rsid w:val="00BD4232"/>
    <w:rsid w:val="00BD524B"/>
    <w:rsid w:val="00BD56FD"/>
    <w:rsid w:val="00BD7800"/>
    <w:rsid w:val="00BE08DA"/>
    <w:rsid w:val="00BE15E7"/>
    <w:rsid w:val="00BE1726"/>
    <w:rsid w:val="00BE1922"/>
    <w:rsid w:val="00BE2A58"/>
    <w:rsid w:val="00BE357C"/>
    <w:rsid w:val="00BE521C"/>
    <w:rsid w:val="00BE79B8"/>
    <w:rsid w:val="00BF0A82"/>
    <w:rsid w:val="00BF57B4"/>
    <w:rsid w:val="00BF6057"/>
    <w:rsid w:val="00BF71BF"/>
    <w:rsid w:val="00C006AA"/>
    <w:rsid w:val="00C018A5"/>
    <w:rsid w:val="00C0531D"/>
    <w:rsid w:val="00C07E2A"/>
    <w:rsid w:val="00C07EEA"/>
    <w:rsid w:val="00C10787"/>
    <w:rsid w:val="00C11588"/>
    <w:rsid w:val="00C128FD"/>
    <w:rsid w:val="00C140BB"/>
    <w:rsid w:val="00C150E0"/>
    <w:rsid w:val="00C177D3"/>
    <w:rsid w:val="00C1788E"/>
    <w:rsid w:val="00C20188"/>
    <w:rsid w:val="00C206F8"/>
    <w:rsid w:val="00C21960"/>
    <w:rsid w:val="00C2306A"/>
    <w:rsid w:val="00C233FC"/>
    <w:rsid w:val="00C23D08"/>
    <w:rsid w:val="00C2712F"/>
    <w:rsid w:val="00C3051F"/>
    <w:rsid w:val="00C34258"/>
    <w:rsid w:val="00C34ACE"/>
    <w:rsid w:val="00C35180"/>
    <w:rsid w:val="00C36BDE"/>
    <w:rsid w:val="00C37035"/>
    <w:rsid w:val="00C37D25"/>
    <w:rsid w:val="00C4147F"/>
    <w:rsid w:val="00C422E6"/>
    <w:rsid w:val="00C42732"/>
    <w:rsid w:val="00C42A55"/>
    <w:rsid w:val="00C452FE"/>
    <w:rsid w:val="00C463B3"/>
    <w:rsid w:val="00C503CF"/>
    <w:rsid w:val="00C50AAF"/>
    <w:rsid w:val="00C50E00"/>
    <w:rsid w:val="00C511E0"/>
    <w:rsid w:val="00C515CE"/>
    <w:rsid w:val="00C51F95"/>
    <w:rsid w:val="00C52613"/>
    <w:rsid w:val="00C53C9F"/>
    <w:rsid w:val="00C54057"/>
    <w:rsid w:val="00C559C1"/>
    <w:rsid w:val="00C55D0C"/>
    <w:rsid w:val="00C61969"/>
    <w:rsid w:val="00C62A47"/>
    <w:rsid w:val="00C63087"/>
    <w:rsid w:val="00C634DC"/>
    <w:rsid w:val="00C64595"/>
    <w:rsid w:val="00C6494E"/>
    <w:rsid w:val="00C64A0F"/>
    <w:rsid w:val="00C70FF6"/>
    <w:rsid w:val="00C712DB"/>
    <w:rsid w:val="00C736C8"/>
    <w:rsid w:val="00C739D6"/>
    <w:rsid w:val="00C740BB"/>
    <w:rsid w:val="00C764B0"/>
    <w:rsid w:val="00C765A2"/>
    <w:rsid w:val="00C81AA5"/>
    <w:rsid w:val="00C825DE"/>
    <w:rsid w:val="00C8379F"/>
    <w:rsid w:val="00C84E92"/>
    <w:rsid w:val="00C858C1"/>
    <w:rsid w:val="00C86BC4"/>
    <w:rsid w:val="00C86E9B"/>
    <w:rsid w:val="00C87A9B"/>
    <w:rsid w:val="00C91C98"/>
    <w:rsid w:val="00C931B7"/>
    <w:rsid w:val="00C95FC7"/>
    <w:rsid w:val="00C9735C"/>
    <w:rsid w:val="00C97B6C"/>
    <w:rsid w:val="00CA0376"/>
    <w:rsid w:val="00CA04B7"/>
    <w:rsid w:val="00CA0928"/>
    <w:rsid w:val="00CA09B2"/>
    <w:rsid w:val="00CA33DB"/>
    <w:rsid w:val="00CA39FA"/>
    <w:rsid w:val="00CA4231"/>
    <w:rsid w:val="00CA60E9"/>
    <w:rsid w:val="00CA72BF"/>
    <w:rsid w:val="00CB04E8"/>
    <w:rsid w:val="00CB0F54"/>
    <w:rsid w:val="00CB108C"/>
    <w:rsid w:val="00CB15A0"/>
    <w:rsid w:val="00CB1EB4"/>
    <w:rsid w:val="00CB41C1"/>
    <w:rsid w:val="00CB4EE1"/>
    <w:rsid w:val="00CB5017"/>
    <w:rsid w:val="00CB6073"/>
    <w:rsid w:val="00CB6FCA"/>
    <w:rsid w:val="00CC014D"/>
    <w:rsid w:val="00CC53AA"/>
    <w:rsid w:val="00CC6C5C"/>
    <w:rsid w:val="00CD0575"/>
    <w:rsid w:val="00CD13B5"/>
    <w:rsid w:val="00CD2BDA"/>
    <w:rsid w:val="00CD4194"/>
    <w:rsid w:val="00CD553B"/>
    <w:rsid w:val="00CD6434"/>
    <w:rsid w:val="00CD6A57"/>
    <w:rsid w:val="00CE0598"/>
    <w:rsid w:val="00CE0BC0"/>
    <w:rsid w:val="00CE1700"/>
    <w:rsid w:val="00CE47CF"/>
    <w:rsid w:val="00CE53AE"/>
    <w:rsid w:val="00CE60BC"/>
    <w:rsid w:val="00CF0A3F"/>
    <w:rsid w:val="00CF2827"/>
    <w:rsid w:val="00CF44F3"/>
    <w:rsid w:val="00CF5613"/>
    <w:rsid w:val="00CF61C7"/>
    <w:rsid w:val="00CF7DEC"/>
    <w:rsid w:val="00D05F01"/>
    <w:rsid w:val="00D076D1"/>
    <w:rsid w:val="00D10463"/>
    <w:rsid w:val="00D11B31"/>
    <w:rsid w:val="00D11E6A"/>
    <w:rsid w:val="00D12905"/>
    <w:rsid w:val="00D12D14"/>
    <w:rsid w:val="00D1428A"/>
    <w:rsid w:val="00D15D84"/>
    <w:rsid w:val="00D17A85"/>
    <w:rsid w:val="00D212EE"/>
    <w:rsid w:val="00D213A1"/>
    <w:rsid w:val="00D21B28"/>
    <w:rsid w:val="00D23C58"/>
    <w:rsid w:val="00D263D9"/>
    <w:rsid w:val="00D30B8B"/>
    <w:rsid w:val="00D310B4"/>
    <w:rsid w:val="00D3716A"/>
    <w:rsid w:val="00D375C7"/>
    <w:rsid w:val="00D37E7F"/>
    <w:rsid w:val="00D37F76"/>
    <w:rsid w:val="00D410AD"/>
    <w:rsid w:val="00D41631"/>
    <w:rsid w:val="00D41A03"/>
    <w:rsid w:val="00D42653"/>
    <w:rsid w:val="00D42788"/>
    <w:rsid w:val="00D431F8"/>
    <w:rsid w:val="00D43C1F"/>
    <w:rsid w:val="00D440CE"/>
    <w:rsid w:val="00D4413C"/>
    <w:rsid w:val="00D52F66"/>
    <w:rsid w:val="00D53AFA"/>
    <w:rsid w:val="00D55E01"/>
    <w:rsid w:val="00D576E0"/>
    <w:rsid w:val="00D57C35"/>
    <w:rsid w:val="00D61C77"/>
    <w:rsid w:val="00D61DB0"/>
    <w:rsid w:val="00D61FA6"/>
    <w:rsid w:val="00D626EA"/>
    <w:rsid w:val="00D639DB"/>
    <w:rsid w:val="00D63AAC"/>
    <w:rsid w:val="00D649BE"/>
    <w:rsid w:val="00D64F32"/>
    <w:rsid w:val="00D65383"/>
    <w:rsid w:val="00D674DE"/>
    <w:rsid w:val="00D67C80"/>
    <w:rsid w:val="00D702E7"/>
    <w:rsid w:val="00D70578"/>
    <w:rsid w:val="00D71A59"/>
    <w:rsid w:val="00D71FAC"/>
    <w:rsid w:val="00D738AF"/>
    <w:rsid w:val="00D74876"/>
    <w:rsid w:val="00D75D57"/>
    <w:rsid w:val="00D764A2"/>
    <w:rsid w:val="00D76A0B"/>
    <w:rsid w:val="00D7795E"/>
    <w:rsid w:val="00D82A36"/>
    <w:rsid w:val="00D9032B"/>
    <w:rsid w:val="00D90456"/>
    <w:rsid w:val="00D90771"/>
    <w:rsid w:val="00D90D89"/>
    <w:rsid w:val="00D90F55"/>
    <w:rsid w:val="00D91855"/>
    <w:rsid w:val="00D9296E"/>
    <w:rsid w:val="00D95C8F"/>
    <w:rsid w:val="00D967C8"/>
    <w:rsid w:val="00D97A81"/>
    <w:rsid w:val="00DA136E"/>
    <w:rsid w:val="00DA17EA"/>
    <w:rsid w:val="00DA2288"/>
    <w:rsid w:val="00DA30F3"/>
    <w:rsid w:val="00DA46E2"/>
    <w:rsid w:val="00DA5523"/>
    <w:rsid w:val="00DA7E4C"/>
    <w:rsid w:val="00DB046E"/>
    <w:rsid w:val="00DB0CAE"/>
    <w:rsid w:val="00DB1F99"/>
    <w:rsid w:val="00DB22A2"/>
    <w:rsid w:val="00DB4A34"/>
    <w:rsid w:val="00DB5C6A"/>
    <w:rsid w:val="00DB6219"/>
    <w:rsid w:val="00DB7663"/>
    <w:rsid w:val="00DC0DB8"/>
    <w:rsid w:val="00DC2AF2"/>
    <w:rsid w:val="00DC2CB0"/>
    <w:rsid w:val="00DC35DB"/>
    <w:rsid w:val="00DC3B29"/>
    <w:rsid w:val="00DC58A9"/>
    <w:rsid w:val="00DD0C82"/>
    <w:rsid w:val="00DD3427"/>
    <w:rsid w:val="00DD41CB"/>
    <w:rsid w:val="00DD55B2"/>
    <w:rsid w:val="00DD6413"/>
    <w:rsid w:val="00DE03CA"/>
    <w:rsid w:val="00DE0F69"/>
    <w:rsid w:val="00DE39A4"/>
    <w:rsid w:val="00DE3EA8"/>
    <w:rsid w:val="00DE3FAF"/>
    <w:rsid w:val="00DE4625"/>
    <w:rsid w:val="00DE46F0"/>
    <w:rsid w:val="00DE7100"/>
    <w:rsid w:val="00DF0C92"/>
    <w:rsid w:val="00DF2607"/>
    <w:rsid w:val="00DF6365"/>
    <w:rsid w:val="00DF68D3"/>
    <w:rsid w:val="00DF6E3F"/>
    <w:rsid w:val="00E00AC8"/>
    <w:rsid w:val="00E00C22"/>
    <w:rsid w:val="00E02930"/>
    <w:rsid w:val="00E07383"/>
    <w:rsid w:val="00E116F3"/>
    <w:rsid w:val="00E117E4"/>
    <w:rsid w:val="00E1321E"/>
    <w:rsid w:val="00E15781"/>
    <w:rsid w:val="00E15C93"/>
    <w:rsid w:val="00E15EEE"/>
    <w:rsid w:val="00E15FF0"/>
    <w:rsid w:val="00E1712C"/>
    <w:rsid w:val="00E20C9B"/>
    <w:rsid w:val="00E2230B"/>
    <w:rsid w:val="00E230E2"/>
    <w:rsid w:val="00E24ECC"/>
    <w:rsid w:val="00E2549F"/>
    <w:rsid w:val="00E25E50"/>
    <w:rsid w:val="00E26A05"/>
    <w:rsid w:val="00E26F2B"/>
    <w:rsid w:val="00E2752E"/>
    <w:rsid w:val="00E2768C"/>
    <w:rsid w:val="00E32C70"/>
    <w:rsid w:val="00E34DD4"/>
    <w:rsid w:val="00E35F96"/>
    <w:rsid w:val="00E3729D"/>
    <w:rsid w:val="00E4055D"/>
    <w:rsid w:val="00E407DF"/>
    <w:rsid w:val="00E414F3"/>
    <w:rsid w:val="00E41879"/>
    <w:rsid w:val="00E421F7"/>
    <w:rsid w:val="00E42D6F"/>
    <w:rsid w:val="00E4507B"/>
    <w:rsid w:val="00E45B71"/>
    <w:rsid w:val="00E51670"/>
    <w:rsid w:val="00E520CC"/>
    <w:rsid w:val="00E53188"/>
    <w:rsid w:val="00E565CD"/>
    <w:rsid w:val="00E619A3"/>
    <w:rsid w:val="00E6462D"/>
    <w:rsid w:val="00E64AD3"/>
    <w:rsid w:val="00E66671"/>
    <w:rsid w:val="00E668C1"/>
    <w:rsid w:val="00E70E14"/>
    <w:rsid w:val="00E71E60"/>
    <w:rsid w:val="00E725F7"/>
    <w:rsid w:val="00E72F45"/>
    <w:rsid w:val="00E758E9"/>
    <w:rsid w:val="00E7609F"/>
    <w:rsid w:val="00E776B6"/>
    <w:rsid w:val="00E800C0"/>
    <w:rsid w:val="00E81211"/>
    <w:rsid w:val="00E81392"/>
    <w:rsid w:val="00E82633"/>
    <w:rsid w:val="00E83232"/>
    <w:rsid w:val="00E851A1"/>
    <w:rsid w:val="00E86130"/>
    <w:rsid w:val="00E87466"/>
    <w:rsid w:val="00E87760"/>
    <w:rsid w:val="00E90BB7"/>
    <w:rsid w:val="00E9342A"/>
    <w:rsid w:val="00E94075"/>
    <w:rsid w:val="00E94A0E"/>
    <w:rsid w:val="00E968D0"/>
    <w:rsid w:val="00E978E4"/>
    <w:rsid w:val="00EA0219"/>
    <w:rsid w:val="00EA244F"/>
    <w:rsid w:val="00EA3B22"/>
    <w:rsid w:val="00EA408A"/>
    <w:rsid w:val="00EA4D41"/>
    <w:rsid w:val="00EA5041"/>
    <w:rsid w:val="00EB18BB"/>
    <w:rsid w:val="00EB3DB3"/>
    <w:rsid w:val="00EB5A51"/>
    <w:rsid w:val="00EB67D8"/>
    <w:rsid w:val="00EB698E"/>
    <w:rsid w:val="00EC188B"/>
    <w:rsid w:val="00EC31A6"/>
    <w:rsid w:val="00EC33B9"/>
    <w:rsid w:val="00EC3AC2"/>
    <w:rsid w:val="00EC3E40"/>
    <w:rsid w:val="00EC4268"/>
    <w:rsid w:val="00EC4362"/>
    <w:rsid w:val="00EC5493"/>
    <w:rsid w:val="00EC610E"/>
    <w:rsid w:val="00EC67D7"/>
    <w:rsid w:val="00EC784E"/>
    <w:rsid w:val="00ED022D"/>
    <w:rsid w:val="00ED08F0"/>
    <w:rsid w:val="00ED3AD5"/>
    <w:rsid w:val="00ED3CFA"/>
    <w:rsid w:val="00ED42B4"/>
    <w:rsid w:val="00EE26EA"/>
    <w:rsid w:val="00EE27F6"/>
    <w:rsid w:val="00EE39F3"/>
    <w:rsid w:val="00EE3EEB"/>
    <w:rsid w:val="00EE42F5"/>
    <w:rsid w:val="00EE56FE"/>
    <w:rsid w:val="00EF5A24"/>
    <w:rsid w:val="00EF603B"/>
    <w:rsid w:val="00EF656F"/>
    <w:rsid w:val="00F0214D"/>
    <w:rsid w:val="00F03F4D"/>
    <w:rsid w:val="00F05212"/>
    <w:rsid w:val="00F103DA"/>
    <w:rsid w:val="00F1065D"/>
    <w:rsid w:val="00F1224F"/>
    <w:rsid w:val="00F122AB"/>
    <w:rsid w:val="00F13A78"/>
    <w:rsid w:val="00F1551F"/>
    <w:rsid w:val="00F20B73"/>
    <w:rsid w:val="00F20CBD"/>
    <w:rsid w:val="00F21308"/>
    <w:rsid w:val="00F217C0"/>
    <w:rsid w:val="00F21A54"/>
    <w:rsid w:val="00F22291"/>
    <w:rsid w:val="00F2240F"/>
    <w:rsid w:val="00F2316B"/>
    <w:rsid w:val="00F2511F"/>
    <w:rsid w:val="00F25500"/>
    <w:rsid w:val="00F26399"/>
    <w:rsid w:val="00F268B6"/>
    <w:rsid w:val="00F274AA"/>
    <w:rsid w:val="00F27C49"/>
    <w:rsid w:val="00F30931"/>
    <w:rsid w:val="00F31E80"/>
    <w:rsid w:val="00F32D94"/>
    <w:rsid w:val="00F3446B"/>
    <w:rsid w:val="00F35765"/>
    <w:rsid w:val="00F36541"/>
    <w:rsid w:val="00F37517"/>
    <w:rsid w:val="00F409FC"/>
    <w:rsid w:val="00F40AC3"/>
    <w:rsid w:val="00F41B3D"/>
    <w:rsid w:val="00F41C2F"/>
    <w:rsid w:val="00F47669"/>
    <w:rsid w:val="00F500EB"/>
    <w:rsid w:val="00F50A08"/>
    <w:rsid w:val="00F50F62"/>
    <w:rsid w:val="00F55D76"/>
    <w:rsid w:val="00F55E0A"/>
    <w:rsid w:val="00F55FB4"/>
    <w:rsid w:val="00F5655B"/>
    <w:rsid w:val="00F575D4"/>
    <w:rsid w:val="00F57B45"/>
    <w:rsid w:val="00F6055F"/>
    <w:rsid w:val="00F6157E"/>
    <w:rsid w:val="00F63D88"/>
    <w:rsid w:val="00F65082"/>
    <w:rsid w:val="00F66E5F"/>
    <w:rsid w:val="00F671FA"/>
    <w:rsid w:val="00F70E59"/>
    <w:rsid w:val="00F7122C"/>
    <w:rsid w:val="00F71D2E"/>
    <w:rsid w:val="00F72553"/>
    <w:rsid w:val="00F72DB0"/>
    <w:rsid w:val="00F76805"/>
    <w:rsid w:val="00F807C7"/>
    <w:rsid w:val="00F808C6"/>
    <w:rsid w:val="00F810BB"/>
    <w:rsid w:val="00F815DC"/>
    <w:rsid w:val="00F81B5E"/>
    <w:rsid w:val="00F81DE4"/>
    <w:rsid w:val="00F822B8"/>
    <w:rsid w:val="00F82B3D"/>
    <w:rsid w:val="00F8632E"/>
    <w:rsid w:val="00F867BB"/>
    <w:rsid w:val="00F86D2A"/>
    <w:rsid w:val="00F907EB"/>
    <w:rsid w:val="00F90EFA"/>
    <w:rsid w:val="00F934D7"/>
    <w:rsid w:val="00F9432B"/>
    <w:rsid w:val="00F96D53"/>
    <w:rsid w:val="00F97099"/>
    <w:rsid w:val="00F975D3"/>
    <w:rsid w:val="00F978CD"/>
    <w:rsid w:val="00FA1242"/>
    <w:rsid w:val="00FA2303"/>
    <w:rsid w:val="00FA3F98"/>
    <w:rsid w:val="00FA4E63"/>
    <w:rsid w:val="00FA548C"/>
    <w:rsid w:val="00FA5B6C"/>
    <w:rsid w:val="00FA6E76"/>
    <w:rsid w:val="00FA7479"/>
    <w:rsid w:val="00FB02B6"/>
    <w:rsid w:val="00FB23E4"/>
    <w:rsid w:val="00FB27E9"/>
    <w:rsid w:val="00FB3BB2"/>
    <w:rsid w:val="00FB71FC"/>
    <w:rsid w:val="00FC01B3"/>
    <w:rsid w:val="00FC03C1"/>
    <w:rsid w:val="00FC06AE"/>
    <w:rsid w:val="00FC27B3"/>
    <w:rsid w:val="00FC2C3E"/>
    <w:rsid w:val="00FC4E5A"/>
    <w:rsid w:val="00FC5386"/>
    <w:rsid w:val="00FC6088"/>
    <w:rsid w:val="00FC7C36"/>
    <w:rsid w:val="00FD06FF"/>
    <w:rsid w:val="00FD3150"/>
    <w:rsid w:val="00FD38E8"/>
    <w:rsid w:val="00FD43CB"/>
    <w:rsid w:val="00FD5076"/>
    <w:rsid w:val="00FD5486"/>
    <w:rsid w:val="00FD5899"/>
    <w:rsid w:val="00FD7175"/>
    <w:rsid w:val="00FE038B"/>
    <w:rsid w:val="00FE09D4"/>
    <w:rsid w:val="00FE114B"/>
    <w:rsid w:val="00FE1D5F"/>
    <w:rsid w:val="00FE3EEF"/>
    <w:rsid w:val="00FE5FB6"/>
    <w:rsid w:val="00FE6F61"/>
    <w:rsid w:val="00FE7DE1"/>
    <w:rsid w:val="00FF088A"/>
    <w:rsid w:val="00FF0967"/>
    <w:rsid w:val="00FF0E8A"/>
    <w:rsid w:val="00FF1A75"/>
    <w:rsid w:val="00FF215C"/>
    <w:rsid w:val="010D765D"/>
    <w:rsid w:val="010E3834"/>
    <w:rsid w:val="011428D2"/>
    <w:rsid w:val="011557B2"/>
    <w:rsid w:val="01192C1F"/>
    <w:rsid w:val="011D2710"/>
    <w:rsid w:val="0138518F"/>
    <w:rsid w:val="014229F6"/>
    <w:rsid w:val="014F219D"/>
    <w:rsid w:val="01505EEE"/>
    <w:rsid w:val="0156352C"/>
    <w:rsid w:val="015C2B0C"/>
    <w:rsid w:val="016E2F6B"/>
    <w:rsid w:val="017F6F52"/>
    <w:rsid w:val="01A6243B"/>
    <w:rsid w:val="01A975FA"/>
    <w:rsid w:val="01B164AD"/>
    <w:rsid w:val="01B92046"/>
    <w:rsid w:val="01E44097"/>
    <w:rsid w:val="01EC20E2"/>
    <w:rsid w:val="01F3017A"/>
    <w:rsid w:val="021E42F5"/>
    <w:rsid w:val="022343E1"/>
    <w:rsid w:val="02276623"/>
    <w:rsid w:val="02305C5A"/>
    <w:rsid w:val="023A275E"/>
    <w:rsid w:val="02406D15"/>
    <w:rsid w:val="024834EF"/>
    <w:rsid w:val="024C396F"/>
    <w:rsid w:val="02674CCD"/>
    <w:rsid w:val="02723356"/>
    <w:rsid w:val="027427F8"/>
    <w:rsid w:val="027A76EE"/>
    <w:rsid w:val="02810A7C"/>
    <w:rsid w:val="028247F4"/>
    <w:rsid w:val="02B74FC6"/>
    <w:rsid w:val="02BF0A57"/>
    <w:rsid w:val="02E25C35"/>
    <w:rsid w:val="02E84BA4"/>
    <w:rsid w:val="02EB05EB"/>
    <w:rsid w:val="02EC325F"/>
    <w:rsid w:val="02EE5F03"/>
    <w:rsid w:val="02F35454"/>
    <w:rsid w:val="02FF3AA9"/>
    <w:rsid w:val="03004097"/>
    <w:rsid w:val="03010ED5"/>
    <w:rsid w:val="03052A9C"/>
    <w:rsid w:val="03074F92"/>
    <w:rsid w:val="030E47C4"/>
    <w:rsid w:val="031F6D59"/>
    <w:rsid w:val="032D0382"/>
    <w:rsid w:val="032D4760"/>
    <w:rsid w:val="034512CF"/>
    <w:rsid w:val="03561F09"/>
    <w:rsid w:val="035A410F"/>
    <w:rsid w:val="0369718D"/>
    <w:rsid w:val="036E7F6D"/>
    <w:rsid w:val="03782B4D"/>
    <w:rsid w:val="039C6BC9"/>
    <w:rsid w:val="03A80B7C"/>
    <w:rsid w:val="03A91F09"/>
    <w:rsid w:val="03C055D4"/>
    <w:rsid w:val="03C42215"/>
    <w:rsid w:val="03E43EA8"/>
    <w:rsid w:val="03F238EF"/>
    <w:rsid w:val="03F24DC6"/>
    <w:rsid w:val="03F509F2"/>
    <w:rsid w:val="03F82FC0"/>
    <w:rsid w:val="03FE70CA"/>
    <w:rsid w:val="040A5852"/>
    <w:rsid w:val="0411340F"/>
    <w:rsid w:val="04221DEB"/>
    <w:rsid w:val="04294F27"/>
    <w:rsid w:val="042B5143"/>
    <w:rsid w:val="04390B08"/>
    <w:rsid w:val="044A30F0"/>
    <w:rsid w:val="044D0E2E"/>
    <w:rsid w:val="0468259F"/>
    <w:rsid w:val="047D5EB9"/>
    <w:rsid w:val="04860E5C"/>
    <w:rsid w:val="04913BEA"/>
    <w:rsid w:val="04B564EB"/>
    <w:rsid w:val="04EB6681"/>
    <w:rsid w:val="05103C33"/>
    <w:rsid w:val="052727D2"/>
    <w:rsid w:val="0541626C"/>
    <w:rsid w:val="05512F6C"/>
    <w:rsid w:val="055406CA"/>
    <w:rsid w:val="055E0A53"/>
    <w:rsid w:val="056702C8"/>
    <w:rsid w:val="057D43FA"/>
    <w:rsid w:val="058D24D1"/>
    <w:rsid w:val="058D2943"/>
    <w:rsid w:val="059102CD"/>
    <w:rsid w:val="059B1E55"/>
    <w:rsid w:val="059E5AEE"/>
    <w:rsid w:val="05C15431"/>
    <w:rsid w:val="05DC1F22"/>
    <w:rsid w:val="05FD28C0"/>
    <w:rsid w:val="06075148"/>
    <w:rsid w:val="060914B4"/>
    <w:rsid w:val="06226A06"/>
    <w:rsid w:val="06557B51"/>
    <w:rsid w:val="066E57BB"/>
    <w:rsid w:val="067D77AC"/>
    <w:rsid w:val="06807F27"/>
    <w:rsid w:val="06A719C5"/>
    <w:rsid w:val="06B10496"/>
    <w:rsid w:val="06B32B01"/>
    <w:rsid w:val="06B502A7"/>
    <w:rsid w:val="06B73083"/>
    <w:rsid w:val="06BA469C"/>
    <w:rsid w:val="06C059F0"/>
    <w:rsid w:val="06C06AFB"/>
    <w:rsid w:val="06D84272"/>
    <w:rsid w:val="06D85132"/>
    <w:rsid w:val="06DA3CF9"/>
    <w:rsid w:val="06DD51E6"/>
    <w:rsid w:val="06F53549"/>
    <w:rsid w:val="06FB1C97"/>
    <w:rsid w:val="06FE6B3F"/>
    <w:rsid w:val="06FF62ED"/>
    <w:rsid w:val="071010C3"/>
    <w:rsid w:val="0721226B"/>
    <w:rsid w:val="072639A0"/>
    <w:rsid w:val="0730075A"/>
    <w:rsid w:val="07302A71"/>
    <w:rsid w:val="073562D9"/>
    <w:rsid w:val="07401A6C"/>
    <w:rsid w:val="07442078"/>
    <w:rsid w:val="07462294"/>
    <w:rsid w:val="074F2541"/>
    <w:rsid w:val="0774295E"/>
    <w:rsid w:val="07812937"/>
    <w:rsid w:val="07923111"/>
    <w:rsid w:val="079408E9"/>
    <w:rsid w:val="07991E72"/>
    <w:rsid w:val="07A70F85"/>
    <w:rsid w:val="07AA2823"/>
    <w:rsid w:val="07BD5C46"/>
    <w:rsid w:val="07CD3169"/>
    <w:rsid w:val="07CF4038"/>
    <w:rsid w:val="07D24151"/>
    <w:rsid w:val="07EB22D1"/>
    <w:rsid w:val="07F550C8"/>
    <w:rsid w:val="08003304"/>
    <w:rsid w:val="08067789"/>
    <w:rsid w:val="0811309B"/>
    <w:rsid w:val="0825330C"/>
    <w:rsid w:val="08295B60"/>
    <w:rsid w:val="083206B8"/>
    <w:rsid w:val="084E4E5E"/>
    <w:rsid w:val="08500CCB"/>
    <w:rsid w:val="08687FE8"/>
    <w:rsid w:val="086B2D25"/>
    <w:rsid w:val="086D61BC"/>
    <w:rsid w:val="08745CDD"/>
    <w:rsid w:val="08C173D5"/>
    <w:rsid w:val="08E04190"/>
    <w:rsid w:val="08FA2F86"/>
    <w:rsid w:val="08FC6C67"/>
    <w:rsid w:val="090175E7"/>
    <w:rsid w:val="09075A53"/>
    <w:rsid w:val="09094905"/>
    <w:rsid w:val="09151F1E"/>
    <w:rsid w:val="092C1016"/>
    <w:rsid w:val="092D370C"/>
    <w:rsid w:val="0936320F"/>
    <w:rsid w:val="09407977"/>
    <w:rsid w:val="09493552"/>
    <w:rsid w:val="094A5C8C"/>
    <w:rsid w:val="095E1B17"/>
    <w:rsid w:val="0965293E"/>
    <w:rsid w:val="097C1E98"/>
    <w:rsid w:val="0982505F"/>
    <w:rsid w:val="09874053"/>
    <w:rsid w:val="09B02E2E"/>
    <w:rsid w:val="09B41737"/>
    <w:rsid w:val="09B763F1"/>
    <w:rsid w:val="09BF66C0"/>
    <w:rsid w:val="09CF2CFD"/>
    <w:rsid w:val="09D978E1"/>
    <w:rsid w:val="09DF5ED2"/>
    <w:rsid w:val="09F75AC8"/>
    <w:rsid w:val="0A111F7C"/>
    <w:rsid w:val="0A2A7C4B"/>
    <w:rsid w:val="0A481C84"/>
    <w:rsid w:val="0A4A6D32"/>
    <w:rsid w:val="0A552F67"/>
    <w:rsid w:val="0A5A755B"/>
    <w:rsid w:val="0A6A1286"/>
    <w:rsid w:val="0A7361E8"/>
    <w:rsid w:val="0A7525D1"/>
    <w:rsid w:val="0A7553ED"/>
    <w:rsid w:val="0A794B51"/>
    <w:rsid w:val="0A8A7BC6"/>
    <w:rsid w:val="0A917D7D"/>
    <w:rsid w:val="0A957D67"/>
    <w:rsid w:val="0AA35975"/>
    <w:rsid w:val="0AA96BA7"/>
    <w:rsid w:val="0ADA5AB4"/>
    <w:rsid w:val="0ADC1380"/>
    <w:rsid w:val="0AE41694"/>
    <w:rsid w:val="0AE47E42"/>
    <w:rsid w:val="0AE8601C"/>
    <w:rsid w:val="0AEE6ECB"/>
    <w:rsid w:val="0AF520D8"/>
    <w:rsid w:val="0B164AEC"/>
    <w:rsid w:val="0B262E7E"/>
    <w:rsid w:val="0B321B7D"/>
    <w:rsid w:val="0B5D7BAD"/>
    <w:rsid w:val="0B60746C"/>
    <w:rsid w:val="0B8F6081"/>
    <w:rsid w:val="0B9C06D5"/>
    <w:rsid w:val="0BB73AA3"/>
    <w:rsid w:val="0BBC3CAB"/>
    <w:rsid w:val="0BC31119"/>
    <w:rsid w:val="0BC91780"/>
    <w:rsid w:val="0BDB4C3A"/>
    <w:rsid w:val="0BE5635A"/>
    <w:rsid w:val="0BEC5D3E"/>
    <w:rsid w:val="0C0C564E"/>
    <w:rsid w:val="0C120997"/>
    <w:rsid w:val="0C131DE7"/>
    <w:rsid w:val="0C155F49"/>
    <w:rsid w:val="0C1B2597"/>
    <w:rsid w:val="0C2B1B56"/>
    <w:rsid w:val="0C3D753B"/>
    <w:rsid w:val="0C5908D8"/>
    <w:rsid w:val="0C790A16"/>
    <w:rsid w:val="0C803008"/>
    <w:rsid w:val="0C8542F1"/>
    <w:rsid w:val="0C8765F1"/>
    <w:rsid w:val="0C88211D"/>
    <w:rsid w:val="0CB6454F"/>
    <w:rsid w:val="0CC779D3"/>
    <w:rsid w:val="0CD10852"/>
    <w:rsid w:val="0CEB4D54"/>
    <w:rsid w:val="0CEE4F60"/>
    <w:rsid w:val="0CFB58CF"/>
    <w:rsid w:val="0D47792E"/>
    <w:rsid w:val="0D6214AA"/>
    <w:rsid w:val="0D6E4531"/>
    <w:rsid w:val="0D97603C"/>
    <w:rsid w:val="0DB02216"/>
    <w:rsid w:val="0DB461AA"/>
    <w:rsid w:val="0DBC0E93"/>
    <w:rsid w:val="0DC33667"/>
    <w:rsid w:val="0DED1503"/>
    <w:rsid w:val="0DED416A"/>
    <w:rsid w:val="0DF476ED"/>
    <w:rsid w:val="0DF9039A"/>
    <w:rsid w:val="0E030797"/>
    <w:rsid w:val="0E166FCE"/>
    <w:rsid w:val="0E2C2B37"/>
    <w:rsid w:val="0E2F2ACB"/>
    <w:rsid w:val="0E302AD9"/>
    <w:rsid w:val="0E407A3D"/>
    <w:rsid w:val="0E4806A0"/>
    <w:rsid w:val="0E514A5F"/>
    <w:rsid w:val="0E534071"/>
    <w:rsid w:val="0E5861B7"/>
    <w:rsid w:val="0E5911AE"/>
    <w:rsid w:val="0E697FB4"/>
    <w:rsid w:val="0E763D1A"/>
    <w:rsid w:val="0E8A2099"/>
    <w:rsid w:val="0E8B75AF"/>
    <w:rsid w:val="0E966D0C"/>
    <w:rsid w:val="0EA8067D"/>
    <w:rsid w:val="0EAF2E6F"/>
    <w:rsid w:val="0EB35039"/>
    <w:rsid w:val="0EB64289"/>
    <w:rsid w:val="0EC334E1"/>
    <w:rsid w:val="0EC47E38"/>
    <w:rsid w:val="0ECF357B"/>
    <w:rsid w:val="0EEC0897"/>
    <w:rsid w:val="0F030A68"/>
    <w:rsid w:val="0F04145B"/>
    <w:rsid w:val="0F0D5271"/>
    <w:rsid w:val="0F0E792B"/>
    <w:rsid w:val="0F0F7410"/>
    <w:rsid w:val="0F274759"/>
    <w:rsid w:val="0F2A3995"/>
    <w:rsid w:val="0F2B0C29"/>
    <w:rsid w:val="0F2E3D3A"/>
    <w:rsid w:val="0F467718"/>
    <w:rsid w:val="0F5D017B"/>
    <w:rsid w:val="0F652341"/>
    <w:rsid w:val="0F657030"/>
    <w:rsid w:val="0F6D65DB"/>
    <w:rsid w:val="0F78713B"/>
    <w:rsid w:val="0F8926C1"/>
    <w:rsid w:val="0FA21F3A"/>
    <w:rsid w:val="0FC15468"/>
    <w:rsid w:val="0FD540C6"/>
    <w:rsid w:val="0FDC721A"/>
    <w:rsid w:val="0FDF4CF8"/>
    <w:rsid w:val="0FE02DFD"/>
    <w:rsid w:val="0FE4264A"/>
    <w:rsid w:val="0FF12E93"/>
    <w:rsid w:val="0FFA025E"/>
    <w:rsid w:val="1001264F"/>
    <w:rsid w:val="10061EB8"/>
    <w:rsid w:val="102130A2"/>
    <w:rsid w:val="10256796"/>
    <w:rsid w:val="102D2243"/>
    <w:rsid w:val="103A1D58"/>
    <w:rsid w:val="103F3D25"/>
    <w:rsid w:val="107240FA"/>
    <w:rsid w:val="107446C0"/>
    <w:rsid w:val="108F6A5A"/>
    <w:rsid w:val="109D078F"/>
    <w:rsid w:val="10C82F4E"/>
    <w:rsid w:val="10D0776E"/>
    <w:rsid w:val="10DE353E"/>
    <w:rsid w:val="10E548CC"/>
    <w:rsid w:val="10F74FC2"/>
    <w:rsid w:val="11146EB1"/>
    <w:rsid w:val="1116453A"/>
    <w:rsid w:val="11204F8E"/>
    <w:rsid w:val="113121EA"/>
    <w:rsid w:val="11515ABE"/>
    <w:rsid w:val="115B4E23"/>
    <w:rsid w:val="115B5A86"/>
    <w:rsid w:val="115D1DA6"/>
    <w:rsid w:val="117169C2"/>
    <w:rsid w:val="117328A7"/>
    <w:rsid w:val="11757DC9"/>
    <w:rsid w:val="117711F5"/>
    <w:rsid w:val="117B6FDE"/>
    <w:rsid w:val="11AB70D0"/>
    <w:rsid w:val="11AE4CBE"/>
    <w:rsid w:val="11BB6711"/>
    <w:rsid w:val="11CD3148"/>
    <w:rsid w:val="11D32976"/>
    <w:rsid w:val="11D53C86"/>
    <w:rsid w:val="11EA1D1F"/>
    <w:rsid w:val="11ED7E0F"/>
    <w:rsid w:val="11F56D91"/>
    <w:rsid w:val="11FD5C45"/>
    <w:rsid w:val="11FF497A"/>
    <w:rsid w:val="12106784"/>
    <w:rsid w:val="12353631"/>
    <w:rsid w:val="12494D8E"/>
    <w:rsid w:val="12515183"/>
    <w:rsid w:val="12597320"/>
    <w:rsid w:val="126D3E54"/>
    <w:rsid w:val="126E56A8"/>
    <w:rsid w:val="12733AF2"/>
    <w:rsid w:val="127500BF"/>
    <w:rsid w:val="128A74D9"/>
    <w:rsid w:val="128B537C"/>
    <w:rsid w:val="12906AB9"/>
    <w:rsid w:val="129F0AAB"/>
    <w:rsid w:val="12BC306F"/>
    <w:rsid w:val="12D04C70"/>
    <w:rsid w:val="12D12D85"/>
    <w:rsid w:val="12D92CED"/>
    <w:rsid w:val="12E844A3"/>
    <w:rsid w:val="12FA3A33"/>
    <w:rsid w:val="13033AD5"/>
    <w:rsid w:val="130C25E4"/>
    <w:rsid w:val="131C75ED"/>
    <w:rsid w:val="131D659F"/>
    <w:rsid w:val="13373950"/>
    <w:rsid w:val="133B0DB6"/>
    <w:rsid w:val="133F3C27"/>
    <w:rsid w:val="134E4840"/>
    <w:rsid w:val="13587D14"/>
    <w:rsid w:val="13651CF4"/>
    <w:rsid w:val="136A730B"/>
    <w:rsid w:val="136B6F2A"/>
    <w:rsid w:val="1378132E"/>
    <w:rsid w:val="13854A5E"/>
    <w:rsid w:val="13877AAA"/>
    <w:rsid w:val="139D2396"/>
    <w:rsid w:val="13A6310B"/>
    <w:rsid w:val="13BA0DB6"/>
    <w:rsid w:val="13CB5FFB"/>
    <w:rsid w:val="13CC1D73"/>
    <w:rsid w:val="13D03611"/>
    <w:rsid w:val="13D33102"/>
    <w:rsid w:val="13DD60F3"/>
    <w:rsid w:val="13E744B7"/>
    <w:rsid w:val="13F6294C"/>
    <w:rsid w:val="13F70688"/>
    <w:rsid w:val="13FF3637"/>
    <w:rsid w:val="1409109F"/>
    <w:rsid w:val="14191ADB"/>
    <w:rsid w:val="141F3896"/>
    <w:rsid w:val="14202671"/>
    <w:rsid w:val="142B3F97"/>
    <w:rsid w:val="142F2704"/>
    <w:rsid w:val="14470FF5"/>
    <w:rsid w:val="14497B5A"/>
    <w:rsid w:val="145402E0"/>
    <w:rsid w:val="14562003"/>
    <w:rsid w:val="14564EA2"/>
    <w:rsid w:val="14616CA9"/>
    <w:rsid w:val="14754DDE"/>
    <w:rsid w:val="1476355A"/>
    <w:rsid w:val="14810258"/>
    <w:rsid w:val="14900FF3"/>
    <w:rsid w:val="14A821D5"/>
    <w:rsid w:val="14CB4E38"/>
    <w:rsid w:val="14CB5B87"/>
    <w:rsid w:val="14CD1B54"/>
    <w:rsid w:val="14D37DF5"/>
    <w:rsid w:val="14E32529"/>
    <w:rsid w:val="14E835ED"/>
    <w:rsid w:val="14FC21E4"/>
    <w:rsid w:val="1506268B"/>
    <w:rsid w:val="15272F18"/>
    <w:rsid w:val="153D13FE"/>
    <w:rsid w:val="154775F0"/>
    <w:rsid w:val="154776F1"/>
    <w:rsid w:val="15482C41"/>
    <w:rsid w:val="155838BF"/>
    <w:rsid w:val="157B75AD"/>
    <w:rsid w:val="157D50D3"/>
    <w:rsid w:val="15974250"/>
    <w:rsid w:val="159863B1"/>
    <w:rsid w:val="159E1662"/>
    <w:rsid w:val="15D12590"/>
    <w:rsid w:val="15D1541F"/>
    <w:rsid w:val="15D911DF"/>
    <w:rsid w:val="15DA4B83"/>
    <w:rsid w:val="15E50ECA"/>
    <w:rsid w:val="15E62472"/>
    <w:rsid w:val="15ED5A58"/>
    <w:rsid w:val="161133FB"/>
    <w:rsid w:val="16126E63"/>
    <w:rsid w:val="162410AA"/>
    <w:rsid w:val="162C6CB2"/>
    <w:rsid w:val="163B7EA4"/>
    <w:rsid w:val="164D1414"/>
    <w:rsid w:val="165423D5"/>
    <w:rsid w:val="165E2A90"/>
    <w:rsid w:val="16604583"/>
    <w:rsid w:val="16610551"/>
    <w:rsid w:val="1662251B"/>
    <w:rsid w:val="166603FD"/>
    <w:rsid w:val="166D5C6A"/>
    <w:rsid w:val="1670298D"/>
    <w:rsid w:val="16777ECD"/>
    <w:rsid w:val="167D1693"/>
    <w:rsid w:val="168A2ED2"/>
    <w:rsid w:val="169A7050"/>
    <w:rsid w:val="16AF7627"/>
    <w:rsid w:val="16B30809"/>
    <w:rsid w:val="16BF45CC"/>
    <w:rsid w:val="16C1304D"/>
    <w:rsid w:val="16FB2D77"/>
    <w:rsid w:val="17195B93"/>
    <w:rsid w:val="17212B98"/>
    <w:rsid w:val="17242B35"/>
    <w:rsid w:val="172B2E75"/>
    <w:rsid w:val="17346245"/>
    <w:rsid w:val="17374439"/>
    <w:rsid w:val="174C0145"/>
    <w:rsid w:val="176C5A76"/>
    <w:rsid w:val="179C4A76"/>
    <w:rsid w:val="179E7583"/>
    <w:rsid w:val="17B3238A"/>
    <w:rsid w:val="17B91A47"/>
    <w:rsid w:val="17BD20FF"/>
    <w:rsid w:val="17D22FC7"/>
    <w:rsid w:val="17E45AA9"/>
    <w:rsid w:val="17EC44B9"/>
    <w:rsid w:val="17FC2CB3"/>
    <w:rsid w:val="180B47A6"/>
    <w:rsid w:val="18132377"/>
    <w:rsid w:val="181D1C4C"/>
    <w:rsid w:val="1833416F"/>
    <w:rsid w:val="18352A53"/>
    <w:rsid w:val="18396F14"/>
    <w:rsid w:val="18416B0B"/>
    <w:rsid w:val="18420655"/>
    <w:rsid w:val="18504145"/>
    <w:rsid w:val="18534811"/>
    <w:rsid w:val="18575D65"/>
    <w:rsid w:val="18624A54"/>
    <w:rsid w:val="18694749"/>
    <w:rsid w:val="186F023A"/>
    <w:rsid w:val="18701DE2"/>
    <w:rsid w:val="18711A73"/>
    <w:rsid w:val="18784278"/>
    <w:rsid w:val="1884144D"/>
    <w:rsid w:val="188761F2"/>
    <w:rsid w:val="188931D2"/>
    <w:rsid w:val="188932F1"/>
    <w:rsid w:val="188B7B07"/>
    <w:rsid w:val="18952734"/>
    <w:rsid w:val="189F6908"/>
    <w:rsid w:val="18AA4093"/>
    <w:rsid w:val="18C3639C"/>
    <w:rsid w:val="18D47700"/>
    <w:rsid w:val="18D655F1"/>
    <w:rsid w:val="18D71DF0"/>
    <w:rsid w:val="18DD5C74"/>
    <w:rsid w:val="18DE7568"/>
    <w:rsid w:val="18E4469E"/>
    <w:rsid w:val="18E87F50"/>
    <w:rsid w:val="18ED6702"/>
    <w:rsid w:val="18F2402A"/>
    <w:rsid w:val="18FD4947"/>
    <w:rsid w:val="19007F1F"/>
    <w:rsid w:val="190C1BE7"/>
    <w:rsid w:val="193208CA"/>
    <w:rsid w:val="193F5705"/>
    <w:rsid w:val="193F5973"/>
    <w:rsid w:val="19442A4D"/>
    <w:rsid w:val="19492AEA"/>
    <w:rsid w:val="194D3AC9"/>
    <w:rsid w:val="19522F7D"/>
    <w:rsid w:val="19526877"/>
    <w:rsid w:val="195645B9"/>
    <w:rsid w:val="19630F2A"/>
    <w:rsid w:val="19834C82"/>
    <w:rsid w:val="198F7ACB"/>
    <w:rsid w:val="19965BB4"/>
    <w:rsid w:val="199B7E1F"/>
    <w:rsid w:val="19AD1CFF"/>
    <w:rsid w:val="19B337B9"/>
    <w:rsid w:val="19C0183D"/>
    <w:rsid w:val="19C86B39"/>
    <w:rsid w:val="19D96C4F"/>
    <w:rsid w:val="19E36974"/>
    <w:rsid w:val="19E81A6C"/>
    <w:rsid w:val="19EF4EF7"/>
    <w:rsid w:val="19F12F16"/>
    <w:rsid w:val="19F3005A"/>
    <w:rsid w:val="19F418BE"/>
    <w:rsid w:val="1A037B71"/>
    <w:rsid w:val="1A0E13CA"/>
    <w:rsid w:val="1A17363C"/>
    <w:rsid w:val="1A1B30B1"/>
    <w:rsid w:val="1A1E6C18"/>
    <w:rsid w:val="1A223D60"/>
    <w:rsid w:val="1A2608AF"/>
    <w:rsid w:val="1A2C356C"/>
    <w:rsid w:val="1A4927C6"/>
    <w:rsid w:val="1A4C5819"/>
    <w:rsid w:val="1A512FD2"/>
    <w:rsid w:val="1A5B79AD"/>
    <w:rsid w:val="1A6049B1"/>
    <w:rsid w:val="1A644AB4"/>
    <w:rsid w:val="1A6B4094"/>
    <w:rsid w:val="1A790378"/>
    <w:rsid w:val="1A807F7F"/>
    <w:rsid w:val="1A9224D0"/>
    <w:rsid w:val="1A9616B5"/>
    <w:rsid w:val="1AA10C52"/>
    <w:rsid w:val="1AC06D68"/>
    <w:rsid w:val="1AC1141D"/>
    <w:rsid w:val="1AC733DE"/>
    <w:rsid w:val="1AD5150D"/>
    <w:rsid w:val="1AE30EC0"/>
    <w:rsid w:val="1AFD2B27"/>
    <w:rsid w:val="1B097409"/>
    <w:rsid w:val="1B1153AE"/>
    <w:rsid w:val="1B155DAE"/>
    <w:rsid w:val="1B2E7BE8"/>
    <w:rsid w:val="1B3404EA"/>
    <w:rsid w:val="1B390578"/>
    <w:rsid w:val="1B431208"/>
    <w:rsid w:val="1B7178E4"/>
    <w:rsid w:val="1B8D5D0B"/>
    <w:rsid w:val="1B990926"/>
    <w:rsid w:val="1BB83309"/>
    <w:rsid w:val="1BCA6B98"/>
    <w:rsid w:val="1BD7136C"/>
    <w:rsid w:val="1BE25F1D"/>
    <w:rsid w:val="1BE6757E"/>
    <w:rsid w:val="1BEF0C63"/>
    <w:rsid w:val="1BF93A5C"/>
    <w:rsid w:val="1C005643"/>
    <w:rsid w:val="1C270694"/>
    <w:rsid w:val="1C2F4C4D"/>
    <w:rsid w:val="1C3103F6"/>
    <w:rsid w:val="1C387FA6"/>
    <w:rsid w:val="1C3D380E"/>
    <w:rsid w:val="1C4155A7"/>
    <w:rsid w:val="1C531F97"/>
    <w:rsid w:val="1C56667E"/>
    <w:rsid w:val="1C6952EB"/>
    <w:rsid w:val="1C7F17FA"/>
    <w:rsid w:val="1CA01423"/>
    <w:rsid w:val="1CA473E9"/>
    <w:rsid w:val="1CBD29F9"/>
    <w:rsid w:val="1CBF06C7"/>
    <w:rsid w:val="1CF05B1D"/>
    <w:rsid w:val="1CFB748F"/>
    <w:rsid w:val="1CFE4D5B"/>
    <w:rsid w:val="1D0820A6"/>
    <w:rsid w:val="1D136646"/>
    <w:rsid w:val="1D36146E"/>
    <w:rsid w:val="1D5D664C"/>
    <w:rsid w:val="1D5E2780"/>
    <w:rsid w:val="1D65543B"/>
    <w:rsid w:val="1D6B4B6F"/>
    <w:rsid w:val="1D79243E"/>
    <w:rsid w:val="1D8348E7"/>
    <w:rsid w:val="1D8D2573"/>
    <w:rsid w:val="1D9170A5"/>
    <w:rsid w:val="1D9751A0"/>
    <w:rsid w:val="1DA577ED"/>
    <w:rsid w:val="1DBA69FC"/>
    <w:rsid w:val="1DC1221D"/>
    <w:rsid w:val="1DE121A0"/>
    <w:rsid w:val="1DEA1774"/>
    <w:rsid w:val="1DF3112A"/>
    <w:rsid w:val="1DF747CB"/>
    <w:rsid w:val="1DFF65F1"/>
    <w:rsid w:val="1DFFD3B5"/>
    <w:rsid w:val="1E036392"/>
    <w:rsid w:val="1E0823F2"/>
    <w:rsid w:val="1E1E384A"/>
    <w:rsid w:val="1E260E83"/>
    <w:rsid w:val="1E2701AC"/>
    <w:rsid w:val="1E276399"/>
    <w:rsid w:val="1E2D1660"/>
    <w:rsid w:val="1E302622"/>
    <w:rsid w:val="1E3A3CAF"/>
    <w:rsid w:val="1E430E84"/>
    <w:rsid w:val="1E4720E7"/>
    <w:rsid w:val="1E4B0FF8"/>
    <w:rsid w:val="1E4B568F"/>
    <w:rsid w:val="1E592A0F"/>
    <w:rsid w:val="1E5D4E56"/>
    <w:rsid w:val="1E616D7F"/>
    <w:rsid w:val="1E636E30"/>
    <w:rsid w:val="1E716874"/>
    <w:rsid w:val="1E733517"/>
    <w:rsid w:val="1E7554E1"/>
    <w:rsid w:val="1E7A374E"/>
    <w:rsid w:val="1E7C1C53"/>
    <w:rsid w:val="1E85149C"/>
    <w:rsid w:val="1E8B697F"/>
    <w:rsid w:val="1E924AE7"/>
    <w:rsid w:val="1EAE6E23"/>
    <w:rsid w:val="1EC57AEB"/>
    <w:rsid w:val="1ECA5539"/>
    <w:rsid w:val="1ED32208"/>
    <w:rsid w:val="1ED86EF1"/>
    <w:rsid w:val="1EDA3FAB"/>
    <w:rsid w:val="1EDE0EA9"/>
    <w:rsid w:val="1EE477A0"/>
    <w:rsid w:val="1EF17ACF"/>
    <w:rsid w:val="1EF92821"/>
    <w:rsid w:val="1F134CFA"/>
    <w:rsid w:val="1F1C16B0"/>
    <w:rsid w:val="1F1C3BAF"/>
    <w:rsid w:val="1F1F1134"/>
    <w:rsid w:val="1F3D59A5"/>
    <w:rsid w:val="1F3F789D"/>
    <w:rsid w:val="1F4257E9"/>
    <w:rsid w:val="1F524E61"/>
    <w:rsid w:val="1F535644"/>
    <w:rsid w:val="1F542D83"/>
    <w:rsid w:val="1F6850E2"/>
    <w:rsid w:val="1F6C3A98"/>
    <w:rsid w:val="1F6E0D89"/>
    <w:rsid w:val="1F6E745D"/>
    <w:rsid w:val="1F7B4998"/>
    <w:rsid w:val="1F7D25DA"/>
    <w:rsid w:val="1FA63BE5"/>
    <w:rsid w:val="1FA96DD2"/>
    <w:rsid w:val="1FB3239E"/>
    <w:rsid w:val="1FBB0D34"/>
    <w:rsid w:val="1FC624D8"/>
    <w:rsid w:val="1FCA3945"/>
    <w:rsid w:val="1FCD0DC2"/>
    <w:rsid w:val="1FDC30F1"/>
    <w:rsid w:val="1FE00A4B"/>
    <w:rsid w:val="1FFE2851"/>
    <w:rsid w:val="20054643"/>
    <w:rsid w:val="200603BB"/>
    <w:rsid w:val="20075246"/>
    <w:rsid w:val="200854A4"/>
    <w:rsid w:val="20217BF1"/>
    <w:rsid w:val="20270A5D"/>
    <w:rsid w:val="202B06A8"/>
    <w:rsid w:val="202D3D24"/>
    <w:rsid w:val="20457135"/>
    <w:rsid w:val="20490C69"/>
    <w:rsid w:val="204B6033"/>
    <w:rsid w:val="20505BEE"/>
    <w:rsid w:val="205138AB"/>
    <w:rsid w:val="20574511"/>
    <w:rsid w:val="207F1198"/>
    <w:rsid w:val="20824B65"/>
    <w:rsid w:val="2087794C"/>
    <w:rsid w:val="20880DD0"/>
    <w:rsid w:val="208A68F6"/>
    <w:rsid w:val="208D63E6"/>
    <w:rsid w:val="20BD4F1E"/>
    <w:rsid w:val="20CA763A"/>
    <w:rsid w:val="20CC0941"/>
    <w:rsid w:val="20D128F2"/>
    <w:rsid w:val="20D52267"/>
    <w:rsid w:val="20E51308"/>
    <w:rsid w:val="20EB7CA7"/>
    <w:rsid w:val="210717ED"/>
    <w:rsid w:val="21085D6D"/>
    <w:rsid w:val="21091931"/>
    <w:rsid w:val="212925B3"/>
    <w:rsid w:val="212F655C"/>
    <w:rsid w:val="21334EF4"/>
    <w:rsid w:val="213407CC"/>
    <w:rsid w:val="213E2EA1"/>
    <w:rsid w:val="21460E27"/>
    <w:rsid w:val="21466CC1"/>
    <w:rsid w:val="21507B40"/>
    <w:rsid w:val="21535882"/>
    <w:rsid w:val="21645399"/>
    <w:rsid w:val="2167281A"/>
    <w:rsid w:val="216F0F77"/>
    <w:rsid w:val="217336E6"/>
    <w:rsid w:val="2188307A"/>
    <w:rsid w:val="218D5374"/>
    <w:rsid w:val="21920158"/>
    <w:rsid w:val="2194799D"/>
    <w:rsid w:val="21B27A89"/>
    <w:rsid w:val="21B909B9"/>
    <w:rsid w:val="21BA2AC2"/>
    <w:rsid w:val="21BE19B9"/>
    <w:rsid w:val="21E21C0E"/>
    <w:rsid w:val="21E53673"/>
    <w:rsid w:val="21E87D78"/>
    <w:rsid w:val="21F151B0"/>
    <w:rsid w:val="21F606AF"/>
    <w:rsid w:val="21FB74E7"/>
    <w:rsid w:val="220927F1"/>
    <w:rsid w:val="223175B2"/>
    <w:rsid w:val="223A312F"/>
    <w:rsid w:val="224D7B7A"/>
    <w:rsid w:val="225059CB"/>
    <w:rsid w:val="226A3A35"/>
    <w:rsid w:val="226F33EA"/>
    <w:rsid w:val="227359F9"/>
    <w:rsid w:val="228D26CE"/>
    <w:rsid w:val="229413BA"/>
    <w:rsid w:val="22962A4F"/>
    <w:rsid w:val="22965A26"/>
    <w:rsid w:val="22A86252"/>
    <w:rsid w:val="22B83BEE"/>
    <w:rsid w:val="22C0677F"/>
    <w:rsid w:val="22DE5F28"/>
    <w:rsid w:val="22E505A2"/>
    <w:rsid w:val="22FA4207"/>
    <w:rsid w:val="22FF181D"/>
    <w:rsid w:val="23107AAF"/>
    <w:rsid w:val="231E149A"/>
    <w:rsid w:val="231F6668"/>
    <w:rsid w:val="23280DDD"/>
    <w:rsid w:val="232E3EB1"/>
    <w:rsid w:val="23362282"/>
    <w:rsid w:val="23387465"/>
    <w:rsid w:val="233A4603"/>
    <w:rsid w:val="233E248C"/>
    <w:rsid w:val="23417D5F"/>
    <w:rsid w:val="234D19E9"/>
    <w:rsid w:val="234F0B1A"/>
    <w:rsid w:val="236E4019"/>
    <w:rsid w:val="2372597F"/>
    <w:rsid w:val="2374166C"/>
    <w:rsid w:val="2378337E"/>
    <w:rsid w:val="238920BB"/>
    <w:rsid w:val="23907410"/>
    <w:rsid w:val="23A613F9"/>
    <w:rsid w:val="23BE276C"/>
    <w:rsid w:val="23C16AD3"/>
    <w:rsid w:val="23CA5FCE"/>
    <w:rsid w:val="23D76713"/>
    <w:rsid w:val="23DD042B"/>
    <w:rsid w:val="23DF2945"/>
    <w:rsid w:val="23F30A2F"/>
    <w:rsid w:val="23F70746"/>
    <w:rsid w:val="24072FEF"/>
    <w:rsid w:val="24112E52"/>
    <w:rsid w:val="24206146"/>
    <w:rsid w:val="242F077D"/>
    <w:rsid w:val="24341609"/>
    <w:rsid w:val="243C316D"/>
    <w:rsid w:val="243D2B2B"/>
    <w:rsid w:val="24421B74"/>
    <w:rsid w:val="244301A5"/>
    <w:rsid w:val="2446414A"/>
    <w:rsid w:val="24506626"/>
    <w:rsid w:val="24561911"/>
    <w:rsid w:val="245636BF"/>
    <w:rsid w:val="24905AE4"/>
    <w:rsid w:val="249441E7"/>
    <w:rsid w:val="249E6E2F"/>
    <w:rsid w:val="24A8304C"/>
    <w:rsid w:val="24B73BCA"/>
    <w:rsid w:val="24C46FB6"/>
    <w:rsid w:val="24E94533"/>
    <w:rsid w:val="24F27361"/>
    <w:rsid w:val="24FA6740"/>
    <w:rsid w:val="250332B8"/>
    <w:rsid w:val="25074187"/>
    <w:rsid w:val="2516749D"/>
    <w:rsid w:val="251B376D"/>
    <w:rsid w:val="25230E74"/>
    <w:rsid w:val="252925CC"/>
    <w:rsid w:val="25323DC4"/>
    <w:rsid w:val="25355D17"/>
    <w:rsid w:val="25373650"/>
    <w:rsid w:val="2558601D"/>
    <w:rsid w:val="256C0CC0"/>
    <w:rsid w:val="256C460B"/>
    <w:rsid w:val="25722260"/>
    <w:rsid w:val="258F065A"/>
    <w:rsid w:val="25BE07F9"/>
    <w:rsid w:val="25BE51F0"/>
    <w:rsid w:val="25CB47A5"/>
    <w:rsid w:val="25E1345C"/>
    <w:rsid w:val="25E83EE0"/>
    <w:rsid w:val="26013AFE"/>
    <w:rsid w:val="26087016"/>
    <w:rsid w:val="264B4DA4"/>
    <w:rsid w:val="264C2EF5"/>
    <w:rsid w:val="265F0A89"/>
    <w:rsid w:val="26605B6C"/>
    <w:rsid w:val="2663017E"/>
    <w:rsid w:val="26704790"/>
    <w:rsid w:val="267F67D1"/>
    <w:rsid w:val="268222D7"/>
    <w:rsid w:val="268D5392"/>
    <w:rsid w:val="268E625D"/>
    <w:rsid w:val="269D5F7D"/>
    <w:rsid w:val="26A128C9"/>
    <w:rsid w:val="26BE72FA"/>
    <w:rsid w:val="26C03072"/>
    <w:rsid w:val="26C92BC5"/>
    <w:rsid w:val="26D94133"/>
    <w:rsid w:val="26E06790"/>
    <w:rsid w:val="26FB0253"/>
    <w:rsid w:val="27147861"/>
    <w:rsid w:val="27164841"/>
    <w:rsid w:val="27315D1D"/>
    <w:rsid w:val="273358B5"/>
    <w:rsid w:val="27387502"/>
    <w:rsid w:val="273F4CB5"/>
    <w:rsid w:val="27460068"/>
    <w:rsid w:val="2753161C"/>
    <w:rsid w:val="27590D31"/>
    <w:rsid w:val="276F6846"/>
    <w:rsid w:val="2780046C"/>
    <w:rsid w:val="27840065"/>
    <w:rsid w:val="27886D81"/>
    <w:rsid w:val="278E76DC"/>
    <w:rsid w:val="278F1A1B"/>
    <w:rsid w:val="27A95320"/>
    <w:rsid w:val="27C070A1"/>
    <w:rsid w:val="27C54369"/>
    <w:rsid w:val="27E66467"/>
    <w:rsid w:val="27FA25B3"/>
    <w:rsid w:val="27FC632B"/>
    <w:rsid w:val="28042178"/>
    <w:rsid w:val="280528C1"/>
    <w:rsid w:val="280B2A12"/>
    <w:rsid w:val="280E01E3"/>
    <w:rsid w:val="2811449B"/>
    <w:rsid w:val="281B4ECC"/>
    <w:rsid w:val="28247ACD"/>
    <w:rsid w:val="2827176D"/>
    <w:rsid w:val="28544103"/>
    <w:rsid w:val="285511EC"/>
    <w:rsid w:val="288527C5"/>
    <w:rsid w:val="28896492"/>
    <w:rsid w:val="28965D63"/>
    <w:rsid w:val="28B70B59"/>
    <w:rsid w:val="28CC03F4"/>
    <w:rsid w:val="28D64DCE"/>
    <w:rsid w:val="28DC7F0B"/>
    <w:rsid w:val="290477A4"/>
    <w:rsid w:val="29142C02"/>
    <w:rsid w:val="293E274E"/>
    <w:rsid w:val="29594084"/>
    <w:rsid w:val="29675FE9"/>
    <w:rsid w:val="297509EC"/>
    <w:rsid w:val="298D3BAC"/>
    <w:rsid w:val="29986A8C"/>
    <w:rsid w:val="299E2475"/>
    <w:rsid w:val="299E3CCC"/>
    <w:rsid w:val="29AC7D37"/>
    <w:rsid w:val="29B93080"/>
    <w:rsid w:val="29C15A7E"/>
    <w:rsid w:val="29C64C40"/>
    <w:rsid w:val="29C84DF6"/>
    <w:rsid w:val="29CD43E3"/>
    <w:rsid w:val="29D660B0"/>
    <w:rsid w:val="2A00577B"/>
    <w:rsid w:val="2A0D6D35"/>
    <w:rsid w:val="2A17737B"/>
    <w:rsid w:val="2A2008D8"/>
    <w:rsid w:val="2A390B59"/>
    <w:rsid w:val="2A430052"/>
    <w:rsid w:val="2A584D21"/>
    <w:rsid w:val="2A5A3FBB"/>
    <w:rsid w:val="2A616F93"/>
    <w:rsid w:val="2A64367C"/>
    <w:rsid w:val="2A663F31"/>
    <w:rsid w:val="2A677BED"/>
    <w:rsid w:val="2A6910D3"/>
    <w:rsid w:val="2A6B0855"/>
    <w:rsid w:val="2A6B54EF"/>
    <w:rsid w:val="2A6D3510"/>
    <w:rsid w:val="2A791504"/>
    <w:rsid w:val="2A8820F8"/>
    <w:rsid w:val="2A8D7400"/>
    <w:rsid w:val="2A923A78"/>
    <w:rsid w:val="2A9807F2"/>
    <w:rsid w:val="2A9C4B34"/>
    <w:rsid w:val="2AA83702"/>
    <w:rsid w:val="2AAD6003"/>
    <w:rsid w:val="2AB83733"/>
    <w:rsid w:val="2ABA36EB"/>
    <w:rsid w:val="2AC82E3D"/>
    <w:rsid w:val="2AEB08D9"/>
    <w:rsid w:val="2AF46087"/>
    <w:rsid w:val="2AF97D33"/>
    <w:rsid w:val="2B20653D"/>
    <w:rsid w:val="2B266F08"/>
    <w:rsid w:val="2B44352B"/>
    <w:rsid w:val="2B45623B"/>
    <w:rsid w:val="2B4A7790"/>
    <w:rsid w:val="2B587219"/>
    <w:rsid w:val="2B601926"/>
    <w:rsid w:val="2B6835F0"/>
    <w:rsid w:val="2B6931E6"/>
    <w:rsid w:val="2B715282"/>
    <w:rsid w:val="2B921574"/>
    <w:rsid w:val="2B940739"/>
    <w:rsid w:val="2B954674"/>
    <w:rsid w:val="2BAB173B"/>
    <w:rsid w:val="2BAF236C"/>
    <w:rsid w:val="2BC07771"/>
    <w:rsid w:val="2BC177E0"/>
    <w:rsid w:val="2BC22258"/>
    <w:rsid w:val="2BD8111A"/>
    <w:rsid w:val="2BF37A45"/>
    <w:rsid w:val="2C090ED9"/>
    <w:rsid w:val="2C1125C1"/>
    <w:rsid w:val="2C1D00E0"/>
    <w:rsid w:val="2C3F012B"/>
    <w:rsid w:val="2C42277B"/>
    <w:rsid w:val="2C436713"/>
    <w:rsid w:val="2C5405D1"/>
    <w:rsid w:val="2C681F1F"/>
    <w:rsid w:val="2C7548FE"/>
    <w:rsid w:val="2C7C65AB"/>
    <w:rsid w:val="2C7E2E47"/>
    <w:rsid w:val="2C7F1DCF"/>
    <w:rsid w:val="2C9A590A"/>
    <w:rsid w:val="2CA46F92"/>
    <w:rsid w:val="2CA5739C"/>
    <w:rsid w:val="2CA737AA"/>
    <w:rsid w:val="2CA759EA"/>
    <w:rsid w:val="2CB10CA8"/>
    <w:rsid w:val="2CB14395"/>
    <w:rsid w:val="2CCE2260"/>
    <w:rsid w:val="2CD00CB1"/>
    <w:rsid w:val="2CD755B9"/>
    <w:rsid w:val="2CDA515E"/>
    <w:rsid w:val="2CF256AD"/>
    <w:rsid w:val="2D5F5D06"/>
    <w:rsid w:val="2D6B4743"/>
    <w:rsid w:val="2D72753D"/>
    <w:rsid w:val="2D7C6DC5"/>
    <w:rsid w:val="2D82298B"/>
    <w:rsid w:val="2D992479"/>
    <w:rsid w:val="2D9B0395"/>
    <w:rsid w:val="2DA12813"/>
    <w:rsid w:val="2DA17256"/>
    <w:rsid w:val="2DA51213"/>
    <w:rsid w:val="2DA76738"/>
    <w:rsid w:val="2DAC7616"/>
    <w:rsid w:val="2DB561F1"/>
    <w:rsid w:val="2DE84A63"/>
    <w:rsid w:val="2DEB621C"/>
    <w:rsid w:val="2DF14458"/>
    <w:rsid w:val="2DFD4BAB"/>
    <w:rsid w:val="2E165C6D"/>
    <w:rsid w:val="2E172676"/>
    <w:rsid w:val="2E1D2F05"/>
    <w:rsid w:val="2E231110"/>
    <w:rsid w:val="2E234735"/>
    <w:rsid w:val="2E273353"/>
    <w:rsid w:val="2E350E71"/>
    <w:rsid w:val="2E415370"/>
    <w:rsid w:val="2E6611AB"/>
    <w:rsid w:val="2E6679DF"/>
    <w:rsid w:val="2E68632E"/>
    <w:rsid w:val="2E717347"/>
    <w:rsid w:val="2E7701B7"/>
    <w:rsid w:val="2E811F00"/>
    <w:rsid w:val="2E823EE8"/>
    <w:rsid w:val="2E89643F"/>
    <w:rsid w:val="2E8B0409"/>
    <w:rsid w:val="2EB140C2"/>
    <w:rsid w:val="2EB56B5F"/>
    <w:rsid w:val="2EB57F44"/>
    <w:rsid w:val="2EB931C8"/>
    <w:rsid w:val="2ED15B5F"/>
    <w:rsid w:val="2EE221E3"/>
    <w:rsid w:val="2EE543BC"/>
    <w:rsid w:val="2EF567E9"/>
    <w:rsid w:val="2F281507"/>
    <w:rsid w:val="2F2B74F6"/>
    <w:rsid w:val="2F57653D"/>
    <w:rsid w:val="2F7305E4"/>
    <w:rsid w:val="2F803204"/>
    <w:rsid w:val="2F835584"/>
    <w:rsid w:val="2F986932"/>
    <w:rsid w:val="2FA32CCB"/>
    <w:rsid w:val="2FA50A64"/>
    <w:rsid w:val="2FB3060A"/>
    <w:rsid w:val="2FBB5054"/>
    <w:rsid w:val="2FCE5B1E"/>
    <w:rsid w:val="2FDE7753"/>
    <w:rsid w:val="2FEF0361"/>
    <w:rsid w:val="2FEF69FB"/>
    <w:rsid w:val="2FF614EE"/>
    <w:rsid w:val="2FFF3B68"/>
    <w:rsid w:val="30093CDB"/>
    <w:rsid w:val="301E2E55"/>
    <w:rsid w:val="303F5C3D"/>
    <w:rsid w:val="30436A9A"/>
    <w:rsid w:val="304C116B"/>
    <w:rsid w:val="304C34A3"/>
    <w:rsid w:val="305D027D"/>
    <w:rsid w:val="30611B3E"/>
    <w:rsid w:val="30646368"/>
    <w:rsid w:val="306959DD"/>
    <w:rsid w:val="306A22A0"/>
    <w:rsid w:val="307216B2"/>
    <w:rsid w:val="30884FA9"/>
    <w:rsid w:val="30A048EF"/>
    <w:rsid w:val="30A14ED3"/>
    <w:rsid w:val="30A21987"/>
    <w:rsid w:val="30AD61C5"/>
    <w:rsid w:val="30B97271"/>
    <w:rsid w:val="30C14CAA"/>
    <w:rsid w:val="30D91341"/>
    <w:rsid w:val="30DA2523"/>
    <w:rsid w:val="30DC2153"/>
    <w:rsid w:val="30E01C54"/>
    <w:rsid w:val="30E41602"/>
    <w:rsid w:val="30FB4724"/>
    <w:rsid w:val="312C4A57"/>
    <w:rsid w:val="312E593C"/>
    <w:rsid w:val="3149291E"/>
    <w:rsid w:val="315947EF"/>
    <w:rsid w:val="31785216"/>
    <w:rsid w:val="31886C6D"/>
    <w:rsid w:val="318F1FBE"/>
    <w:rsid w:val="31943A79"/>
    <w:rsid w:val="31944A9C"/>
    <w:rsid w:val="319B6BB5"/>
    <w:rsid w:val="31A041CB"/>
    <w:rsid w:val="31B269F5"/>
    <w:rsid w:val="31B27FC0"/>
    <w:rsid w:val="31C02CBC"/>
    <w:rsid w:val="31C35552"/>
    <w:rsid w:val="31C71EA4"/>
    <w:rsid w:val="31CA6709"/>
    <w:rsid w:val="31DD1CA5"/>
    <w:rsid w:val="320E5953"/>
    <w:rsid w:val="322E5409"/>
    <w:rsid w:val="322F554F"/>
    <w:rsid w:val="323954D8"/>
    <w:rsid w:val="32476358"/>
    <w:rsid w:val="3248006F"/>
    <w:rsid w:val="3248318A"/>
    <w:rsid w:val="325C38FB"/>
    <w:rsid w:val="325E6E6A"/>
    <w:rsid w:val="326C7130"/>
    <w:rsid w:val="3280427B"/>
    <w:rsid w:val="328161FB"/>
    <w:rsid w:val="329B75AA"/>
    <w:rsid w:val="32A30216"/>
    <w:rsid w:val="32A41A99"/>
    <w:rsid w:val="32B31122"/>
    <w:rsid w:val="32BA750F"/>
    <w:rsid w:val="32D16548"/>
    <w:rsid w:val="32F22ABF"/>
    <w:rsid w:val="330B46AE"/>
    <w:rsid w:val="330B6612"/>
    <w:rsid w:val="332A6465"/>
    <w:rsid w:val="332E5807"/>
    <w:rsid w:val="33314EDB"/>
    <w:rsid w:val="333D041F"/>
    <w:rsid w:val="335675DB"/>
    <w:rsid w:val="33567C45"/>
    <w:rsid w:val="335C7AD8"/>
    <w:rsid w:val="335E73CA"/>
    <w:rsid w:val="335F583A"/>
    <w:rsid w:val="33721F5C"/>
    <w:rsid w:val="337B4EF0"/>
    <w:rsid w:val="338036E9"/>
    <w:rsid w:val="338844C2"/>
    <w:rsid w:val="339252DF"/>
    <w:rsid w:val="3393661B"/>
    <w:rsid w:val="33941379"/>
    <w:rsid w:val="33970F14"/>
    <w:rsid w:val="33AE1321"/>
    <w:rsid w:val="33BD7658"/>
    <w:rsid w:val="33CB3314"/>
    <w:rsid w:val="33D00043"/>
    <w:rsid w:val="33D90146"/>
    <w:rsid w:val="33DA1999"/>
    <w:rsid w:val="33E96439"/>
    <w:rsid w:val="340C3D9A"/>
    <w:rsid w:val="34180991"/>
    <w:rsid w:val="341C2288"/>
    <w:rsid w:val="341F37EA"/>
    <w:rsid w:val="34345E7F"/>
    <w:rsid w:val="343868A2"/>
    <w:rsid w:val="34430EE4"/>
    <w:rsid w:val="34485A7E"/>
    <w:rsid w:val="34512F0D"/>
    <w:rsid w:val="345305FB"/>
    <w:rsid w:val="34586FDF"/>
    <w:rsid w:val="345B1B40"/>
    <w:rsid w:val="346425D6"/>
    <w:rsid w:val="346F3383"/>
    <w:rsid w:val="348F7181"/>
    <w:rsid w:val="34967B08"/>
    <w:rsid w:val="34AD0DAE"/>
    <w:rsid w:val="34CB0A62"/>
    <w:rsid w:val="34D42007"/>
    <w:rsid w:val="34DB111B"/>
    <w:rsid w:val="34E14FC2"/>
    <w:rsid w:val="34FC06A8"/>
    <w:rsid w:val="35006F50"/>
    <w:rsid w:val="35155F52"/>
    <w:rsid w:val="354155DB"/>
    <w:rsid w:val="3546508A"/>
    <w:rsid w:val="35584DBD"/>
    <w:rsid w:val="356577EB"/>
    <w:rsid w:val="356A456C"/>
    <w:rsid w:val="35765D46"/>
    <w:rsid w:val="35794430"/>
    <w:rsid w:val="359C1008"/>
    <w:rsid w:val="35A2045C"/>
    <w:rsid w:val="35AC3914"/>
    <w:rsid w:val="35AE3F4D"/>
    <w:rsid w:val="35B76755"/>
    <w:rsid w:val="35B81895"/>
    <w:rsid w:val="35B932C7"/>
    <w:rsid w:val="35CB37E1"/>
    <w:rsid w:val="35D51966"/>
    <w:rsid w:val="35E0776D"/>
    <w:rsid w:val="35E14DB3"/>
    <w:rsid w:val="35E825E5"/>
    <w:rsid w:val="35F14B7C"/>
    <w:rsid w:val="35F4580E"/>
    <w:rsid w:val="36105698"/>
    <w:rsid w:val="36186F00"/>
    <w:rsid w:val="361D6083"/>
    <w:rsid w:val="362B6B2E"/>
    <w:rsid w:val="362F3BFA"/>
    <w:rsid w:val="363160E8"/>
    <w:rsid w:val="36444CAC"/>
    <w:rsid w:val="364A608C"/>
    <w:rsid w:val="364C21A1"/>
    <w:rsid w:val="365D5362"/>
    <w:rsid w:val="365FC6C2"/>
    <w:rsid w:val="366C6834"/>
    <w:rsid w:val="36730100"/>
    <w:rsid w:val="369C6D2E"/>
    <w:rsid w:val="369D6510"/>
    <w:rsid w:val="36A041F3"/>
    <w:rsid w:val="36A7267E"/>
    <w:rsid w:val="36C02DE4"/>
    <w:rsid w:val="36C46063"/>
    <w:rsid w:val="36EF0964"/>
    <w:rsid w:val="37050F87"/>
    <w:rsid w:val="371603BD"/>
    <w:rsid w:val="371B50A8"/>
    <w:rsid w:val="373C1E47"/>
    <w:rsid w:val="374F291D"/>
    <w:rsid w:val="376F784C"/>
    <w:rsid w:val="37753AFC"/>
    <w:rsid w:val="37776F14"/>
    <w:rsid w:val="377837B0"/>
    <w:rsid w:val="377C648A"/>
    <w:rsid w:val="378123A9"/>
    <w:rsid w:val="37886261"/>
    <w:rsid w:val="379C71E3"/>
    <w:rsid w:val="379E4B3A"/>
    <w:rsid w:val="37AB05F1"/>
    <w:rsid w:val="37AE31C5"/>
    <w:rsid w:val="37AF6638"/>
    <w:rsid w:val="37C01999"/>
    <w:rsid w:val="37C87FD8"/>
    <w:rsid w:val="37D96BD0"/>
    <w:rsid w:val="37E7226A"/>
    <w:rsid w:val="37F95DE7"/>
    <w:rsid w:val="37FB44BE"/>
    <w:rsid w:val="37FE3B62"/>
    <w:rsid w:val="3807365F"/>
    <w:rsid w:val="381F1BC2"/>
    <w:rsid w:val="38512B97"/>
    <w:rsid w:val="38841206"/>
    <w:rsid w:val="38842B21"/>
    <w:rsid w:val="388859B9"/>
    <w:rsid w:val="388A0F0C"/>
    <w:rsid w:val="38915088"/>
    <w:rsid w:val="38926838"/>
    <w:rsid w:val="3894435E"/>
    <w:rsid w:val="38995836"/>
    <w:rsid w:val="38A027BA"/>
    <w:rsid w:val="38AA3B82"/>
    <w:rsid w:val="38B842AB"/>
    <w:rsid w:val="38BA54F5"/>
    <w:rsid w:val="38E82A6A"/>
    <w:rsid w:val="38ED5E93"/>
    <w:rsid w:val="38F80D91"/>
    <w:rsid w:val="39006B5D"/>
    <w:rsid w:val="39037650"/>
    <w:rsid w:val="390B4877"/>
    <w:rsid w:val="39213EF7"/>
    <w:rsid w:val="392C6D9B"/>
    <w:rsid w:val="395A7356"/>
    <w:rsid w:val="395B3A89"/>
    <w:rsid w:val="39671280"/>
    <w:rsid w:val="39745EB7"/>
    <w:rsid w:val="398E2379"/>
    <w:rsid w:val="39904FFE"/>
    <w:rsid w:val="39967A4F"/>
    <w:rsid w:val="39A81897"/>
    <w:rsid w:val="39AA21F8"/>
    <w:rsid w:val="39B373A8"/>
    <w:rsid w:val="39BA18C5"/>
    <w:rsid w:val="39D32535"/>
    <w:rsid w:val="39E239AE"/>
    <w:rsid w:val="39F66885"/>
    <w:rsid w:val="3A104D44"/>
    <w:rsid w:val="3A173289"/>
    <w:rsid w:val="3A1B1C3B"/>
    <w:rsid w:val="3A331955"/>
    <w:rsid w:val="3A3404B8"/>
    <w:rsid w:val="3A415332"/>
    <w:rsid w:val="3A4650D6"/>
    <w:rsid w:val="3A5969D7"/>
    <w:rsid w:val="3A72247D"/>
    <w:rsid w:val="3A79380C"/>
    <w:rsid w:val="3A7D0EFD"/>
    <w:rsid w:val="3A7D77A0"/>
    <w:rsid w:val="3A824DB6"/>
    <w:rsid w:val="3A884F96"/>
    <w:rsid w:val="3A98147F"/>
    <w:rsid w:val="3AA8258A"/>
    <w:rsid w:val="3AB00351"/>
    <w:rsid w:val="3B285155"/>
    <w:rsid w:val="3B3077EE"/>
    <w:rsid w:val="3B3A7D13"/>
    <w:rsid w:val="3B3C43AA"/>
    <w:rsid w:val="3B3C648C"/>
    <w:rsid w:val="3B472B34"/>
    <w:rsid w:val="3B6F4352"/>
    <w:rsid w:val="3B7558E0"/>
    <w:rsid w:val="3B854AF5"/>
    <w:rsid w:val="3B974891"/>
    <w:rsid w:val="3B9924F6"/>
    <w:rsid w:val="3BB001B5"/>
    <w:rsid w:val="3BB9338D"/>
    <w:rsid w:val="3BC17177"/>
    <w:rsid w:val="3BCD723F"/>
    <w:rsid w:val="3C123F41"/>
    <w:rsid w:val="3C1A63FE"/>
    <w:rsid w:val="3C2A1B75"/>
    <w:rsid w:val="3C455744"/>
    <w:rsid w:val="3C59310B"/>
    <w:rsid w:val="3C59458E"/>
    <w:rsid w:val="3C5B4AA8"/>
    <w:rsid w:val="3C644583"/>
    <w:rsid w:val="3C6A70E9"/>
    <w:rsid w:val="3C87185B"/>
    <w:rsid w:val="3CA17D09"/>
    <w:rsid w:val="3CBC7E0C"/>
    <w:rsid w:val="3CBD1D89"/>
    <w:rsid w:val="3CDD2030"/>
    <w:rsid w:val="3CE942B0"/>
    <w:rsid w:val="3CF47E52"/>
    <w:rsid w:val="3D001E69"/>
    <w:rsid w:val="3D040AF0"/>
    <w:rsid w:val="3D0C2395"/>
    <w:rsid w:val="3D1177C7"/>
    <w:rsid w:val="3D157717"/>
    <w:rsid w:val="3D4415F4"/>
    <w:rsid w:val="3D497C25"/>
    <w:rsid w:val="3D595B76"/>
    <w:rsid w:val="3D5C0FE1"/>
    <w:rsid w:val="3D6C58AA"/>
    <w:rsid w:val="3D9D3CB5"/>
    <w:rsid w:val="3DA80779"/>
    <w:rsid w:val="3DAF5796"/>
    <w:rsid w:val="3DB445B3"/>
    <w:rsid w:val="3DBE1EF0"/>
    <w:rsid w:val="3DC70D32"/>
    <w:rsid w:val="3DE9514C"/>
    <w:rsid w:val="3DF31B27"/>
    <w:rsid w:val="3E00746D"/>
    <w:rsid w:val="3E174EC3"/>
    <w:rsid w:val="3E1D7988"/>
    <w:rsid w:val="3E24689A"/>
    <w:rsid w:val="3E2640C3"/>
    <w:rsid w:val="3E2829A7"/>
    <w:rsid w:val="3E3C527C"/>
    <w:rsid w:val="3E3D28CD"/>
    <w:rsid w:val="3E490C82"/>
    <w:rsid w:val="3E5766DA"/>
    <w:rsid w:val="3E5C7924"/>
    <w:rsid w:val="3E611186"/>
    <w:rsid w:val="3E646581"/>
    <w:rsid w:val="3EAD5738"/>
    <w:rsid w:val="3EBA2645"/>
    <w:rsid w:val="3EC12500"/>
    <w:rsid w:val="3EC139D3"/>
    <w:rsid w:val="3ECC70E8"/>
    <w:rsid w:val="3EE26E3A"/>
    <w:rsid w:val="3EEF2D03"/>
    <w:rsid w:val="3EF42816"/>
    <w:rsid w:val="3EFE3805"/>
    <w:rsid w:val="3F1B487C"/>
    <w:rsid w:val="3F280936"/>
    <w:rsid w:val="3F3330C2"/>
    <w:rsid w:val="3F35082A"/>
    <w:rsid w:val="3F394E34"/>
    <w:rsid w:val="3F41048B"/>
    <w:rsid w:val="3F4D5267"/>
    <w:rsid w:val="3F5C0D92"/>
    <w:rsid w:val="3F7171A7"/>
    <w:rsid w:val="3F725A85"/>
    <w:rsid w:val="3F7569FB"/>
    <w:rsid w:val="3F7A3FE3"/>
    <w:rsid w:val="3F892368"/>
    <w:rsid w:val="3F8C2233"/>
    <w:rsid w:val="3F937B2C"/>
    <w:rsid w:val="3F95733A"/>
    <w:rsid w:val="3F9C1BDA"/>
    <w:rsid w:val="3FA21419"/>
    <w:rsid w:val="3FA70E1B"/>
    <w:rsid w:val="3FCB1064"/>
    <w:rsid w:val="3FD528D1"/>
    <w:rsid w:val="3FDF7777"/>
    <w:rsid w:val="3FE200A5"/>
    <w:rsid w:val="3FEF7A43"/>
    <w:rsid w:val="3FF72BDD"/>
    <w:rsid w:val="40095632"/>
    <w:rsid w:val="400C1023"/>
    <w:rsid w:val="40391D8F"/>
    <w:rsid w:val="40770E48"/>
    <w:rsid w:val="407B0539"/>
    <w:rsid w:val="407F2D00"/>
    <w:rsid w:val="408440AA"/>
    <w:rsid w:val="409107DD"/>
    <w:rsid w:val="40964867"/>
    <w:rsid w:val="40B557B9"/>
    <w:rsid w:val="40BA4B7E"/>
    <w:rsid w:val="40D35433"/>
    <w:rsid w:val="40DE01D9"/>
    <w:rsid w:val="40E63BC5"/>
    <w:rsid w:val="40ED0A97"/>
    <w:rsid w:val="41021F4C"/>
    <w:rsid w:val="410F20CE"/>
    <w:rsid w:val="41105572"/>
    <w:rsid w:val="41123FC3"/>
    <w:rsid w:val="411B73DB"/>
    <w:rsid w:val="4125450C"/>
    <w:rsid w:val="413E22FA"/>
    <w:rsid w:val="414A6095"/>
    <w:rsid w:val="4151054C"/>
    <w:rsid w:val="415626EE"/>
    <w:rsid w:val="415B010F"/>
    <w:rsid w:val="415D7063"/>
    <w:rsid w:val="41727207"/>
    <w:rsid w:val="4175699C"/>
    <w:rsid w:val="41794ED2"/>
    <w:rsid w:val="418737DA"/>
    <w:rsid w:val="418A27A2"/>
    <w:rsid w:val="41967399"/>
    <w:rsid w:val="41973F00"/>
    <w:rsid w:val="41A536F9"/>
    <w:rsid w:val="41A623ED"/>
    <w:rsid w:val="41AA7C41"/>
    <w:rsid w:val="41C41EBD"/>
    <w:rsid w:val="41CD0904"/>
    <w:rsid w:val="41D854BE"/>
    <w:rsid w:val="41E33F3D"/>
    <w:rsid w:val="41E625EB"/>
    <w:rsid w:val="41ED0193"/>
    <w:rsid w:val="41F222D7"/>
    <w:rsid w:val="420328B9"/>
    <w:rsid w:val="420C2580"/>
    <w:rsid w:val="42112457"/>
    <w:rsid w:val="421D53C4"/>
    <w:rsid w:val="42291D5C"/>
    <w:rsid w:val="422B5A9B"/>
    <w:rsid w:val="42321B6A"/>
    <w:rsid w:val="42321EFA"/>
    <w:rsid w:val="423A41C8"/>
    <w:rsid w:val="427A45C5"/>
    <w:rsid w:val="42823509"/>
    <w:rsid w:val="42935686"/>
    <w:rsid w:val="4295155E"/>
    <w:rsid w:val="42AD5D08"/>
    <w:rsid w:val="42B51F06"/>
    <w:rsid w:val="42D9578F"/>
    <w:rsid w:val="42FC2345"/>
    <w:rsid w:val="431E0B52"/>
    <w:rsid w:val="43204077"/>
    <w:rsid w:val="43266997"/>
    <w:rsid w:val="43287DFF"/>
    <w:rsid w:val="43382DA2"/>
    <w:rsid w:val="436E30C1"/>
    <w:rsid w:val="437004DF"/>
    <w:rsid w:val="43717A0B"/>
    <w:rsid w:val="43963B97"/>
    <w:rsid w:val="439873F8"/>
    <w:rsid w:val="43A67007"/>
    <w:rsid w:val="43B330A8"/>
    <w:rsid w:val="43E721D3"/>
    <w:rsid w:val="43E85C18"/>
    <w:rsid w:val="43F54197"/>
    <w:rsid w:val="440E3217"/>
    <w:rsid w:val="441041B4"/>
    <w:rsid w:val="442C18EF"/>
    <w:rsid w:val="44380293"/>
    <w:rsid w:val="443B6D46"/>
    <w:rsid w:val="4444712A"/>
    <w:rsid w:val="44557097"/>
    <w:rsid w:val="446A2412"/>
    <w:rsid w:val="446D2DC8"/>
    <w:rsid w:val="44726B3F"/>
    <w:rsid w:val="44B54FE1"/>
    <w:rsid w:val="44BE5822"/>
    <w:rsid w:val="44D631F8"/>
    <w:rsid w:val="44E663D7"/>
    <w:rsid w:val="44FD4B3A"/>
    <w:rsid w:val="45023A57"/>
    <w:rsid w:val="450E4321"/>
    <w:rsid w:val="451E392D"/>
    <w:rsid w:val="452837C5"/>
    <w:rsid w:val="453E18DA"/>
    <w:rsid w:val="455D1FCD"/>
    <w:rsid w:val="455F6FCB"/>
    <w:rsid w:val="4565330A"/>
    <w:rsid w:val="456F6ED9"/>
    <w:rsid w:val="4583291A"/>
    <w:rsid w:val="45844238"/>
    <w:rsid w:val="458B4DE9"/>
    <w:rsid w:val="45916115"/>
    <w:rsid w:val="45A02A9B"/>
    <w:rsid w:val="45B31A47"/>
    <w:rsid w:val="45BB7BE1"/>
    <w:rsid w:val="45BE6A33"/>
    <w:rsid w:val="45C142B9"/>
    <w:rsid w:val="45C71DDB"/>
    <w:rsid w:val="45D60EF0"/>
    <w:rsid w:val="45DA5C79"/>
    <w:rsid w:val="45EA7CB3"/>
    <w:rsid w:val="45F33346"/>
    <w:rsid w:val="45F83B61"/>
    <w:rsid w:val="45F8591F"/>
    <w:rsid w:val="45FD35D1"/>
    <w:rsid w:val="464E28BD"/>
    <w:rsid w:val="465A0CE8"/>
    <w:rsid w:val="46636835"/>
    <w:rsid w:val="466922BA"/>
    <w:rsid w:val="46773555"/>
    <w:rsid w:val="46940620"/>
    <w:rsid w:val="46943518"/>
    <w:rsid w:val="46A07194"/>
    <w:rsid w:val="46A460B4"/>
    <w:rsid w:val="46AC31BB"/>
    <w:rsid w:val="46AC3EB2"/>
    <w:rsid w:val="46AE4DD2"/>
    <w:rsid w:val="46B95A90"/>
    <w:rsid w:val="46BA4959"/>
    <w:rsid w:val="46D05BA6"/>
    <w:rsid w:val="46D15EB0"/>
    <w:rsid w:val="46D53DA4"/>
    <w:rsid w:val="46D82400"/>
    <w:rsid w:val="46D904A1"/>
    <w:rsid w:val="46DA1438"/>
    <w:rsid w:val="46E62229"/>
    <w:rsid w:val="46E82445"/>
    <w:rsid w:val="46EF0EC3"/>
    <w:rsid w:val="46F40F6A"/>
    <w:rsid w:val="4703610C"/>
    <w:rsid w:val="4717065F"/>
    <w:rsid w:val="47226FD9"/>
    <w:rsid w:val="47486A40"/>
    <w:rsid w:val="474B45FC"/>
    <w:rsid w:val="4751486C"/>
    <w:rsid w:val="47633879"/>
    <w:rsid w:val="4765490F"/>
    <w:rsid w:val="47705BB8"/>
    <w:rsid w:val="479A7B3A"/>
    <w:rsid w:val="47B039BF"/>
    <w:rsid w:val="47B34D2A"/>
    <w:rsid w:val="47C1393B"/>
    <w:rsid w:val="47C3362C"/>
    <w:rsid w:val="47C53BB2"/>
    <w:rsid w:val="47E04A28"/>
    <w:rsid w:val="47E353F0"/>
    <w:rsid w:val="47FF92AF"/>
    <w:rsid w:val="480B2ADA"/>
    <w:rsid w:val="48162150"/>
    <w:rsid w:val="48167AE8"/>
    <w:rsid w:val="482A3CF7"/>
    <w:rsid w:val="483F0A2E"/>
    <w:rsid w:val="48416D65"/>
    <w:rsid w:val="4869579D"/>
    <w:rsid w:val="48777F4D"/>
    <w:rsid w:val="4884619D"/>
    <w:rsid w:val="48861F15"/>
    <w:rsid w:val="488779FB"/>
    <w:rsid w:val="489B1DE1"/>
    <w:rsid w:val="48A42FAD"/>
    <w:rsid w:val="48C22822"/>
    <w:rsid w:val="48CC1F34"/>
    <w:rsid w:val="48D32BDC"/>
    <w:rsid w:val="48DD58AD"/>
    <w:rsid w:val="48F74BC1"/>
    <w:rsid w:val="48FF1B43"/>
    <w:rsid w:val="49035C1C"/>
    <w:rsid w:val="49105C83"/>
    <w:rsid w:val="4914489A"/>
    <w:rsid w:val="49184DB0"/>
    <w:rsid w:val="4936368A"/>
    <w:rsid w:val="4947077A"/>
    <w:rsid w:val="494805CB"/>
    <w:rsid w:val="495938AA"/>
    <w:rsid w:val="495B08F6"/>
    <w:rsid w:val="497679FA"/>
    <w:rsid w:val="49782884"/>
    <w:rsid w:val="498A016F"/>
    <w:rsid w:val="498D2E30"/>
    <w:rsid w:val="49A04CC0"/>
    <w:rsid w:val="49A061BE"/>
    <w:rsid w:val="49A27D5F"/>
    <w:rsid w:val="49A36CE7"/>
    <w:rsid w:val="49A4245E"/>
    <w:rsid w:val="49A86783"/>
    <w:rsid w:val="49B1684A"/>
    <w:rsid w:val="49B605D8"/>
    <w:rsid w:val="49C11920"/>
    <w:rsid w:val="49C3753A"/>
    <w:rsid w:val="49E5749A"/>
    <w:rsid w:val="49E62540"/>
    <w:rsid w:val="49EF4325"/>
    <w:rsid w:val="49F37F0C"/>
    <w:rsid w:val="49FE6B2E"/>
    <w:rsid w:val="4A174DEF"/>
    <w:rsid w:val="4A187736"/>
    <w:rsid w:val="4A370F44"/>
    <w:rsid w:val="4A372D9B"/>
    <w:rsid w:val="4A443E36"/>
    <w:rsid w:val="4A673681"/>
    <w:rsid w:val="4A772AFC"/>
    <w:rsid w:val="4A88072C"/>
    <w:rsid w:val="4A944950"/>
    <w:rsid w:val="4A954692"/>
    <w:rsid w:val="4A9A4F80"/>
    <w:rsid w:val="4AA3746A"/>
    <w:rsid w:val="4AC72371"/>
    <w:rsid w:val="4ACA6088"/>
    <w:rsid w:val="4AD60806"/>
    <w:rsid w:val="4AD8323A"/>
    <w:rsid w:val="4AF81276"/>
    <w:rsid w:val="4AFC26D1"/>
    <w:rsid w:val="4B04271D"/>
    <w:rsid w:val="4B2A05A0"/>
    <w:rsid w:val="4B2A1502"/>
    <w:rsid w:val="4B34607D"/>
    <w:rsid w:val="4B363981"/>
    <w:rsid w:val="4B3A23F9"/>
    <w:rsid w:val="4B427C4A"/>
    <w:rsid w:val="4B4627DA"/>
    <w:rsid w:val="4B4A7F74"/>
    <w:rsid w:val="4B4C6596"/>
    <w:rsid w:val="4B4D1CDD"/>
    <w:rsid w:val="4B6B71A0"/>
    <w:rsid w:val="4B716E2D"/>
    <w:rsid w:val="4B7E5126"/>
    <w:rsid w:val="4B863B11"/>
    <w:rsid w:val="4B94369C"/>
    <w:rsid w:val="4BB67896"/>
    <w:rsid w:val="4BD05314"/>
    <w:rsid w:val="4BD855D1"/>
    <w:rsid w:val="4BDE1B60"/>
    <w:rsid w:val="4BFB556E"/>
    <w:rsid w:val="4C1E06B7"/>
    <w:rsid w:val="4C1E3C30"/>
    <w:rsid w:val="4C215D1E"/>
    <w:rsid w:val="4C271CF5"/>
    <w:rsid w:val="4C2B1FE2"/>
    <w:rsid w:val="4C3F194E"/>
    <w:rsid w:val="4C5145E8"/>
    <w:rsid w:val="4C5F726F"/>
    <w:rsid w:val="4C6D1FFC"/>
    <w:rsid w:val="4C7908DC"/>
    <w:rsid w:val="4C7A5831"/>
    <w:rsid w:val="4CA35AB2"/>
    <w:rsid w:val="4CA5064C"/>
    <w:rsid w:val="4CB66B41"/>
    <w:rsid w:val="4CC052CA"/>
    <w:rsid w:val="4CD15548"/>
    <w:rsid w:val="4CD35265"/>
    <w:rsid w:val="4CFD207A"/>
    <w:rsid w:val="4D023B34"/>
    <w:rsid w:val="4D0C12F6"/>
    <w:rsid w:val="4D1B218F"/>
    <w:rsid w:val="4D221AE1"/>
    <w:rsid w:val="4D442A75"/>
    <w:rsid w:val="4D4574CF"/>
    <w:rsid w:val="4D494DA1"/>
    <w:rsid w:val="4D4C7C7F"/>
    <w:rsid w:val="4D4D23A2"/>
    <w:rsid w:val="4D637E12"/>
    <w:rsid w:val="4D822139"/>
    <w:rsid w:val="4D926C66"/>
    <w:rsid w:val="4DA46784"/>
    <w:rsid w:val="4DAD42D5"/>
    <w:rsid w:val="4DB2164B"/>
    <w:rsid w:val="4DB50A61"/>
    <w:rsid w:val="4DB528BE"/>
    <w:rsid w:val="4DC3766C"/>
    <w:rsid w:val="4DD57BC2"/>
    <w:rsid w:val="4DDA7096"/>
    <w:rsid w:val="4DDC6D16"/>
    <w:rsid w:val="4DE90850"/>
    <w:rsid w:val="4DED2BA0"/>
    <w:rsid w:val="4DED6593"/>
    <w:rsid w:val="4DF72E99"/>
    <w:rsid w:val="4E113042"/>
    <w:rsid w:val="4E225551"/>
    <w:rsid w:val="4E362315"/>
    <w:rsid w:val="4E384E18"/>
    <w:rsid w:val="4E3B04A9"/>
    <w:rsid w:val="4E3C59C3"/>
    <w:rsid w:val="4E4D4EB7"/>
    <w:rsid w:val="4E505B47"/>
    <w:rsid w:val="4E5F25CE"/>
    <w:rsid w:val="4E765BA1"/>
    <w:rsid w:val="4E797E26"/>
    <w:rsid w:val="4E9C79A7"/>
    <w:rsid w:val="4E9D7347"/>
    <w:rsid w:val="4EA2737D"/>
    <w:rsid w:val="4EAA511D"/>
    <w:rsid w:val="4EB15812"/>
    <w:rsid w:val="4EB3158A"/>
    <w:rsid w:val="4EC418FE"/>
    <w:rsid w:val="4ED24B8F"/>
    <w:rsid w:val="4EDC0FB4"/>
    <w:rsid w:val="4EF23C29"/>
    <w:rsid w:val="4EFE38D4"/>
    <w:rsid w:val="4EFE5390"/>
    <w:rsid w:val="4F0D77CA"/>
    <w:rsid w:val="4F164441"/>
    <w:rsid w:val="4F22484B"/>
    <w:rsid w:val="4F351C75"/>
    <w:rsid w:val="4F4E12B3"/>
    <w:rsid w:val="4F5C39D0"/>
    <w:rsid w:val="4F64497A"/>
    <w:rsid w:val="4F7B7A1C"/>
    <w:rsid w:val="4F7C6DA3"/>
    <w:rsid w:val="4FBC4E36"/>
    <w:rsid w:val="4FD318AB"/>
    <w:rsid w:val="4FD5108C"/>
    <w:rsid w:val="4FD55530"/>
    <w:rsid w:val="4FF31631"/>
    <w:rsid w:val="500323AF"/>
    <w:rsid w:val="50060F24"/>
    <w:rsid w:val="501970FE"/>
    <w:rsid w:val="504F7091"/>
    <w:rsid w:val="505D33F6"/>
    <w:rsid w:val="506373B6"/>
    <w:rsid w:val="50650662"/>
    <w:rsid w:val="50836A94"/>
    <w:rsid w:val="50862061"/>
    <w:rsid w:val="508C2401"/>
    <w:rsid w:val="50CF1F80"/>
    <w:rsid w:val="50D2381E"/>
    <w:rsid w:val="50D5162C"/>
    <w:rsid w:val="511107EA"/>
    <w:rsid w:val="511E4826"/>
    <w:rsid w:val="512548F2"/>
    <w:rsid w:val="512879D2"/>
    <w:rsid w:val="512F31D9"/>
    <w:rsid w:val="5130527F"/>
    <w:rsid w:val="513C0779"/>
    <w:rsid w:val="513D0E6F"/>
    <w:rsid w:val="51711289"/>
    <w:rsid w:val="517A6384"/>
    <w:rsid w:val="518C7E71"/>
    <w:rsid w:val="51A60F32"/>
    <w:rsid w:val="51AF03DA"/>
    <w:rsid w:val="51AF11FB"/>
    <w:rsid w:val="51B05DB2"/>
    <w:rsid w:val="51C759C9"/>
    <w:rsid w:val="51E13C71"/>
    <w:rsid w:val="51FA74D0"/>
    <w:rsid w:val="51FD2B1C"/>
    <w:rsid w:val="52082D3C"/>
    <w:rsid w:val="52187956"/>
    <w:rsid w:val="52222EB5"/>
    <w:rsid w:val="5226317B"/>
    <w:rsid w:val="52321763"/>
    <w:rsid w:val="52426781"/>
    <w:rsid w:val="5244074B"/>
    <w:rsid w:val="5268268C"/>
    <w:rsid w:val="52696E84"/>
    <w:rsid w:val="52754013"/>
    <w:rsid w:val="527B23BF"/>
    <w:rsid w:val="528B1ED6"/>
    <w:rsid w:val="529A686F"/>
    <w:rsid w:val="529B31C7"/>
    <w:rsid w:val="529E1C09"/>
    <w:rsid w:val="52A13B73"/>
    <w:rsid w:val="52A24537"/>
    <w:rsid w:val="52D35392"/>
    <w:rsid w:val="52E635B0"/>
    <w:rsid w:val="52E837CD"/>
    <w:rsid w:val="52ED6FB1"/>
    <w:rsid w:val="52FB049E"/>
    <w:rsid w:val="52FC6541"/>
    <w:rsid w:val="53065675"/>
    <w:rsid w:val="531C6FD2"/>
    <w:rsid w:val="532E3045"/>
    <w:rsid w:val="533146A8"/>
    <w:rsid w:val="53422EDD"/>
    <w:rsid w:val="5342655C"/>
    <w:rsid w:val="534F0BAB"/>
    <w:rsid w:val="53642C01"/>
    <w:rsid w:val="53706852"/>
    <w:rsid w:val="53820528"/>
    <w:rsid w:val="53B06C4C"/>
    <w:rsid w:val="53C70362"/>
    <w:rsid w:val="53E73A84"/>
    <w:rsid w:val="53EA26FB"/>
    <w:rsid w:val="53F54A09"/>
    <w:rsid w:val="54092564"/>
    <w:rsid w:val="54136627"/>
    <w:rsid w:val="54163097"/>
    <w:rsid w:val="541A7424"/>
    <w:rsid w:val="541D74A6"/>
    <w:rsid w:val="54280325"/>
    <w:rsid w:val="544F7544"/>
    <w:rsid w:val="54511B14"/>
    <w:rsid w:val="545D3F1C"/>
    <w:rsid w:val="545D5AF4"/>
    <w:rsid w:val="546B4490"/>
    <w:rsid w:val="546C7AF6"/>
    <w:rsid w:val="54830907"/>
    <w:rsid w:val="54850EF2"/>
    <w:rsid w:val="54A12C0A"/>
    <w:rsid w:val="54B73456"/>
    <w:rsid w:val="54B82B95"/>
    <w:rsid w:val="54E32938"/>
    <w:rsid w:val="54EA7535"/>
    <w:rsid w:val="54EC025D"/>
    <w:rsid w:val="54EC4CB2"/>
    <w:rsid w:val="54F53A05"/>
    <w:rsid w:val="54F947B1"/>
    <w:rsid w:val="55093632"/>
    <w:rsid w:val="550A2531"/>
    <w:rsid w:val="55256612"/>
    <w:rsid w:val="552D3719"/>
    <w:rsid w:val="55321795"/>
    <w:rsid w:val="55326F81"/>
    <w:rsid w:val="554B168C"/>
    <w:rsid w:val="55553E18"/>
    <w:rsid w:val="555920AA"/>
    <w:rsid w:val="55595E36"/>
    <w:rsid w:val="555F38B9"/>
    <w:rsid w:val="55633C1C"/>
    <w:rsid w:val="5564308C"/>
    <w:rsid w:val="556825AC"/>
    <w:rsid w:val="5576055B"/>
    <w:rsid w:val="557D0847"/>
    <w:rsid w:val="557E12E2"/>
    <w:rsid w:val="55A0038E"/>
    <w:rsid w:val="55A079AA"/>
    <w:rsid w:val="55D43B94"/>
    <w:rsid w:val="55D668A1"/>
    <w:rsid w:val="55D85898"/>
    <w:rsid w:val="55DB3175"/>
    <w:rsid w:val="55E37BB6"/>
    <w:rsid w:val="55E87B1A"/>
    <w:rsid w:val="56010B19"/>
    <w:rsid w:val="561641AD"/>
    <w:rsid w:val="564505A1"/>
    <w:rsid w:val="5699213A"/>
    <w:rsid w:val="569B2050"/>
    <w:rsid w:val="56A619D5"/>
    <w:rsid w:val="56A83D23"/>
    <w:rsid w:val="56AD6DC2"/>
    <w:rsid w:val="56C21867"/>
    <w:rsid w:val="56FA0D1F"/>
    <w:rsid w:val="56FADAA4"/>
    <w:rsid w:val="57084AE0"/>
    <w:rsid w:val="570C0D53"/>
    <w:rsid w:val="57164A47"/>
    <w:rsid w:val="571F452A"/>
    <w:rsid w:val="571F7891"/>
    <w:rsid w:val="572343A9"/>
    <w:rsid w:val="574074EF"/>
    <w:rsid w:val="5756180B"/>
    <w:rsid w:val="5762159B"/>
    <w:rsid w:val="57853398"/>
    <w:rsid w:val="579509C7"/>
    <w:rsid w:val="579D553A"/>
    <w:rsid w:val="57A824FF"/>
    <w:rsid w:val="57A973C0"/>
    <w:rsid w:val="57AD7AE7"/>
    <w:rsid w:val="57B57363"/>
    <w:rsid w:val="57B62CE2"/>
    <w:rsid w:val="57B92419"/>
    <w:rsid w:val="57CE788F"/>
    <w:rsid w:val="57E04A72"/>
    <w:rsid w:val="57E2382A"/>
    <w:rsid w:val="57E24C8E"/>
    <w:rsid w:val="57E43CE6"/>
    <w:rsid w:val="57E52089"/>
    <w:rsid w:val="57F64296"/>
    <w:rsid w:val="58093FC9"/>
    <w:rsid w:val="580A1AEF"/>
    <w:rsid w:val="58231839"/>
    <w:rsid w:val="582346FA"/>
    <w:rsid w:val="58277A16"/>
    <w:rsid w:val="58310E71"/>
    <w:rsid w:val="58355EA3"/>
    <w:rsid w:val="58437985"/>
    <w:rsid w:val="58550FBC"/>
    <w:rsid w:val="588747BB"/>
    <w:rsid w:val="58905A04"/>
    <w:rsid w:val="58B73A25"/>
    <w:rsid w:val="58C06DD0"/>
    <w:rsid w:val="58D13E39"/>
    <w:rsid w:val="58F438AB"/>
    <w:rsid w:val="58F73DFC"/>
    <w:rsid w:val="58FB698C"/>
    <w:rsid w:val="59050078"/>
    <w:rsid w:val="5906687F"/>
    <w:rsid w:val="590734FB"/>
    <w:rsid w:val="59161AB7"/>
    <w:rsid w:val="593836A9"/>
    <w:rsid w:val="5947124D"/>
    <w:rsid w:val="594B0F85"/>
    <w:rsid w:val="59567793"/>
    <w:rsid w:val="595A43BE"/>
    <w:rsid w:val="596D2FD3"/>
    <w:rsid w:val="59796F2C"/>
    <w:rsid w:val="59927FEE"/>
    <w:rsid w:val="59A541C5"/>
    <w:rsid w:val="59CC1AA0"/>
    <w:rsid w:val="59D61290"/>
    <w:rsid w:val="59DD379F"/>
    <w:rsid w:val="59DF6694"/>
    <w:rsid w:val="59F1611A"/>
    <w:rsid w:val="59F64A21"/>
    <w:rsid w:val="5A0C2766"/>
    <w:rsid w:val="5A0E69B6"/>
    <w:rsid w:val="5A167109"/>
    <w:rsid w:val="5A386129"/>
    <w:rsid w:val="5A662A65"/>
    <w:rsid w:val="5A705B83"/>
    <w:rsid w:val="5A960290"/>
    <w:rsid w:val="5AA8345A"/>
    <w:rsid w:val="5AAFA60E"/>
    <w:rsid w:val="5AC661A1"/>
    <w:rsid w:val="5ADC2449"/>
    <w:rsid w:val="5AFB40DB"/>
    <w:rsid w:val="5B246DA5"/>
    <w:rsid w:val="5B325BBC"/>
    <w:rsid w:val="5B387B63"/>
    <w:rsid w:val="5B4D35C8"/>
    <w:rsid w:val="5B881776"/>
    <w:rsid w:val="5B8A5692"/>
    <w:rsid w:val="5B8C30E2"/>
    <w:rsid w:val="5BAD71F7"/>
    <w:rsid w:val="5BB57706"/>
    <w:rsid w:val="5BD127B3"/>
    <w:rsid w:val="5BDA344A"/>
    <w:rsid w:val="5BE50876"/>
    <w:rsid w:val="5C02145B"/>
    <w:rsid w:val="5C0772D9"/>
    <w:rsid w:val="5C0803AD"/>
    <w:rsid w:val="5C2D0EE9"/>
    <w:rsid w:val="5C430C8F"/>
    <w:rsid w:val="5C434682"/>
    <w:rsid w:val="5C506FD9"/>
    <w:rsid w:val="5C6A19F9"/>
    <w:rsid w:val="5C6B2683"/>
    <w:rsid w:val="5C977095"/>
    <w:rsid w:val="5C9A316B"/>
    <w:rsid w:val="5C9F6A5F"/>
    <w:rsid w:val="5CB151DB"/>
    <w:rsid w:val="5CB2680B"/>
    <w:rsid w:val="5CB62246"/>
    <w:rsid w:val="5CD86660"/>
    <w:rsid w:val="5CFD4027"/>
    <w:rsid w:val="5D170176"/>
    <w:rsid w:val="5D274DCB"/>
    <w:rsid w:val="5D4351CF"/>
    <w:rsid w:val="5D63417B"/>
    <w:rsid w:val="5D6C5494"/>
    <w:rsid w:val="5D6D410D"/>
    <w:rsid w:val="5D844ADD"/>
    <w:rsid w:val="5D885990"/>
    <w:rsid w:val="5DA830AD"/>
    <w:rsid w:val="5DC34B7F"/>
    <w:rsid w:val="5DDC5CDC"/>
    <w:rsid w:val="5DDC7A8A"/>
    <w:rsid w:val="5DE64A71"/>
    <w:rsid w:val="5DE64B7D"/>
    <w:rsid w:val="5DF9063C"/>
    <w:rsid w:val="5DFD637E"/>
    <w:rsid w:val="5E05783D"/>
    <w:rsid w:val="5E08142B"/>
    <w:rsid w:val="5E084D23"/>
    <w:rsid w:val="5E253B1C"/>
    <w:rsid w:val="5E254310"/>
    <w:rsid w:val="5E310F5A"/>
    <w:rsid w:val="5E34491B"/>
    <w:rsid w:val="5E433630"/>
    <w:rsid w:val="5E455DA7"/>
    <w:rsid w:val="5E52592E"/>
    <w:rsid w:val="5E5D7F21"/>
    <w:rsid w:val="5E744166"/>
    <w:rsid w:val="5E826883"/>
    <w:rsid w:val="5E9E02C7"/>
    <w:rsid w:val="5EA552F2"/>
    <w:rsid w:val="5EAC7B3F"/>
    <w:rsid w:val="5EB6477F"/>
    <w:rsid w:val="5EBC0561"/>
    <w:rsid w:val="5ECC24C0"/>
    <w:rsid w:val="5ED0552E"/>
    <w:rsid w:val="5EE43A05"/>
    <w:rsid w:val="5EF4208F"/>
    <w:rsid w:val="5F175824"/>
    <w:rsid w:val="5F1C6CD8"/>
    <w:rsid w:val="5F2E07B9"/>
    <w:rsid w:val="5F311F0D"/>
    <w:rsid w:val="5F376D86"/>
    <w:rsid w:val="5F3821F3"/>
    <w:rsid w:val="5F491D86"/>
    <w:rsid w:val="5F5E307D"/>
    <w:rsid w:val="5F5E6BA9"/>
    <w:rsid w:val="5F7E1A8C"/>
    <w:rsid w:val="5F8B5DFF"/>
    <w:rsid w:val="5F954394"/>
    <w:rsid w:val="5FAA6092"/>
    <w:rsid w:val="5FB15AF3"/>
    <w:rsid w:val="5FB52719"/>
    <w:rsid w:val="5FCA2AC0"/>
    <w:rsid w:val="5FCC305F"/>
    <w:rsid w:val="5FDE21DF"/>
    <w:rsid w:val="5FE0450C"/>
    <w:rsid w:val="5FE40F78"/>
    <w:rsid w:val="5FF26C90"/>
    <w:rsid w:val="60042075"/>
    <w:rsid w:val="6004553C"/>
    <w:rsid w:val="60057B7B"/>
    <w:rsid w:val="60167B70"/>
    <w:rsid w:val="601F7C1D"/>
    <w:rsid w:val="60246405"/>
    <w:rsid w:val="6028345A"/>
    <w:rsid w:val="602C4CF9"/>
    <w:rsid w:val="602D3ADF"/>
    <w:rsid w:val="60360B52"/>
    <w:rsid w:val="60634492"/>
    <w:rsid w:val="607246D5"/>
    <w:rsid w:val="607641C6"/>
    <w:rsid w:val="607D01A8"/>
    <w:rsid w:val="607E6AC6"/>
    <w:rsid w:val="60814B98"/>
    <w:rsid w:val="608647FB"/>
    <w:rsid w:val="60A56F59"/>
    <w:rsid w:val="60AC7BE7"/>
    <w:rsid w:val="60B506D1"/>
    <w:rsid w:val="60B73820"/>
    <w:rsid w:val="60BC5C6D"/>
    <w:rsid w:val="60C110F2"/>
    <w:rsid w:val="60D33784"/>
    <w:rsid w:val="60DE1BBB"/>
    <w:rsid w:val="60EC35BF"/>
    <w:rsid w:val="610120A5"/>
    <w:rsid w:val="61102184"/>
    <w:rsid w:val="61123C94"/>
    <w:rsid w:val="611A0FF5"/>
    <w:rsid w:val="611C2FBF"/>
    <w:rsid w:val="61205CC2"/>
    <w:rsid w:val="612B4734"/>
    <w:rsid w:val="613F0A5C"/>
    <w:rsid w:val="61442516"/>
    <w:rsid w:val="614514B8"/>
    <w:rsid w:val="614E3319"/>
    <w:rsid w:val="61711018"/>
    <w:rsid w:val="617F2857"/>
    <w:rsid w:val="61812E22"/>
    <w:rsid w:val="61842912"/>
    <w:rsid w:val="61843050"/>
    <w:rsid w:val="61864830"/>
    <w:rsid w:val="618F680B"/>
    <w:rsid w:val="61AA41D8"/>
    <w:rsid w:val="61AB534D"/>
    <w:rsid w:val="61AE798F"/>
    <w:rsid w:val="61BB06B6"/>
    <w:rsid w:val="61C45773"/>
    <w:rsid w:val="61D36977"/>
    <w:rsid w:val="61D52193"/>
    <w:rsid w:val="61EA3558"/>
    <w:rsid w:val="61FB1F56"/>
    <w:rsid w:val="61FF22C6"/>
    <w:rsid w:val="6208653F"/>
    <w:rsid w:val="620C2993"/>
    <w:rsid w:val="620D02F8"/>
    <w:rsid w:val="623E3C23"/>
    <w:rsid w:val="624E31D0"/>
    <w:rsid w:val="62500A46"/>
    <w:rsid w:val="625B3673"/>
    <w:rsid w:val="626E240E"/>
    <w:rsid w:val="627363E3"/>
    <w:rsid w:val="62754788"/>
    <w:rsid w:val="627703DF"/>
    <w:rsid w:val="62786AC1"/>
    <w:rsid w:val="628D67DA"/>
    <w:rsid w:val="62B0762A"/>
    <w:rsid w:val="62B31701"/>
    <w:rsid w:val="62C27B96"/>
    <w:rsid w:val="62D4264E"/>
    <w:rsid w:val="62D548D4"/>
    <w:rsid w:val="62E73159"/>
    <w:rsid w:val="62EE7D45"/>
    <w:rsid w:val="63026747"/>
    <w:rsid w:val="632D66D7"/>
    <w:rsid w:val="6343672B"/>
    <w:rsid w:val="634D2A92"/>
    <w:rsid w:val="635348C2"/>
    <w:rsid w:val="636979EE"/>
    <w:rsid w:val="63770981"/>
    <w:rsid w:val="6377272F"/>
    <w:rsid w:val="637A3DFF"/>
    <w:rsid w:val="637A5594"/>
    <w:rsid w:val="637F25EE"/>
    <w:rsid w:val="637F6CFA"/>
    <w:rsid w:val="637F7835"/>
    <w:rsid w:val="639B14F1"/>
    <w:rsid w:val="63A228C3"/>
    <w:rsid w:val="63AC4BF0"/>
    <w:rsid w:val="63BF42EA"/>
    <w:rsid w:val="63C31359"/>
    <w:rsid w:val="63D211A0"/>
    <w:rsid w:val="63D23E09"/>
    <w:rsid w:val="63D31079"/>
    <w:rsid w:val="63D3192F"/>
    <w:rsid w:val="63E34F0E"/>
    <w:rsid w:val="63F7561D"/>
    <w:rsid w:val="64055F8C"/>
    <w:rsid w:val="641205E0"/>
    <w:rsid w:val="641B2B1B"/>
    <w:rsid w:val="6432186F"/>
    <w:rsid w:val="64364712"/>
    <w:rsid w:val="644F5CEA"/>
    <w:rsid w:val="645171A5"/>
    <w:rsid w:val="64520AA6"/>
    <w:rsid w:val="64572E6C"/>
    <w:rsid w:val="645A795A"/>
    <w:rsid w:val="645F6310"/>
    <w:rsid w:val="646031C3"/>
    <w:rsid w:val="64642182"/>
    <w:rsid w:val="646803F4"/>
    <w:rsid w:val="646E4F44"/>
    <w:rsid w:val="64A26B90"/>
    <w:rsid w:val="64A44A44"/>
    <w:rsid w:val="64C30E6C"/>
    <w:rsid w:val="64DB1ED4"/>
    <w:rsid w:val="64E75692"/>
    <w:rsid w:val="64E82BC8"/>
    <w:rsid w:val="651D7306"/>
    <w:rsid w:val="6520139B"/>
    <w:rsid w:val="652F7039"/>
    <w:rsid w:val="653071BC"/>
    <w:rsid w:val="65562818"/>
    <w:rsid w:val="656A6EA9"/>
    <w:rsid w:val="65754049"/>
    <w:rsid w:val="657E5DC6"/>
    <w:rsid w:val="65A74E21"/>
    <w:rsid w:val="65A92947"/>
    <w:rsid w:val="65AD581B"/>
    <w:rsid w:val="65B94E24"/>
    <w:rsid w:val="65CC64BB"/>
    <w:rsid w:val="65D25024"/>
    <w:rsid w:val="65DA343C"/>
    <w:rsid w:val="65E2598A"/>
    <w:rsid w:val="660C0EE5"/>
    <w:rsid w:val="66140709"/>
    <w:rsid w:val="662C6A34"/>
    <w:rsid w:val="663C3DF1"/>
    <w:rsid w:val="664277CD"/>
    <w:rsid w:val="66632596"/>
    <w:rsid w:val="66650F64"/>
    <w:rsid w:val="666B5E4F"/>
    <w:rsid w:val="666E590C"/>
    <w:rsid w:val="66756CCD"/>
    <w:rsid w:val="668D2269"/>
    <w:rsid w:val="66A76064"/>
    <w:rsid w:val="66A776D9"/>
    <w:rsid w:val="66E76BC8"/>
    <w:rsid w:val="66F043EE"/>
    <w:rsid w:val="670438C3"/>
    <w:rsid w:val="67110DC2"/>
    <w:rsid w:val="671424F9"/>
    <w:rsid w:val="671E7669"/>
    <w:rsid w:val="6730104E"/>
    <w:rsid w:val="675A625B"/>
    <w:rsid w:val="67672B7B"/>
    <w:rsid w:val="676E57FB"/>
    <w:rsid w:val="676F11C1"/>
    <w:rsid w:val="6777631B"/>
    <w:rsid w:val="677C4AF0"/>
    <w:rsid w:val="677C5A1E"/>
    <w:rsid w:val="67A22C39"/>
    <w:rsid w:val="67A36CA4"/>
    <w:rsid w:val="67B32D00"/>
    <w:rsid w:val="67C432B5"/>
    <w:rsid w:val="67CA3576"/>
    <w:rsid w:val="67DC14CC"/>
    <w:rsid w:val="67E1286C"/>
    <w:rsid w:val="67FA56DC"/>
    <w:rsid w:val="683B2101"/>
    <w:rsid w:val="68541290"/>
    <w:rsid w:val="6865707D"/>
    <w:rsid w:val="68755B25"/>
    <w:rsid w:val="6889463D"/>
    <w:rsid w:val="688D6550"/>
    <w:rsid w:val="689768A9"/>
    <w:rsid w:val="68B70904"/>
    <w:rsid w:val="68F24605"/>
    <w:rsid w:val="69006B8C"/>
    <w:rsid w:val="690422F9"/>
    <w:rsid w:val="690E2DE0"/>
    <w:rsid w:val="693B3B63"/>
    <w:rsid w:val="694D584D"/>
    <w:rsid w:val="69511659"/>
    <w:rsid w:val="695F01B3"/>
    <w:rsid w:val="69652819"/>
    <w:rsid w:val="696A6C3A"/>
    <w:rsid w:val="69725EEC"/>
    <w:rsid w:val="69740E9C"/>
    <w:rsid w:val="69766FE4"/>
    <w:rsid w:val="698B3B86"/>
    <w:rsid w:val="699464E8"/>
    <w:rsid w:val="69A14E6A"/>
    <w:rsid w:val="69C02956"/>
    <w:rsid w:val="69C73CE4"/>
    <w:rsid w:val="69C82FD4"/>
    <w:rsid w:val="69D2400E"/>
    <w:rsid w:val="69DA3304"/>
    <w:rsid w:val="69F43947"/>
    <w:rsid w:val="69F76F06"/>
    <w:rsid w:val="69F95788"/>
    <w:rsid w:val="6A111A69"/>
    <w:rsid w:val="6A1F767C"/>
    <w:rsid w:val="6A282268"/>
    <w:rsid w:val="6A2E337F"/>
    <w:rsid w:val="6A3B3C33"/>
    <w:rsid w:val="6A3D46F4"/>
    <w:rsid w:val="6A476285"/>
    <w:rsid w:val="6A4C40B5"/>
    <w:rsid w:val="6A6A21F1"/>
    <w:rsid w:val="6A766410"/>
    <w:rsid w:val="6A7E2C0A"/>
    <w:rsid w:val="6A9E4A45"/>
    <w:rsid w:val="6ABF2745"/>
    <w:rsid w:val="6AC052DF"/>
    <w:rsid w:val="6AC81AC2"/>
    <w:rsid w:val="6AD95A7D"/>
    <w:rsid w:val="6AD9782B"/>
    <w:rsid w:val="6AE44704"/>
    <w:rsid w:val="6AF16CA1"/>
    <w:rsid w:val="6B0A346D"/>
    <w:rsid w:val="6B0F54DB"/>
    <w:rsid w:val="6B14787B"/>
    <w:rsid w:val="6B1C2F58"/>
    <w:rsid w:val="6B1F63E4"/>
    <w:rsid w:val="6B211846"/>
    <w:rsid w:val="6B2253AA"/>
    <w:rsid w:val="6B253075"/>
    <w:rsid w:val="6B2C719B"/>
    <w:rsid w:val="6B4B485A"/>
    <w:rsid w:val="6B74167C"/>
    <w:rsid w:val="6B855AB4"/>
    <w:rsid w:val="6B8C6F93"/>
    <w:rsid w:val="6B8D3D19"/>
    <w:rsid w:val="6B936732"/>
    <w:rsid w:val="6B936945"/>
    <w:rsid w:val="6B9F1C3E"/>
    <w:rsid w:val="6BBE2A45"/>
    <w:rsid w:val="6BC64C77"/>
    <w:rsid w:val="6C73344A"/>
    <w:rsid w:val="6C7C1180"/>
    <w:rsid w:val="6C8031E6"/>
    <w:rsid w:val="6C842EA6"/>
    <w:rsid w:val="6C8859AD"/>
    <w:rsid w:val="6C8C60E1"/>
    <w:rsid w:val="6C962A9D"/>
    <w:rsid w:val="6CC23E46"/>
    <w:rsid w:val="6CE70955"/>
    <w:rsid w:val="6CFE7A1D"/>
    <w:rsid w:val="6D06067F"/>
    <w:rsid w:val="6D1024A0"/>
    <w:rsid w:val="6D19441D"/>
    <w:rsid w:val="6D194857"/>
    <w:rsid w:val="6D1948A3"/>
    <w:rsid w:val="6D1A5002"/>
    <w:rsid w:val="6D1C66E8"/>
    <w:rsid w:val="6D35198A"/>
    <w:rsid w:val="6D377177"/>
    <w:rsid w:val="6D3B2A1F"/>
    <w:rsid w:val="6D3B5F91"/>
    <w:rsid w:val="6D3F0C26"/>
    <w:rsid w:val="6D435C50"/>
    <w:rsid w:val="6D4C602D"/>
    <w:rsid w:val="6D613BD6"/>
    <w:rsid w:val="6D714693"/>
    <w:rsid w:val="6D8406BF"/>
    <w:rsid w:val="6D84290A"/>
    <w:rsid w:val="6D8A5D00"/>
    <w:rsid w:val="6D8C5028"/>
    <w:rsid w:val="6D943BF5"/>
    <w:rsid w:val="6D9B4673"/>
    <w:rsid w:val="6D9F66CF"/>
    <w:rsid w:val="6DA343EE"/>
    <w:rsid w:val="6DA4704F"/>
    <w:rsid w:val="6DA472EF"/>
    <w:rsid w:val="6DA53367"/>
    <w:rsid w:val="6DDF442E"/>
    <w:rsid w:val="6DE16D15"/>
    <w:rsid w:val="6DF420BD"/>
    <w:rsid w:val="6DF4539A"/>
    <w:rsid w:val="6DFD138C"/>
    <w:rsid w:val="6E071901"/>
    <w:rsid w:val="6E0728D3"/>
    <w:rsid w:val="6E441F83"/>
    <w:rsid w:val="6E4C7F4F"/>
    <w:rsid w:val="6E511782"/>
    <w:rsid w:val="6E7C0047"/>
    <w:rsid w:val="6E82642B"/>
    <w:rsid w:val="6E851A78"/>
    <w:rsid w:val="6E8F004B"/>
    <w:rsid w:val="6E950E25"/>
    <w:rsid w:val="6EAC7DB2"/>
    <w:rsid w:val="6EBE1783"/>
    <w:rsid w:val="6EC66318"/>
    <w:rsid w:val="6ED0363B"/>
    <w:rsid w:val="6EE175F6"/>
    <w:rsid w:val="6EE51BDE"/>
    <w:rsid w:val="6EF92F92"/>
    <w:rsid w:val="6EFC61DE"/>
    <w:rsid w:val="6EFF182A"/>
    <w:rsid w:val="6F084B83"/>
    <w:rsid w:val="6F0B4673"/>
    <w:rsid w:val="6F282B2F"/>
    <w:rsid w:val="6F2B2066"/>
    <w:rsid w:val="6F3632F9"/>
    <w:rsid w:val="6F497D22"/>
    <w:rsid w:val="6F4E3F0C"/>
    <w:rsid w:val="6F585DD6"/>
    <w:rsid w:val="6F5B1156"/>
    <w:rsid w:val="6F712728"/>
    <w:rsid w:val="6F832748"/>
    <w:rsid w:val="6F9205AB"/>
    <w:rsid w:val="6F9C02A1"/>
    <w:rsid w:val="6FC85E76"/>
    <w:rsid w:val="6FD664F7"/>
    <w:rsid w:val="6FD809F9"/>
    <w:rsid w:val="6FD874F0"/>
    <w:rsid w:val="6FDE7692"/>
    <w:rsid w:val="6FDFBB96"/>
    <w:rsid w:val="6FE0107C"/>
    <w:rsid w:val="6FE03225"/>
    <w:rsid w:val="6FE76B68"/>
    <w:rsid w:val="6FEF6F6B"/>
    <w:rsid w:val="6FF9096F"/>
    <w:rsid w:val="6FFD220E"/>
    <w:rsid w:val="70017C18"/>
    <w:rsid w:val="701200B7"/>
    <w:rsid w:val="70334479"/>
    <w:rsid w:val="706031F7"/>
    <w:rsid w:val="70671D7D"/>
    <w:rsid w:val="706A5BC3"/>
    <w:rsid w:val="7070549B"/>
    <w:rsid w:val="70725F46"/>
    <w:rsid w:val="70787AE6"/>
    <w:rsid w:val="707D6FDF"/>
    <w:rsid w:val="70824DD6"/>
    <w:rsid w:val="70826EAE"/>
    <w:rsid w:val="70931E99"/>
    <w:rsid w:val="70981F36"/>
    <w:rsid w:val="70B57D6B"/>
    <w:rsid w:val="70D50A94"/>
    <w:rsid w:val="70D70C14"/>
    <w:rsid w:val="70DF571C"/>
    <w:rsid w:val="70E21403"/>
    <w:rsid w:val="70FA17E5"/>
    <w:rsid w:val="7102107D"/>
    <w:rsid w:val="71243387"/>
    <w:rsid w:val="71466F47"/>
    <w:rsid w:val="71593474"/>
    <w:rsid w:val="71650526"/>
    <w:rsid w:val="71662034"/>
    <w:rsid w:val="717669D3"/>
    <w:rsid w:val="71785BF6"/>
    <w:rsid w:val="7185070D"/>
    <w:rsid w:val="71851777"/>
    <w:rsid w:val="718524BB"/>
    <w:rsid w:val="71911448"/>
    <w:rsid w:val="719621B0"/>
    <w:rsid w:val="719E300E"/>
    <w:rsid w:val="71A63DB4"/>
    <w:rsid w:val="71A6677C"/>
    <w:rsid w:val="71B22C2F"/>
    <w:rsid w:val="71CE09AC"/>
    <w:rsid w:val="71D92806"/>
    <w:rsid w:val="71DA1B12"/>
    <w:rsid w:val="71DC5E53"/>
    <w:rsid w:val="720A0561"/>
    <w:rsid w:val="7212699F"/>
    <w:rsid w:val="72131EB6"/>
    <w:rsid w:val="723403A1"/>
    <w:rsid w:val="724C0C12"/>
    <w:rsid w:val="724D2119"/>
    <w:rsid w:val="724E4FA2"/>
    <w:rsid w:val="72555A55"/>
    <w:rsid w:val="7258044E"/>
    <w:rsid w:val="72586C7B"/>
    <w:rsid w:val="72706649"/>
    <w:rsid w:val="72797CB1"/>
    <w:rsid w:val="72851EFF"/>
    <w:rsid w:val="728C236F"/>
    <w:rsid w:val="72982221"/>
    <w:rsid w:val="72AA4D7A"/>
    <w:rsid w:val="72AF2783"/>
    <w:rsid w:val="72BD03A7"/>
    <w:rsid w:val="72BE3825"/>
    <w:rsid w:val="72C14665"/>
    <w:rsid w:val="72C74D55"/>
    <w:rsid w:val="72C94629"/>
    <w:rsid w:val="72D65B7D"/>
    <w:rsid w:val="730239A0"/>
    <w:rsid w:val="73033C78"/>
    <w:rsid w:val="73086358"/>
    <w:rsid w:val="73121291"/>
    <w:rsid w:val="731D4975"/>
    <w:rsid w:val="731E5A13"/>
    <w:rsid w:val="73221F8B"/>
    <w:rsid w:val="733207A3"/>
    <w:rsid w:val="733851B2"/>
    <w:rsid w:val="733B500C"/>
    <w:rsid w:val="737B073D"/>
    <w:rsid w:val="737E3665"/>
    <w:rsid w:val="73800B33"/>
    <w:rsid w:val="7381115D"/>
    <w:rsid w:val="738D38A8"/>
    <w:rsid w:val="739C0DFC"/>
    <w:rsid w:val="73C0168D"/>
    <w:rsid w:val="73CC268A"/>
    <w:rsid w:val="73D03795"/>
    <w:rsid w:val="73E3171A"/>
    <w:rsid w:val="73E80AF4"/>
    <w:rsid w:val="74086509"/>
    <w:rsid w:val="740C0C71"/>
    <w:rsid w:val="741D2E7E"/>
    <w:rsid w:val="74323B10"/>
    <w:rsid w:val="743D5B86"/>
    <w:rsid w:val="744C72C0"/>
    <w:rsid w:val="746643AA"/>
    <w:rsid w:val="746C5BB4"/>
    <w:rsid w:val="747D1B6F"/>
    <w:rsid w:val="747E0B22"/>
    <w:rsid w:val="747F7695"/>
    <w:rsid w:val="74891470"/>
    <w:rsid w:val="748F53FE"/>
    <w:rsid w:val="749525FF"/>
    <w:rsid w:val="74A72748"/>
    <w:rsid w:val="74C962CD"/>
    <w:rsid w:val="74DD767D"/>
    <w:rsid w:val="75196DE5"/>
    <w:rsid w:val="753B10E2"/>
    <w:rsid w:val="756264EB"/>
    <w:rsid w:val="75871421"/>
    <w:rsid w:val="758804D4"/>
    <w:rsid w:val="758E41ED"/>
    <w:rsid w:val="75A43A6C"/>
    <w:rsid w:val="75B82733"/>
    <w:rsid w:val="75BB4E6B"/>
    <w:rsid w:val="75C773F9"/>
    <w:rsid w:val="75D14529"/>
    <w:rsid w:val="75DA62B7"/>
    <w:rsid w:val="75E36C9A"/>
    <w:rsid w:val="75F47C0F"/>
    <w:rsid w:val="76037E52"/>
    <w:rsid w:val="76161FE7"/>
    <w:rsid w:val="7616399E"/>
    <w:rsid w:val="76177D7F"/>
    <w:rsid w:val="761C013E"/>
    <w:rsid w:val="764D37C3"/>
    <w:rsid w:val="7653565C"/>
    <w:rsid w:val="765A4445"/>
    <w:rsid w:val="76665235"/>
    <w:rsid w:val="76676AC6"/>
    <w:rsid w:val="767C0205"/>
    <w:rsid w:val="76970586"/>
    <w:rsid w:val="769F4581"/>
    <w:rsid w:val="76AB2C13"/>
    <w:rsid w:val="76AB7D5A"/>
    <w:rsid w:val="76AE4827"/>
    <w:rsid w:val="76B1227C"/>
    <w:rsid w:val="76BF2EA4"/>
    <w:rsid w:val="76DA7E70"/>
    <w:rsid w:val="76E61C4D"/>
    <w:rsid w:val="76E87A23"/>
    <w:rsid w:val="76FA4CC1"/>
    <w:rsid w:val="77056DBE"/>
    <w:rsid w:val="771D3939"/>
    <w:rsid w:val="77291682"/>
    <w:rsid w:val="77414905"/>
    <w:rsid w:val="774310DC"/>
    <w:rsid w:val="77533983"/>
    <w:rsid w:val="77595F28"/>
    <w:rsid w:val="776369E5"/>
    <w:rsid w:val="77642B72"/>
    <w:rsid w:val="776C1A27"/>
    <w:rsid w:val="777165EE"/>
    <w:rsid w:val="77781D3E"/>
    <w:rsid w:val="77833EE3"/>
    <w:rsid w:val="77857872"/>
    <w:rsid w:val="77B5498B"/>
    <w:rsid w:val="77C3048F"/>
    <w:rsid w:val="77C607BD"/>
    <w:rsid w:val="77C6382D"/>
    <w:rsid w:val="77CE6299"/>
    <w:rsid w:val="77D27D16"/>
    <w:rsid w:val="77D44FB1"/>
    <w:rsid w:val="77E91B2A"/>
    <w:rsid w:val="77FB1637"/>
    <w:rsid w:val="77FC724F"/>
    <w:rsid w:val="77FFD582"/>
    <w:rsid w:val="7812485A"/>
    <w:rsid w:val="781420EA"/>
    <w:rsid w:val="78144544"/>
    <w:rsid w:val="78225ACD"/>
    <w:rsid w:val="783E7305"/>
    <w:rsid w:val="785E4EE7"/>
    <w:rsid w:val="785F01A5"/>
    <w:rsid w:val="78656BA2"/>
    <w:rsid w:val="7866354D"/>
    <w:rsid w:val="786C3FC5"/>
    <w:rsid w:val="789D5FA3"/>
    <w:rsid w:val="78B11DE7"/>
    <w:rsid w:val="78B74E51"/>
    <w:rsid w:val="78BC6AA1"/>
    <w:rsid w:val="78C23FF4"/>
    <w:rsid w:val="78C53AE4"/>
    <w:rsid w:val="78C737F1"/>
    <w:rsid w:val="78D635FC"/>
    <w:rsid w:val="78DA57B9"/>
    <w:rsid w:val="78F37FD9"/>
    <w:rsid w:val="79002D6F"/>
    <w:rsid w:val="790E7239"/>
    <w:rsid w:val="79112886"/>
    <w:rsid w:val="79190C4D"/>
    <w:rsid w:val="79226D09"/>
    <w:rsid w:val="7925066A"/>
    <w:rsid w:val="792C0369"/>
    <w:rsid w:val="79305723"/>
    <w:rsid w:val="79334EF2"/>
    <w:rsid w:val="79542A76"/>
    <w:rsid w:val="796A1C59"/>
    <w:rsid w:val="796E1A86"/>
    <w:rsid w:val="7979724A"/>
    <w:rsid w:val="79842B92"/>
    <w:rsid w:val="79981665"/>
    <w:rsid w:val="79984D55"/>
    <w:rsid w:val="79B02BFF"/>
    <w:rsid w:val="79B24069"/>
    <w:rsid w:val="79B61120"/>
    <w:rsid w:val="79BB3FE5"/>
    <w:rsid w:val="79BD0D98"/>
    <w:rsid w:val="79C5176F"/>
    <w:rsid w:val="7A0615F6"/>
    <w:rsid w:val="7A16135A"/>
    <w:rsid w:val="7A167146"/>
    <w:rsid w:val="7A1C2659"/>
    <w:rsid w:val="7A1C5982"/>
    <w:rsid w:val="7A2508A9"/>
    <w:rsid w:val="7A290AB6"/>
    <w:rsid w:val="7A323B65"/>
    <w:rsid w:val="7A3306D7"/>
    <w:rsid w:val="7A3F3423"/>
    <w:rsid w:val="7A460D25"/>
    <w:rsid w:val="7A481DF0"/>
    <w:rsid w:val="7A567EF0"/>
    <w:rsid w:val="7A5C5D83"/>
    <w:rsid w:val="7A6277AD"/>
    <w:rsid w:val="7A6835EA"/>
    <w:rsid w:val="7A715CD2"/>
    <w:rsid w:val="7A7728CB"/>
    <w:rsid w:val="7A953818"/>
    <w:rsid w:val="7A957BAA"/>
    <w:rsid w:val="7AA9197D"/>
    <w:rsid w:val="7AB14634"/>
    <w:rsid w:val="7AB31345"/>
    <w:rsid w:val="7AB47DDC"/>
    <w:rsid w:val="7AC65826"/>
    <w:rsid w:val="7ACF6AF1"/>
    <w:rsid w:val="7AEB45F7"/>
    <w:rsid w:val="7AFD57B8"/>
    <w:rsid w:val="7B00756F"/>
    <w:rsid w:val="7B256ABC"/>
    <w:rsid w:val="7B2C7E4B"/>
    <w:rsid w:val="7B412875"/>
    <w:rsid w:val="7B4B600C"/>
    <w:rsid w:val="7B58479C"/>
    <w:rsid w:val="7B7D2454"/>
    <w:rsid w:val="7B9652C4"/>
    <w:rsid w:val="7B9A08EC"/>
    <w:rsid w:val="7B9F3D24"/>
    <w:rsid w:val="7BAF448F"/>
    <w:rsid w:val="7BBA497F"/>
    <w:rsid w:val="7BED2FF3"/>
    <w:rsid w:val="7BED75DA"/>
    <w:rsid w:val="7BEF49C3"/>
    <w:rsid w:val="7C0A2C05"/>
    <w:rsid w:val="7C1879B2"/>
    <w:rsid w:val="7C365845"/>
    <w:rsid w:val="7C370B20"/>
    <w:rsid w:val="7C4F3DF1"/>
    <w:rsid w:val="7C555A34"/>
    <w:rsid w:val="7C60493E"/>
    <w:rsid w:val="7C690A14"/>
    <w:rsid w:val="7C7F7D49"/>
    <w:rsid w:val="7CAE09CB"/>
    <w:rsid w:val="7CB61980"/>
    <w:rsid w:val="7CB8291D"/>
    <w:rsid w:val="7CC07A8E"/>
    <w:rsid w:val="7CD03434"/>
    <w:rsid w:val="7CE83F96"/>
    <w:rsid w:val="7CFD384D"/>
    <w:rsid w:val="7D01473A"/>
    <w:rsid w:val="7D086B79"/>
    <w:rsid w:val="7D175464"/>
    <w:rsid w:val="7D1818A6"/>
    <w:rsid w:val="7D2A2168"/>
    <w:rsid w:val="7D300BC9"/>
    <w:rsid w:val="7D3D1E9B"/>
    <w:rsid w:val="7D3D633F"/>
    <w:rsid w:val="7D491781"/>
    <w:rsid w:val="7D495CA8"/>
    <w:rsid w:val="7D4C2883"/>
    <w:rsid w:val="7D5B0B3A"/>
    <w:rsid w:val="7D603249"/>
    <w:rsid w:val="7D627B54"/>
    <w:rsid w:val="7D66553F"/>
    <w:rsid w:val="7D882FD3"/>
    <w:rsid w:val="7D8B7BCC"/>
    <w:rsid w:val="7DC10E09"/>
    <w:rsid w:val="7DCB6E8A"/>
    <w:rsid w:val="7DE20FA2"/>
    <w:rsid w:val="7DF05160"/>
    <w:rsid w:val="7DF34C50"/>
    <w:rsid w:val="7DFE03FA"/>
    <w:rsid w:val="7DFF847D"/>
    <w:rsid w:val="7E1614A0"/>
    <w:rsid w:val="7E3A287F"/>
    <w:rsid w:val="7E4869DF"/>
    <w:rsid w:val="7E486D4A"/>
    <w:rsid w:val="7E63122D"/>
    <w:rsid w:val="7E737A61"/>
    <w:rsid w:val="7E7D54BB"/>
    <w:rsid w:val="7E894219"/>
    <w:rsid w:val="7E8A476F"/>
    <w:rsid w:val="7E8C6F00"/>
    <w:rsid w:val="7E953CD4"/>
    <w:rsid w:val="7EAC7030"/>
    <w:rsid w:val="7EBB42CC"/>
    <w:rsid w:val="7EC363D0"/>
    <w:rsid w:val="7EC46834"/>
    <w:rsid w:val="7EC531C6"/>
    <w:rsid w:val="7EFE4F4F"/>
    <w:rsid w:val="7F0C19DE"/>
    <w:rsid w:val="7F1447AA"/>
    <w:rsid w:val="7F151DEC"/>
    <w:rsid w:val="7F343527"/>
    <w:rsid w:val="7F431B5D"/>
    <w:rsid w:val="7F636521"/>
    <w:rsid w:val="7F7B42E3"/>
    <w:rsid w:val="7F806779"/>
    <w:rsid w:val="7F86199E"/>
    <w:rsid w:val="7F9F35D5"/>
    <w:rsid w:val="7FB813D1"/>
    <w:rsid w:val="7FBF7A36"/>
    <w:rsid w:val="7FC306CA"/>
    <w:rsid w:val="7FD1331A"/>
    <w:rsid w:val="7FD840FD"/>
    <w:rsid w:val="7FE75BBB"/>
    <w:rsid w:val="7FFB603E"/>
    <w:rsid w:val="7FFF576D"/>
    <w:rsid w:val="B3BB9137"/>
    <w:rsid w:val="BAF2CA65"/>
    <w:rsid w:val="BDDEB39B"/>
    <w:rsid w:val="BF2E2F81"/>
    <w:rsid w:val="BFFFFBCA"/>
    <w:rsid w:val="DF6AE0D6"/>
    <w:rsid w:val="ED67D415"/>
    <w:rsid w:val="EFF2FA1D"/>
    <w:rsid w:val="FB5CF496"/>
    <w:rsid w:val="FBBD8BFE"/>
    <w:rsid w:val="FF4CA0A5"/>
    <w:rsid w:val="FFAF1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6"/>
    <w:qFormat/>
    <w:uiPriority w:val="0"/>
    <w:pPr>
      <w:keepNext/>
      <w:keepLines/>
      <w:spacing w:line="578" w:lineRule="auto"/>
      <w:outlineLvl w:val="0"/>
    </w:pPr>
    <w:rPr>
      <w:b/>
      <w:bCs/>
      <w:kern w:val="44"/>
      <w:sz w:val="44"/>
      <w:szCs w:val="44"/>
    </w:rPr>
  </w:style>
  <w:style w:type="paragraph" w:styleId="5">
    <w:name w:val="heading 2"/>
    <w:basedOn w:val="1"/>
    <w:next w:val="1"/>
    <w:link w:val="57"/>
    <w:qFormat/>
    <w:uiPriority w:val="0"/>
    <w:pPr>
      <w:keepNext/>
      <w:keepLines/>
      <w:spacing w:line="416" w:lineRule="auto"/>
      <w:outlineLvl w:val="1"/>
    </w:pPr>
    <w:rPr>
      <w:rFonts w:ascii="Arial" w:hAnsi="Arial"/>
      <w:b/>
      <w:bCs/>
      <w:sz w:val="24"/>
      <w:szCs w:val="32"/>
    </w:rPr>
  </w:style>
  <w:style w:type="paragraph" w:styleId="6">
    <w:name w:val="heading 3"/>
    <w:basedOn w:val="1"/>
    <w:next w:val="1"/>
    <w:link w:val="58"/>
    <w:qFormat/>
    <w:uiPriority w:val="0"/>
    <w:pPr>
      <w:keepNext/>
      <w:keepLines/>
      <w:spacing w:before="70" w:beforeLines="70" w:after="50" w:afterLines="50" w:line="360" w:lineRule="auto"/>
      <w:outlineLvl w:val="2"/>
    </w:pPr>
    <w:rPr>
      <w:b/>
      <w:bCs/>
      <w:sz w:val="24"/>
      <w:szCs w:val="32"/>
    </w:rPr>
  </w:style>
  <w:style w:type="paragraph" w:styleId="7">
    <w:name w:val="heading 4"/>
    <w:basedOn w:val="1"/>
    <w:next w:val="1"/>
    <w:link w:val="59"/>
    <w:qFormat/>
    <w:uiPriority w:val="0"/>
    <w:pPr>
      <w:keepNext/>
      <w:keepLines/>
      <w:spacing w:line="376" w:lineRule="auto"/>
      <w:outlineLvl w:val="3"/>
    </w:pPr>
    <w:rPr>
      <w:rFonts w:ascii="Arial" w:hAnsi="Arial" w:eastAsia="黑体"/>
      <w:b/>
      <w:bCs/>
      <w:sz w:val="28"/>
      <w:szCs w:val="28"/>
    </w:rPr>
  </w:style>
  <w:style w:type="paragraph" w:styleId="8">
    <w:name w:val="heading 5"/>
    <w:basedOn w:val="1"/>
    <w:next w:val="1"/>
    <w:qFormat/>
    <w:uiPriority w:val="0"/>
    <w:pPr>
      <w:keepNext/>
      <w:keepLines/>
      <w:spacing w:line="372" w:lineRule="auto"/>
      <w:outlineLvl w:val="4"/>
    </w:pPr>
    <w:rPr>
      <w:b/>
      <w:sz w:val="28"/>
    </w:rPr>
  </w:style>
  <w:style w:type="paragraph" w:styleId="9">
    <w:name w:val="heading 6"/>
    <w:basedOn w:val="1"/>
    <w:next w:val="1"/>
    <w:qFormat/>
    <w:uiPriority w:val="0"/>
    <w:pPr>
      <w:keepNext/>
      <w:keepLines/>
      <w:widowControl/>
      <w:tabs>
        <w:tab w:val="left" w:pos="1440"/>
      </w:tabs>
      <w:spacing w:line="320" w:lineRule="auto"/>
      <w:ind w:left="1152" w:hanging="1152"/>
      <w:jc w:val="left"/>
      <w:outlineLvl w:val="5"/>
    </w:pPr>
    <w:rPr>
      <w:rFonts w:ascii="Arial" w:hAnsi="Arial" w:eastAsia="黑体"/>
      <w:b/>
      <w:bCs/>
      <w:sz w:val="24"/>
    </w:rPr>
  </w:style>
  <w:style w:type="paragraph" w:styleId="10">
    <w:name w:val="heading 8"/>
    <w:basedOn w:val="1"/>
    <w:next w:val="1"/>
    <w:qFormat/>
    <w:uiPriority w:val="0"/>
    <w:pPr>
      <w:keepNext/>
      <w:keepLines/>
      <w:numPr>
        <w:ilvl w:val="7"/>
        <w:numId w:val="1"/>
      </w:numPr>
      <w:spacing w:line="312" w:lineRule="auto"/>
      <w:outlineLvl w:val="7"/>
    </w:pPr>
    <w:rPr>
      <w:rFonts w:ascii="Arial" w:hAnsi="Arial" w:eastAsia="黑体"/>
      <w:kern w:val="0"/>
      <w:sz w:val="24"/>
      <w:szCs w:val="20"/>
    </w:rPr>
  </w:style>
  <w:style w:type="paragraph" w:styleId="11">
    <w:name w:val="heading 9"/>
    <w:basedOn w:val="1"/>
    <w:next w:val="1"/>
    <w:qFormat/>
    <w:uiPriority w:val="0"/>
    <w:pPr>
      <w:ind w:left="438"/>
      <w:outlineLvl w:val="8"/>
    </w:pPr>
    <w:rPr>
      <w:rFonts w:ascii="Noto Sans Mono CJK JP Regular" w:hAnsi="Noto Sans Mono CJK JP Regular" w:eastAsia="Times New Roman" w:cs="Noto Sans Mono CJK JP Regular"/>
      <w:sz w:val="24"/>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link w:val="62"/>
    <w:qFormat/>
    <w:uiPriority w:val="0"/>
  </w:style>
  <w:style w:type="paragraph" w:styleId="12">
    <w:name w:val="toc 7"/>
    <w:basedOn w:val="1"/>
    <w:next w:val="1"/>
    <w:semiHidden/>
    <w:qFormat/>
    <w:uiPriority w:val="0"/>
    <w:pPr>
      <w:ind w:left="2520" w:leftChars="1200"/>
    </w:pPr>
    <w:rPr>
      <w:rFonts w:ascii="Calibri" w:hAnsi="Calibri"/>
      <w:szCs w:val="22"/>
    </w:rPr>
  </w:style>
  <w:style w:type="paragraph" w:styleId="13">
    <w:name w:val="Normal Indent"/>
    <w:basedOn w:val="1"/>
    <w:qFormat/>
    <w:uiPriority w:val="0"/>
    <w:pPr>
      <w:ind w:firstLine="420" w:firstLineChars="200"/>
    </w:pPr>
  </w:style>
  <w:style w:type="paragraph" w:styleId="14">
    <w:name w:val="List Bullet"/>
    <w:basedOn w:val="1"/>
    <w:qFormat/>
    <w:uiPriority w:val="0"/>
    <w:pPr>
      <w:numPr>
        <w:ilvl w:val="0"/>
        <w:numId w:val="2"/>
      </w:numPr>
      <w:tabs>
        <w:tab w:val="left" w:pos="360"/>
      </w:tabs>
    </w:pPr>
  </w:style>
  <w:style w:type="paragraph" w:styleId="15">
    <w:name w:val="Document Map"/>
    <w:basedOn w:val="1"/>
    <w:semiHidden/>
    <w:qFormat/>
    <w:uiPriority w:val="0"/>
    <w:pPr>
      <w:shd w:val="clear" w:color="auto" w:fill="000080"/>
    </w:pPr>
  </w:style>
  <w:style w:type="paragraph" w:styleId="16">
    <w:name w:val="annotation text"/>
    <w:basedOn w:val="1"/>
    <w:link w:val="60"/>
    <w:semiHidden/>
    <w:qFormat/>
    <w:uiPriority w:val="0"/>
    <w:pPr>
      <w:jc w:val="left"/>
    </w:pPr>
  </w:style>
  <w:style w:type="paragraph" w:styleId="17">
    <w:name w:val="Body Text 3"/>
    <w:basedOn w:val="1"/>
    <w:link w:val="61"/>
    <w:qFormat/>
    <w:uiPriority w:val="0"/>
    <w:rPr>
      <w:rFonts w:ascii="宋体"/>
      <w:sz w:val="24"/>
    </w:rPr>
  </w:style>
  <w:style w:type="paragraph" w:styleId="18">
    <w:name w:val="Body Text Indent"/>
    <w:basedOn w:val="1"/>
    <w:next w:val="19"/>
    <w:qFormat/>
    <w:uiPriority w:val="0"/>
    <w:pPr>
      <w:spacing w:after="120"/>
      <w:ind w:left="420" w:leftChars="200"/>
    </w:pPr>
  </w:style>
  <w:style w:type="paragraph" w:styleId="19">
    <w:name w:val="envelope return"/>
    <w:basedOn w:val="1"/>
    <w:qFormat/>
    <w:uiPriority w:val="0"/>
    <w:pPr>
      <w:snapToGrid w:val="0"/>
    </w:pPr>
    <w:rPr>
      <w:rFonts w:ascii="Arial" w:hAnsi="Arial"/>
    </w:rPr>
  </w:style>
  <w:style w:type="paragraph" w:styleId="20">
    <w:name w:val="index 4"/>
    <w:basedOn w:val="1"/>
    <w:next w:val="1"/>
    <w:semiHidden/>
    <w:qFormat/>
    <w:uiPriority w:val="0"/>
    <w:pPr>
      <w:ind w:left="600" w:leftChars="600"/>
    </w:pPr>
  </w:style>
  <w:style w:type="paragraph" w:styleId="21">
    <w:name w:val="toc 5"/>
    <w:basedOn w:val="1"/>
    <w:next w:val="1"/>
    <w:link w:val="63"/>
    <w:semiHidden/>
    <w:qFormat/>
    <w:uiPriority w:val="0"/>
    <w:pPr>
      <w:ind w:left="1680" w:leftChars="800"/>
    </w:pPr>
    <w:rPr>
      <w:rFonts w:ascii="Calibri" w:hAnsi="Calibri"/>
      <w:kern w:val="0"/>
      <w:sz w:val="20"/>
      <w:szCs w:val="22"/>
    </w:rPr>
  </w:style>
  <w:style w:type="paragraph" w:styleId="22">
    <w:name w:val="toc 3"/>
    <w:basedOn w:val="1"/>
    <w:next w:val="1"/>
    <w:semiHidden/>
    <w:qFormat/>
    <w:uiPriority w:val="0"/>
    <w:pPr>
      <w:ind w:left="840" w:leftChars="400"/>
    </w:pPr>
  </w:style>
  <w:style w:type="paragraph" w:styleId="23">
    <w:name w:val="Plain Text"/>
    <w:basedOn w:val="1"/>
    <w:next w:val="1"/>
    <w:qFormat/>
    <w:uiPriority w:val="0"/>
    <w:rPr>
      <w:rFonts w:ascii="宋体" w:hAnsi="Courier New"/>
      <w:szCs w:val="20"/>
    </w:rPr>
  </w:style>
  <w:style w:type="paragraph" w:styleId="24">
    <w:name w:val="toc 8"/>
    <w:basedOn w:val="1"/>
    <w:next w:val="1"/>
    <w:semiHidden/>
    <w:qFormat/>
    <w:uiPriority w:val="0"/>
    <w:pPr>
      <w:ind w:left="2940" w:leftChars="1400"/>
    </w:pPr>
    <w:rPr>
      <w:rFonts w:ascii="Calibri" w:hAnsi="Calibri"/>
      <w:szCs w:val="22"/>
    </w:rPr>
  </w:style>
  <w:style w:type="paragraph" w:styleId="25">
    <w:name w:val="index 3"/>
    <w:basedOn w:val="1"/>
    <w:next w:val="1"/>
    <w:semiHidden/>
    <w:qFormat/>
    <w:uiPriority w:val="0"/>
    <w:pPr>
      <w:ind w:left="400" w:leftChars="400"/>
    </w:pPr>
  </w:style>
  <w:style w:type="paragraph" w:styleId="26">
    <w:name w:val="Date"/>
    <w:basedOn w:val="1"/>
    <w:next w:val="1"/>
    <w:qFormat/>
    <w:uiPriority w:val="0"/>
    <w:pPr>
      <w:ind w:left="100" w:leftChars="2500"/>
    </w:pPr>
  </w:style>
  <w:style w:type="paragraph" w:styleId="27">
    <w:name w:val="endnote text"/>
    <w:basedOn w:val="1"/>
    <w:semiHidden/>
    <w:qFormat/>
    <w:uiPriority w:val="0"/>
    <w:pPr>
      <w:snapToGrid w:val="0"/>
      <w:jc w:val="left"/>
    </w:pPr>
  </w:style>
  <w:style w:type="paragraph" w:styleId="28">
    <w:name w:val="Balloon Text"/>
    <w:basedOn w:val="1"/>
    <w:semiHidden/>
    <w:qFormat/>
    <w:uiPriority w:val="0"/>
    <w:rPr>
      <w:sz w:val="18"/>
      <w:szCs w:val="18"/>
    </w:rPr>
  </w:style>
  <w:style w:type="paragraph" w:styleId="29">
    <w:name w:val="footer"/>
    <w:basedOn w:val="1"/>
    <w:link w:val="64"/>
    <w:qFormat/>
    <w:uiPriority w:val="0"/>
    <w:pPr>
      <w:tabs>
        <w:tab w:val="center" w:pos="4153"/>
        <w:tab w:val="right" w:pos="8306"/>
      </w:tabs>
      <w:snapToGrid w:val="0"/>
      <w:jc w:val="left"/>
    </w:pPr>
    <w:rPr>
      <w:sz w:val="18"/>
      <w:szCs w:val="18"/>
    </w:rPr>
  </w:style>
  <w:style w:type="paragraph" w:styleId="3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semiHidden/>
    <w:qFormat/>
    <w:uiPriority w:val="0"/>
  </w:style>
  <w:style w:type="paragraph" w:styleId="32">
    <w:name w:val="toc 4"/>
    <w:basedOn w:val="1"/>
    <w:next w:val="1"/>
    <w:semiHidden/>
    <w:qFormat/>
    <w:uiPriority w:val="0"/>
    <w:pPr>
      <w:ind w:left="1260" w:leftChars="600"/>
    </w:pPr>
    <w:rPr>
      <w:rFonts w:ascii="Calibri" w:hAnsi="Calibri"/>
      <w:szCs w:val="22"/>
    </w:rPr>
  </w:style>
  <w:style w:type="paragraph" w:styleId="33">
    <w:name w:val="Subtitle"/>
    <w:basedOn w:val="1"/>
    <w:next w:val="1"/>
    <w:link w:val="65"/>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66"/>
    <w:semiHidden/>
    <w:qFormat/>
    <w:uiPriority w:val="0"/>
    <w:pPr>
      <w:snapToGrid w:val="0"/>
      <w:jc w:val="left"/>
    </w:pPr>
    <w:rPr>
      <w:sz w:val="18"/>
      <w:szCs w:val="18"/>
    </w:rPr>
  </w:style>
  <w:style w:type="paragraph" w:styleId="35">
    <w:name w:val="toc 6"/>
    <w:basedOn w:val="1"/>
    <w:next w:val="1"/>
    <w:semiHidden/>
    <w:qFormat/>
    <w:uiPriority w:val="0"/>
    <w:pPr>
      <w:ind w:left="2100" w:leftChars="1000"/>
    </w:pPr>
    <w:rPr>
      <w:rFonts w:ascii="Calibri" w:hAnsi="Calibri"/>
      <w:szCs w:val="22"/>
    </w:rPr>
  </w:style>
  <w:style w:type="paragraph" w:styleId="36">
    <w:name w:val="toc 2"/>
    <w:basedOn w:val="1"/>
    <w:next w:val="1"/>
    <w:semiHidden/>
    <w:qFormat/>
    <w:uiPriority w:val="0"/>
    <w:pPr>
      <w:ind w:left="420" w:leftChars="200"/>
    </w:pPr>
  </w:style>
  <w:style w:type="paragraph" w:styleId="37">
    <w:name w:val="toc 9"/>
    <w:basedOn w:val="1"/>
    <w:next w:val="1"/>
    <w:semiHidden/>
    <w:qFormat/>
    <w:uiPriority w:val="0"/>
    <w:pPr>
      <w:ind w:left="3360" w:leftChars="1600"/>
    </w:pPr>
    <w:rPr>
      <w:rFonts w:ascii="Calibri" w:hAnsi="Calibri"/>
      <w:szCs w:val="22"/>
    </w:rPr>
  </w:style>
  <w:style w:type="paragraph" w:styleId="38">
    <w:name w:val="Body Text 2"/>
    <w:basedOn w:val="1"/>
    <w:next w:val="3"/>
    <w:qFormat/>
    <w:uiPriority w:val="0"/>
    <w:pPr>
      <w:spacing w:line="500" w:lineRule="exact"/>
    </w:pPr>
  </w:style>
  <w:style w:type="paragraph" w:styleId="39">
    <w:name w:val="Normal (Web)"/>
    <w:basedOn w:val="1"/>
    <w:qFormat/>
    <w:uiPriority w:val="0"/>
    <w:pPr>
      <w:spacing w:beforeAutospacing="1" w:afterAutospacing="1"/>
      <w:jc w:val="left"/>
    </w:pPr>
    <w:rPr>
      <w:kern w:val="0"/>
      <w:sz w:val="24"/>
    </w:rPr>
  </w:style>
  <w:style w:type="paragraph" w:styleId="40">
    <w:name w:val="index 1"/>
    <w:basedOn w:val="1"/>
    <w:next w:val="1"/>
    <w:semiHidden/>
    <w:qFormat/>
    <w:uiPriority w:val="0"/>
  </w:style>
  <w:style w:type="paragraph" w:styleId="41">
    <w:name w:val="index 2"/>
    <w:basedOn w:val="1"/>
    <w:next w:val="1"/>
    <w:semiHidden/>
    <w:qFormat/>
    <w:uiPriority w:val="0"/>
    <w:pPr>
      <w:ind w:left="200" w:leftChars="200"/>
    </w:pPr>
  </w:style>
  <w:style w:type="paragraph" w:styleId="42">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3">
    <w:name w:val="annotation subject"/>
    <w:basedOn w:val="16"/>
    <w:next w:val="16"/>
    <w:link w:val="67"/>
    <w:semiHidden/>
    <w:qFormat/>
    <w:uiPriority w:val="0"/>
    <w:rPr>
      <w:b/>
      <w:bCs/>
    </w:rPr>
  </w:style>
  <w:style w:type="paragraph" w:styleId="44">
    <w:name w:val="Body Text First Indent 2"/>
    <w:basedOn w:val="18"/>
    <w:next w:val="1"/>
    <w:qFormat/>
    <w:uiPriority w:val="0"/>
    <w:pPr>
      <w:ind w:left="0" w:leftChars="0" w:firstLine="960" w:firstLineChars="200"/>
    </w:pPr>
    <w:rPr>
      <w:kern w:val="0"/>
      <w:sz w:val="24"/>
      <w:szCs w:val="20"/>
    </w:r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rFonts w:cs="Times New Roman"/>
      <w:b/>
    </w:rPr>
  </w:style>
  <w:style w:type="character" w:styleId="49">
    <w:name w:val="endnote reference"/>
    <w:semiHidden/>
    <w:qFormat/>
    <w:uiPriority w:val="0"/>
    <w:rPr>
      <w:rFonts w:cs="Times New Roman"/>
      <w:vertAlign w:val="superscript"/>
    </w:rPr>
  </w:style>
  <w:style w:type="character" w:styleId="50">
    <w:name w:val="page number"/>
    <w:qFormat/>
    <w:uiPriority w:val="0"/>
    <w:rPr>
      <w:rFonts w:cs="Times New Roman"/>
    </w:rPr>
  </w:style>
  <w:style w:type="character" w:styleId="51">
    <w:name w:val="FollowedHyperlink"/>
    <w:qFormat/>
    <w:uiPriority w:val="0"/>
    <w:rPr>
      <w:rFonts w:cs="Times New Roman"/>
      <w:color w:val="333333"/>
      <w:sz w:val="18"/>
      <w:szCs w:val="18"/>
      <w:u w:val="single"/>
    </w:rPr>
  </w:style>
  <w:style w:type="character" w:styleId="52">
    <w:name w:val="Hyperlink"/>
    <w:qFormat/>
    <w:uiPriority w:val="0"/>
    <w:rPr>
      <w:rFonts w:cs="Times New Roman"/>
      <w:color w:val="333333"/>
      <w:sz w:val="18"/>
      <w:szCs w:val="18"/>
      <w:u w:val="single"/>
    </w:rPr>
  </w:style>
  <w:style w:type="character" w:styleId="53">
    <w:name w:val="annotation reference"/>
    <w:semiHidden/>
    <w:qFormat/>
    <w:uiPriority w:val="0"/>
    <w:rPr>
      <w:rFonts w:cs="Times New Roman"/>
      <w:sz w:val="21"/>
      <w:szCs w:val="21"/>
    </w:rPr>
  </w:style>
  <w:style w:type="character" w:styleId="54">
    <w:name w:val="footnote reference"/>
    <w:semiHidden/>
    <w:qFormat/>
    <w:uiPriority w:val="0"/>
    <w:rPr>
      <w:rFonts w:cs="Times New Roman"/>
      <w:vertAlign w:val="superscript"/>
    </w:rPr>
  </w:style>
  <w:style w:type="paragraph" w:customStyle="1" w:styleId="55">
    <w:name w:val="正文正"/>
    <w:basedOn w:val="1"/>
    <w:qFormat/>
    <w:uiPriority w:val="0"/>
    <w:pPr>
      <w:spacing w:line="560" w:lineRule="exact"/>
      <w:ind w:firstLine="561"/>
    </w:pPr>
    <w:rPr>
      <w:rFonts w:ascii="Calibri" w:hAnsi="Calibri" w:cs="Calibri"/>
      <w:sz w:val="28"/>
      <w:szCs w:val="28"/>
    </w:rPr>
  </w:style>
  <w:style w:type="character" w:customStyle="1" w:styleId="56">
    <w:name w:val="标题 1 字符"/>
    <w:link w:val="4"/>
    <w:qFormat/>
    <w:locked/>
    <w:uiPriority w:val="0"/>
    <w:rPr>
      <w:b/>
      <w:kern w:val="44"/>
      <w:sz w:val="44"/>
    </w:rPr>
  </w:style>
  <w:style w:type="character" w:customStyle="1" w:styleId="57">
    <w:name w:val="标题 2 字符"/>
    <w:link w:val="5"/>
    <w:qFormat/>
    <w:locked/>
    <w:uiPriority w:val="0"/>
    <w:rPr>
      <w:rFonts w:ascii="Arial" w:hAnsi="Arial" w:eastAsia="宋体" w:cs="Times New Roman"/>
      <w:b/>
      <w:bCs/>
      <w:kern w:val="2"/>
      <w:sz w:val="24"/>
      <w:szCs w:val="32"/>
      <w:lang w:val="en-US" w:eastAsia="zh-CN" w:bidi="ar-SA"/>
    </w:rPr>
  </w:style>
  <w:style w:type="character" w:customStyle="1" w:styleId="58">
    <w:name w:val="标题 3 字符"/>
    <w:link w:val="6"/>
    <w:qFormat/>
    <w:locked/>
    <w:uiPriority w:val="0"/>
    <w:rPr>
      <w:rFonts w:ascii="Times New Roman" w:hAnsi="Times New Roman" w:eastAsia="宋体" w:cs="Times New Roman"/>
      <w:b/>
      <w:bCs/>
      <w:kern w:val="2"/>
      <w:sz w:val="24"/>
      <w:szCs w:val="32"/>
      <w:lang w:val="en-US" w:eastAsia="zh-CN" w:bidi="ar-SA"/>
    </w:rPr>
  </w:style>
  <w:style w:type="character" w:customStyle="1" w:styleId="59">
    <w:name w:val="标题 4 字符"/>
    <w:link w:val="7"/>
    <w:qFormat/>
    <w:locked/>
    <w:uiPriority w:val="0"/>
    <w:rPr>
      <w:rFonts w:ascii="Arial" w:hAnsi="Arial" w:eastAsia="黑体" w:cs="Times New Roman"/>
      <w:b/>
      <w:bCs/>
      <w:kern w:val="2"/>
      <w:sz w:val="28"/>
      <w:szCs w:val="28"/>
      <w:lang w:val="en-US" w:eastAsia="zh-CN" w:bidi="ar-SA"/>
    </w:rPr>
  </w:style>
  <w:style w:type="character" w:customStyle="1" w:styleId="60">
    <w:name w:val="批注文字 字符"/>
    <w:link w:val="16"/>
    <w:qFormat/>
    <w:locked/>
    <w:uiPriority w:val="0"/>
    <w:rPr>
      <w:rFonts w:cs="Times New Roman"/>
      <w:kern w:val="2"/>
      <w:sz w:val="24"/>
      <w:szCs w:val="24"/>
    </w:rPr>
  </w:style>
  <w:style w:type="character" w:customStyle="1" w:styleId="61">
    <w:name w:val="正文文本 3 字符"/>
    <w:link w:val="17"/>
    <w:qFormat/>
    <w:locked/>
    <w:uiPriority w:val="0"/>
    <w:rPr>
      <w:rFonts w:ascii="宋体" w:eastAsia="宋体" w:cs="Times New Roman"/>
      <w:kern w:val="2"/>
      <w:sz w:val="24"/>
      <w:lang w:val="en-US" w:eastAsia="zh-CN" w:bidi="ar-SA"/>
    </w:rPr>
  </w:style>
  <w:style w:type="character" w:customStyle="1" w:styleId="62">
    <w:name w:val="正文文本 字符"/>
    <w:link w:val="3"/>
    <w:qFormat/>
    <w:locked/>
    <w:uiPriority w:val="0"/>
    <w:rPr>
      <w:rFonts w:eastAsia="宋体" w:cs="Times New Roman"/>
      <w:kern w:val="2"/>
      <w:sz w:val="24"/>
      <w:szCs w:val="24"/>
      <w:lang w:val="en-US" w:eastAsia="zh-CN" w:bidi="ar-SA"/>
    </w:rPr>
  </w:style>
  <w:style w:type="character" w:customStyle="1" w:styleId="63">
    <w:name w:val="TOC 5 字符"/>
    <w:link w:val="21"/>
    <w:qFormat/>
    <w:locked/>
    <w:uiPriority w:val="0"/>
    <w:rPr>
      <w:rFonts w:ascii="Calibri" w:hAnsi="Calibri" w:eastAsia="宋体"/>
      <w:sz w:val="22"/>
    </w:rPr>
  </w:style>
  <w:style w:type="character" w:customStyle="1" w:styleId="64">
    <w:name w:val="页脚 字符"/>
    <w:link w:val="29"/>
    <w:qFormat/>
    <w:locked/>
    <w:uiPriority w:val="0"/>
    <w:rPr>
      <w:rFonts w:cs="Times New Roman"/>
      <w:kern w:val="2"/>
      <w:sz w:val="18"/>
      <w:szCs w:val="18"/>
    </w:rPr>
  </w:style>
  <w:style w:type="character" w:customStyle="1" w:styleId="65">
    <w:name w:val="副标题 字符"/>
    <w:link w:val="33"/>
    <w:qFormat/>
    <w:locked/>
    <w:uiPriority w:val="0"/>
    <w:rPr>
      <w:rFonts w:ascii="Cambria" w:hAnsi="Cambria" w:cs="Times New Roman"/>
      <w:b/>
      <w:bCs/>
      <w:kern w:val="28"/>
      <w:sz w:val="32"/>
      <w:szCs w:val="32"/>
    </w:rPr>
  </w:style>
  <w:style w:type="character" w:customStyle="1" w:styleId="66">
    <w:name w:val="脚注文本 字符"/>
    <w:link w:val="34"/>
    <w:qFormat/>
    <w:locked/>
    <w:uiPriority w:val="0"/>
    <w:rPr>
      <w:rFonts w:cs="Times New Roman"/>
      <w:kern w:val="2"/>
      <w:sz w:val="18"/>
      <w:szCs w:val="18"/>
    </w:rPr>
  </w:style>
  <w:style w:type="character" w:customStyle="1" w:styleId="67">
    <w:name w:val="批注主题 字符"/>
    <w:link w:val="43"/>
    <w:qFormat/>
    <w:locked/>
    <w:uiPriority w:val="0"/>
  </w:style>
  <w:style w:type="paragraph" w:customStyle="1" w:styleId="68">
    <w:name w:val="正文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9">
    <w:name w:val="Normal Indent1"/>
    <w:basedOn w:val="1"/>
    <w:qFormat/>
    <w:uiPriority w:val="0"/>
    <w:pPr>
      <w:widowControl/>
      <w:spacing w:line="360" w:lineRule="auto"/>
      <w:ind w:firstLine="420"/>
      <w:jc w:val="left"/>
    </w:pPr>
    <w:rPr>
      <w:rFonts w:ascii="宋体"/>
      <w:kern w:val="0"/>
      <w:sz w:val="20"/>
      <w:szCs w:val="20"/>
    </w:rPr>
  </w:style>
  <w:style w:type="paragraph" w:customStyle="1" w:styleId="70">
    <w:name w:val="样式 宋体 行距: 1.5 倍行距"/>
    <w:basedOn w:val="71"/>
    <w:next w:val="1"/>
    <w:qFormat/>
    <w:uiPriority w:val="0"/>
    <w:pPr>
      <w:jc w:val="center"/>
    </w:pPr>
    <w:rPr>
      <w:b/>
    </w:rPr>
  </w:style>
  <w:style w:type="paragraph" w:customStyle="1" w:styleId="7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70"/>
    <w:qFormat/>
    <w:uiPriority w:val="0"/>
    <w:pPr>
      <w:widowControl w:val="0"/>
      <w:jc w:val="both"/>
    </w:pPr>
    <w:rPr>
      <w:rFonts w:ascii="Calibri" w:hAnsi="Calibri" w:eastAsia="宋体" w:cs="黑体"/>
      <w:kern w:val="2"/>
      <w:sz w:val="21"/>
      <w:szCs w:val="24"/>
      <w:lang w:val="en-US" w:eastAsia="zh-CN" w:bidi="ar-SA"/>
    </w:rPr>
  </w:style>
  <w:style w:type="paragraph" w:customStyle="1" w:styleId="72">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70"/>
    <w:qFormat/>
    <w:uiPriority w:val="0"/>
    <w:pPr>
      <w:widowControl w:val="0"/>
      <w:jc w:val="both"/>
    </w:pPr>
    <w:rPr>
      <w:rFonts w:ascii="Calibri" w:hAnsi="Calibri" w:eastAsia="宋体" w:cs="黑体"/>
      <w:kern w:val="2"/>
      <w:sz w:val="21"/>
      <w:szCs w:val="24"/>
      <w:lang w:val="en-US" w:eastAsia="zh-CN" w:bidi="ar-SA"/>
    </w:rPr>
  </w:style>
  <w:style w:type="character" w:customStyle="1" w:styleId="73">
    <w:name w:val="样式 标题 2 + Times New Roman 四号 非加粗 段前: 5 磅 段后: 0 磅 行距: 固定值 20... Char"/>
    <w:link w:val="74"/>
    <w:qFormat/>
    <w:locked/>
    <w:uiPriority w:val="0"/>
    <w:rPr>
      <w:rFonts w:ascii="Times New Roman" w:hAnsi="Times New Roman"/>
      <w:b/>
      <w:sz w:val="20"/>
    </w:rPr>
  </w:style>
  <w:style w:type="paragraph" w:customStyle="1" w:styleId="74">
    <w:name w:val="样式 标题 2 + Times New Roman 四号 非加粗 段前: 5 磅 段后: 0 磅 行距: 固定值 20..."/>
    <w:basedOn w:val="5"/>
    <w:next w:val="1"/>
    <w:link w:val="73"/>
    <w:qFormat/>
    <w:uiPriority w:val="0"/>
    <w:pPr>
      <w:spacing w:line="400" w:lineRule="exact"/>
    </w:pPr>
    <w:rPr>
      <w:rFonts w:ascii="Times New Roman" w:hAnsi="Times New Roman"/>
      <w:kern w:val="0"/>
      <w:sz w:val="28"/>
      <w:szCs w:val="20"/>
    </w:rPr>
  </w:style>
  <w:style w:type="character" w:customStyle="1" w:styleId="75">
    <w:name w:val="hover37"/>
    <w:qFormat/>
    <w:uiPriority w:val="0"/>
    <w:rPr>
      <w:rFonts w:cs="Times New Roman"/>
    </w:rPr>
  </w:style>
  <w:style w:type="character" w:customStyle="1" w:styleId="76">
    <w:name w:val="正文文本 (2) + 10 pt37"/>
    <w:qFormat/>
    <w:uiPriority w:val="0"/>
    <w:rPr>
      <w:rFonts w:ascii="MingLiU" w:eastAsia="MingLiU"/>
      <w:spacing w:val="0"/>
      <w:sz w:val="20"/>
      <w:u w:val="none"/>
    </w:rPr>
  </w:style>
  <w:style w:type="character" w:customStyle="1" w:styleId="77">
    <w:name w:val="页码1"/>
    <w:qFormat/>
    <w:uiPriority w:val="0"/>
    <w:rPr>
      <w:rFonts w:cs="Times New Roman"/>
    </w:rPr>
  </w:style>
  <w:style w:type="character" w:customStyle="1" w:styleId="78">
    <w:name w:val="Char Char17"/>
    <w:qFormat/>
    <w:uiPriority w:val="0"/>
    <w:rPr>
      <w:rFonts w:ascii="Times New Roman" w:hAnsi="Times New Roman" w:eastAsia="宋体" w:cs="Times New Roman"/>
      <w:b/>
      <w:bCs/>
      <w:kern w:val="44"/>
      <w:sz w:val="44"/>
      <w:szCs w:val="44"/>
    </w:rPr>
  </w:style>
  <w:style w:type="character" w:customStyle="1" w:styleId="79">
    <w:name w:val="NormalCharacter"/>
    <w:semiHidden/>
    <w:qFormat/>
    <w:uiPriority w:val="0"/>
  </w:style>
  <w:style w:type="character" w:customStyle="1" w:styleId="80">
    <w:name w:val="style2"/>
    <w:qFormat/>
    <w:uiPriority w:val="0"/>
    <w:rPr>
      <w:rFonts w:cs="Times New Roman"/>
    </w:rPr>
  </w:style>
  <w:style w:type="character" w:customStyle="1" w:styleId="81">
    <w:name w:val="标题 1 Char Char New"/>
    <w:link w:val="82"/>
    <w:qFormat/>
    <w:locked/>
    <w:uiPriority w:val="0"/>
    <w:rPr>
      <w:rFonts w:ascii="Times New Roman" w:hAnsi="Times New Roman"/>
      <w:b/>
      <w:kern w:val="44"/>
      <w:sz w:val="44"/>
    </w:rPr>
  </w:style>
  <w:style w:type="paragraph" w:customStyle="1" w:styleId="82">
    <w:name w:val="标题 1 New"/>
    <w:basedOn w:val="83"/>
    <w:next w:val="83"/>
    <w:link w:val="81"/>
    <w:qFormat/>
    <w:uiPriority w:val="0"/>
    <w:pPr>
      <w:keepNext/>
      <w:keepLines/>
      <w:spacing w:line="578" w:lineRule="auto"/>
      <w:outlineLvl w:val="0"/>
    </w:pPr>
    <w:rPr>
      <w:b/>
      <w:bCs/>
      <w:kern w:val="44"/>
      <w:sz w:val="44"/>
      <w:szCs w:val="44"/>
    </w:rPr>
  </w:style>
  <w:style w:type="paragraph" w:customStyle="1" w:styleId="83">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
    <w:name w:val="hover38"/>
    <w:qFormat/>
    <w:uiPriority w:val="0"/>
    <w:rPr>
      <w:rFonts w:cs="Times New Roman"/>
    </w:rPr>
  </w:style>
  <w:style w:type="character" w:customStyle="1" w:styleId="85">
    <w:name w:val="hover"/>
    <w:qFormat/>
    <w:uiPriority w:val="0"/>
    <w:rPr>
      <w:rFonts w:cs="Times New Roman"/>
    </w:rPr>
  </w:style>
  <w:style w:type="paragraph" w:customStyle="1" w:styleId="86">
    <w:name w:val="Char"/>
    <w:basedOn w:val="15"/>
    <w:qFormat/>
    <w:uiPriority w:val="0"/>
    <w:rPr>
      <w:rFonts w:ascii="Tahoma" w:hAnsi="Tahoma"/>
      <w:sz w:val="24"/>
    </w:rPr>
  </w:style>
  <w:style w:type="paragraph" w:customStyle="1" w:styleId="87">
    <w:name w:val="_Style 3"/>
    <w:basedOn w:val="1"/>
    <w:qFormat/>
    <w:uiPriority w:val="0"/>
    <w:pPr>
      <w:ind w:firstLine="420" w:firstLineChars="200"/>
    </w:pPr>
    <w:rPr>
      <w:sz w:val="20"/>
    </w:rPr>
  </w:style>
  <w:style w:type="paragraph" w:customStyle="1" w:styleId="88">
    <w:name w:val="正文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0">
    <w:name w:val="标题1.1"/>
    <w:basedOn w:val="91"/>
    <w:next w:val="1"/>
    <w:qFormat/>
    <w:uiPriority w:val="0"/>
    <w:pPr>
      <w:numPr>
        <w:ilvl w:val="2"/>
        <w:numId w:val="3"/>
      </w:numPr>
      <w:ind w:firstLine="0" w:firstLineChars="0"/>
      <w:outlineLvl w:val="2"/>
    </w:pPr>
    <w:rPr>
      <w:b/>
    </w:rPr>
  </w:style>
  <w:style w:type="paragraph" w:customStyle="1" w:styleId="91">
    <w:name w:val="招标正文"/>
    <w:basedOn w:val="1"/>
    <w:qFormat/>
    <w:uiPriority w:val="0"/>
    <w:pPr>
      <w:autoSpaceDE w:val="0"/>
      <w:autoSpaceDN w:val="0"/>
      <w:adjustRightInd w:val="0"/>
      <w:ind w:firstLine="480" w:firstLineChars="200"/>
    </w:pPr>
    <w:rPr>
      <w:rFonts w:cs="微软雅黑"/>
      <w:kern w:val="0"/>
      <w:sz w:val="24"/>
    </w:rPr>
  </w:style>
  <w:style w:type="paragraph" w:customStyle="1" w:styleId="92">
    <w:name w:val="TOC 标题1"/>
    <w:basedOn w:val="4"/>
    <w:next w:val="1"/>
    <w:qFormat/>
    <w:uiPriority w:val="0"/>
    <w:pPr>
      <w:widowControl/>
      <w:spacing w:before="480" w:line="276" w:lineRule="auto"/>
      <w:jc w:val="left"/>
      <w:outlineLvl w:val="9"/>
    </w:pPr>
    <w:rPr>
      <w:rFonts w:ascii="Cambria" w:hAnsi="Cambria"/>
      <w:color w:val="365F91"/>
      <w:kern w:val="0"/>
      <w:sz w:val="28"/>
      <w:szCs w:val="28"/>
    </w:rPr>
  </w:style>
  <w:style w:type="paragraph" w:customStyle="1" w:styleId="9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94">
    <w:name w:val="正文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
    <w:name w:val="样式4"/>
    <w:basedOn w:val="1"/>
    <w:qFormat/>
    <w:uiPriority w:val="0"/>
    <w:pPr>
      <w:spacing w:line="360" w:lineRule="auto"/>
      <w:jc w:val="center"/>
    </w:pPr>
    <w:rPr>
      <w:rFonts w:ascii="宋体" w:hAnsi="宋体"/>
      <w:sz w:val="24"/>
    </w:rPr>
  </w:style>
  <w:style w:type="paragraph" w:customStyle="1" w:styleId="9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7">
    <w:name w:val="op_mapdots_left"/>
    <w:basedOn w:val="1"/>
    <w:qFormat/>
    <w:uiPriority w:val="0"/>
    <w:pPr>
      <w:jc w:val="left"/>
    </w:pPr>
    <w:rPr>
      <w:kern w:val="0"/>
    </w:rPr>
  </w:style>
  <w:style w:type="paragraph" w:customStyle="1" w:styleId="98">
    <w:name w:val="正文 New New New New"/>
    <w:qFormat/>
    <w:uiPriority w:val="0"/>
    <w:pPr>
      <w:widowControl w:val="0"/>
      <w:spacing w:after="200" w:line="276" w:lineRule="auto"/>
    </w:pPr>
    <w:rPr>
      <w:rFonts w:ascii="Times New Roman" w:hAnsi="Times New Roman" w:eastAsia="宋体" w:cs="Times New Roman"/>
      <w:sz w:val="22"/>
      <w:szCs w:val="22"/>
      <w:lang w:val="en-US" w:eastAsia="en-US" w:bidi="ar-SA"/>
    </w:rPr>
  </w:style>
  <w:style w:type="paragraph" w:customStyle="1" w:styleId="99">
    <w:name w:val="Table Paragraph"/>
    <w:basedOn w:val="1"/>
    <w:qFormat/>
    <w:uiPriority w:val="0"/>
  </w:style>
  <w:style w:type="paragraph" w:customStyle="1" w:styleId="1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正文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2">
    <w:name w:val="列出段落1"/>
    <w:basedOn w:val="1"/>
    <w:qFormat/>
    <w:uiPriority w:val="0"/>
    <w:pPr>
      <w:ind w:left="424" w:firstLine="480"/>
    </w:pPr>
    <w:rPr>
      <w:rFonts w:ascii="宋体" w:hAnsi="宋体" w:cs="宋体"/>
      <w:lang w:val="zh-CN"/>
    </w:rPr>
  </w:style>
  <w:style w:type="paragraph" w:customStyle="1" w:styleId="103">
    <w:name w:val="正文文本 New"/>
    <w:basedOn w:val="104"/>
    <w:qFormat/>
    <w:uiPriority w:val="0"/>
    <w:pPr>
      <w:spacing w:after="120"/>
    </w:pPr>
  </w:style>
  <w:style w:type="paragraph" w:customStyle="1" w:styleId="10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07">
    <w:name w:val="条款正文"/>
    <w:basedOn w:val="91"/>
    <w:qFormat/>
    <w:uiPriority w:val="0"/>
    <w:pPr>
      <w:ind w:firstLine="0" w:firstLineChars="0"/>
    </w:pPr>
  </w:style>
  <w:style w:type="paragraph" w:customStyle="1" w:styleId="108">
    <w:name w:val="小标题"/>
    <w:basedOn w:val="1"/>
    <w:qFormat/>
    <w:uiPriority w:val="0"/>
    <w:pPr>
      <w:autoSpaceDE w:val="0"/>
      <w:autoSpaceDN w:val="0"/>
      <w:adjustRightInd w:val="0"/>
      <w:jc w:val="center"/>
    </w:pPr>
    <w:rPr>
      <w:rFonts w:ascii="宋体" w:hAnsi="宋体" w:cs="Microsoft JhengHei"/>
      <w:b/>
      <w:kern w:val="0"/>
      <w:sz w:val="28"/>
      <w:szCs w:val="32"/>
    </w:rPr>
  </w:style>
  <w:style w:type="paragraph" w:customStyle="1" w:styleId="109">
    <w:name w:val="_Style 63"/>
    <w:basedOn w:val="1"/>
    <w:next w:val="1"/>
    <w:qFormat/>
    <w:uiPriority w:val="0"/>
    <w:pPr>
      <w:pBdr>
        <w:top w:val="single" w:color="auto" w:sz="6" w:space="1"/>
      </w:pBdr>
      <w:jc w:val="center"/>
    </w:pPr>
    <w:rPr>
      <w:rFonts w:ascii="Arial"/>
      <w:vanish/>
      <w:sz w:val="16"/>
    </w:rPr>
  </w:style>
  <w:style w:type="paragraph" w:customStyle="1" w:styleId="110">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11">
    <w:name w:val="样式 标题 3 + (中文) 黑体 小四 非加粗 段前: 7.8 磅 段后: 0 磅 行距: 固定值 20 磅"/>
    <w:basedOn w:val="6"/>
    <w:qFormat/>
    <w:uiPriority w:val="0"/>
    <w:pPr>
      <w:spacing w:line="400" w:lineRule="exact"/>
    </w:pPr>
    <w:rPr>
      <w:rFonts w:eastAsia="黑体" w:cs="宋体"/>
      <w:b w:val="0"/>
      <w:bCs w:val="0"/>
      <w:szCs w:val="20"/>
    </w:rPr>
  </w:style>
  <w:style w:type="paragraph" w:customStyle="1" w:styleId="112">
    <w:name w:val="_Style 52"/>
    <w:basedOn w:val="1"/>
    <w:next w:val="1"/>
    <w:qFormat/>
    <w:uiPriority w:val="0"/>
    <w:pPr>
      <w:pBdr>
        <w:bottom w:val="single" w:color="auto" w:sz="6" w:space="1"/>
      </w:pBdr>
      <w:jc w:val="center"/>
    </w:pPr>
    <w:rPr>
      <w:rFonts w:ascii="Arial"/>
      <w:vanish/>
      <w:sz w:val="16"/>
    </w:rPr>
  </w:style>
  <w:style w:type="paragraph" w:customStyle="1" w:styleId="113">
    <w:name w:val="表格内容"/>
    <w:basedOn w:val="91"/>
    <w:qFormat/>
    <w:uiPriority w:val="0"/>
    <w:pPr>
      <w:ind w:firstLine="0" w:firstLineChars="0"/>
      <w:jc w:val="center"/>
    </w:pPr>
  </w:style>
  <w:style w:type="paragraph" w:customStyle="1" w:styleId="114">
    <w:name w:val="p0"/>
    <w:basedOn w:val="1"/>
    <w:qFormat/>
    <w:uiPriority w:val="0"/>
    <w:pPr>
      <w:widowControl/>
    </w:pPr>
    <w:rPr>
      <w:rFonts w:ascii="Calibri" w:hAnsi="Calibri" w:cs="宋体"/>
      <w:kern w:val="0"/>
      <w:szCs w:val="21"/>
    </w:rPr>
  </w:style>
  <w:style w:type="paragraph" w:customStyle="1" w:styleId="115">
    <w:name w:val="正文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正文文本_0"/>
    <w:basedOn w:val="89"/>
    <w:qFormat/>
    <w:uiPriority w:val="0"/>
    <w:pPr>
      <w:spacing w:after="120"/>
    </w:pPr>
  </w:style>
  <w:style w:type="paragraph" w:customStyle="1" w:styleId="117">
    <w:name w:val="p16"/>
    <w:basedOn w:val="1"/>
    <w:qFormat/>
    <w:uiPriority w:val="0"/>
    <w:pPr>
      <w:widowControl/>
    </w:pPr>
    <w:rPr>
      <w:kern w:val="0"/>
      <w:szCs w:val="21"/>
    </w:rPr>
  </w:style>
  <w:style w:type="paragraph" w:customStyle="1" w:styleId="118">
    <w:name w:val="标题1、"/>
    <w:basedOn w:val="5"/>
    <w:qFormat/>
    <w:uiPriority w:val="0"/>
    <w:pPr>
      <w:numPr>
        <w:ilvl w:val="1"/>
        <w:numId w:val="3"/>
      </w:numPr>
      <w:autoSpaceDE w:val="0"/>
      <w:autoSpaceDN w:val="0"/>
      <w:adjustRightInd w:val="0"/>
      <w:spacing w:beforeLines="50"/>
      <w:jc w:val="left"/>
    </w:pPr>
    <w:rPr>
      <w:rFonts w:ascii="Times New Roman" w:hAnsi="Times New Roman"/>
      <w:kern w:val="0"/>
      <w:szCs w:val="24"/>
    </w:rPr>
  </w:style>
  <w:style w:type="paragraph" w:customStyle="1" w:styleId="119">
    <w:name w:val="p17"/>
    <w:qFormat/>
    <w:uiPriority w:val="0"/>
    <w:pPr>
      <w:spacing w:before="100" w:beforeAutospacing="1" w:after="100" w:afterAutospacing="1"/>
    </w:pPr>
    <w:rPr>
      <w:rFonts w:ascii="宋体" w:hAnsi="宋体" w:eastAsia="宋体" w:cs="宋体"/>
      <w:sz w:val="24"/>
      <w:lang w:val="en-US" w:eastAsia="zh-CN" w:bidi="ar-SA"/>
    </w:rPr>
  </w:style>
  <w:style w:type="paragraph" w:customStyle="1" w:styleId="120">
    <w:name w:val="正文文本 (2)1"/>
    <w:basedOn w:val="1"/>
    <w:qFormat/>
    <w:uiPriority w:val="0"/>
    <w:pPr>
      <w:shd w:val="clear" w:color="auto" w:fill="FFFFFF"/>
      <w:spacing w:before="300" w:line="439" w:lineRule="exact"/>
      <w:jc w:val="distribute"/>
    </w:pPr>
    <w:rPr>
      <w:rFonts w:ascii="MingLiU" w:eastAsia="MingLiU"/>
      <w:spacing w:val="20"/>
      <w:sz w:val="22"/>
      <w:szCs w:val="22"/>
    </w:rPr>
  </w:style>
  <w:style w:type="table" w:customStyle="1" w:styleId="121">
    <w:name w:val="Table Normal1"/>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122">
    <w:name w:val="Table Normal"/>
    <w:unhideWhenUsed/>
    <w:qFormat/>
    <w:uiPriority w:val="0"/>
    <w:tblPr>
      <w:tblCellMar>
        <w:top w:w="0" w:type="dxa"/>
        <w:left w:w="0" w:type="dxa"/>
        <w:bottom w:w="0" w:type="dxa"/>
        <w:right w:w="0" w:type="dxa"/>
      </w:tblCellMar>
    </w:tblPr>
  </w:style>
  <w:style w:type="paragraph" w:customStyle="1" w:styleId="123">
    <w:name w:val="样式5"/>
    <w:basedOn w:val="1"/>
    <w:next w:val="1"/>
    <w:qFormat/>
    <w:uiPriority w:val="0"/>
    <w:pPr>
      <w:keepNext/>
      <w:keepLines/>
      <w:spacing w:line="416" w:lineRule="auto"/>
      <w:outlineLvl w:val="1"/>
    </w:pPr>
    <w:rPr>
      <w:rFonts w:hint="eastAsia" w:ascii="Arial" w:hAnsi="Arial" w:eastAsia="黑体"/>
      <w:b/>
      <w:bCs/>
      <w:sz w:val="28"/>
      <w:szCs w:val="32"/>
    </w:rPr>
  </w:style>
  <w:style w:type="paragraph" w:customStyle="1" w:styleId="124">
    <w:name w:val="Table Text"/>
    <w:basedOn w:val="1"/>
    <w:semiHidden/>
    <w:qFormat/>
    <w:uiPriority w:val="0"/>
    <w:rPr>
      <w:rFonts w:ascii="宋体" w:hAnsi="宋体" w:cs="宋体"/>
      <w:sz w:val="24"/>
      <w:lang w:eastAsia="en-US"/>
    </w:rPr>
  </w:style>
</w:styles>
</file>

<file path=word/_rels/document.xml.rels><?xml version="1.0" encoding="UTF-8" standalone="yes"?>
<Relationships xmlns="http://schemas.openxmlformats.org/package/2006/relationships"><Relationship Id="rId99" Type="http://schemas.openxmlformats.org/officeDocument/2006/relationships/footer" Target="footer61.xml"/><Relationship Id="rId98" Type="http://schemas.openxmlformats.org/officeDocument/2006/relationships/header" Target="header36.xml"/><Relationship Id="rId97" Type="http://schemas.openxmlformats.org/officeDocument/2006/relationships/footer" Target="footer60.xml"/><Relationship Id="rId96" Type="http://schemas.openxmlformats.org/officeDocument/2006/relationships/footer" Target="footer59.xml"/><Relationship Id="rId95" Type="http://schemas.openxmlformats.org/officeDocument/2006/relationships/footer" Target="footer58.xml"/><Relationship Id="rId94" Type="http://schemas.openxmlformats.org/officeDocument/2006/relationships/header" Target="header35.xml"/><Relationship Id="rId93" Type="http://schemas.openxmlformats.org/officeDocument/2006/relationships/footer" Target="footer57.xml"/><Relationship Id="rId92" Type="http://schemas.openxmlformats.org/officeDocument/2006/relationships/header" Target="header34.xml"/><Relationship Id="rId91" Type="http://schemas.openxmlformats.org/officeDocument/2006/relationships/footer" Target="footer56.xml"/><Relationship Id="rId90" Type="http://schemas.openxmlformats.org/officeDocument/2006/relationships/header" Target="header33.xml"/><Relationship Id="rId9" Type="http://schemas.openxmlformats.org/officeDocument/2006/relationships/footer" Target="footer5.xml"/><Relationship Id="rId89" Type="http://schemas.openxmlformats.org/officeDocument/2006/relationships/footer" Target="footer55.xml"/><Relationship Id="rId88" Type="http://schemas.openxmlformats.org/officeDocument/2006/relationships/header" Target="header32.xml"/><Relationship Id="rId87" Type="http://schemas.openxmlformats.org/officeDocument/2006/relationships/footer" Target="footer54.xml"/><Relationship Id="rId86" Type="http://schemas.openxmlformats.org/officeDocument/2006/relationships/footer" Target="footer53.xml"/><Relationship Id="rId85" Type="http://schemas.openxmlformats.org/officeDocument/2006/relationships/header" Target="header31.xml"/><Relationship Id="rId84" Type="http://schemas.openxmlformats.org/officeDocument/2006/relationships/footer" Target="footer52.xml"/><Relationship Id="rId83" Type="http://schemas.openxmlformats.org/officeDocument/2006/relationships/header" Target="header30.xml"/><Relationship Id="rId82" Type="http://schemas.openxmlformats.org/officeDocument/2006/relationships/footer" Target="footer51.xml"/><Relationship Id="rId81" Type="http://schemas.openxmlformats.org/officeDocument/2006/relationships/footer" Target="footer50.xml"/><Relationship Id="rId80" Type="http://schemas.openxmlformats.org/officeDocument/2006/relationships/footer" Target="footer49.xml"/><Relationship Id="rId8" Type="http://schemas.openxmlformats.org/officeDocument/2006/relationships/footer" Target="footer4.xml"/><Relationship Id="rId79" Type="http://schemas.openxmlformats.org/officeDocument/2006/relationships/footer" Target="footer48.xml"/><Relationship Id="rId78" Type="http://schemas.openxmlformats.org/officeDocument/2006/relationships/footer" Target="footer47.xml"/><Relationship Id="rId77" Type="http://schemas.openxmlformats.org/officeDocument/2006/relationships/footer" Target="footer46.xml"/><Relationship Id="rId76" Type="http://schemas.openxmlformats.org/officeDocument/2006/relationships/footer" Target="footer45.xml"/><Relationship Id="rId75" Type="http://schemas.openxmlformats.org/officeDocument/2006/relationships/footer" Target="footer44.xml"/><Relationship Id="rId74" Type="http://schemas.openxmlformats.org/officeDocument/2006/relationships/footer" Target="footer43.xml"/><Relationship Id="rId73" Type="http://schemas.openxmlformats.org/officeDocument/2006/relationships/footer" Target="footer42.xml"/><Relationship Id="rId72" Type="http://schemas.openxmlformats.org/officeDocument/2006/relationships/footer" Target="footer41.xml"/><Relationship Id="rId71" Type="http://schemas.openxmlformats.org/officeDocument/2006/relationships/header" Target="header29.xml"/><Relationship Id="rId70" Type="http://schemas.openxmlformats.org/officeDocument/2006/relationships/footer" Target="footer40.xml"/><Relationship Id="rId7" Type="http://schemas.openxmlformats.org/officeDocument/2006/relationships/footer" Target="footer3.xml"/><Relationship Id="rId69" Type="http://schemas.openxmlformats.org/officeDocument/2006/relationships/footer" Target="footer39.xml"/><Relationship Id="rId68" Type="http://schemas.openxmlformats.org/officeDocument/2006/relationships/footer" Target="footer38.xml"/><Relationship Id="rId67" Type="http://schemas.openxmlformats.org/officeDocument/2006/relationships/header" Target="header28.xml"/><Relationship Id="rId66" Type="http://schemas.openxmlformats.org/officeDocument/2006/relationships/footer" Target="footer37.xml"/><Relationship Id="rId65" Type="http://schemas.openxmlformats.org/officeDocument/2006/relationships/header" Target="header27.xml"/><Relationship Id="rId64" Type="http://schemas.openxmlformats.org/officeDocument/2006/relationships/footer" Target="footer36.xml"/><Relationship Id="rId63" Type="http://schemas.openxmlformats.org/officeDocument/2006/relationships/header" Target="header26.xml"/><Relationship Id="rId62" Type="http://schemas.openxmlformats.org/officeDocument/2006/relationships/footer" Target="footer35.xml"/><Relationship Id="rId61" Type="http://schemas.openxmlformats.org/officeDocument/2006/relationships/header" Target="header25.xml"/><Relationship Id="rId60" Type="http://schemas.openxmlformats.org/officeDocument/2006/relationships/footer" Target="footer34.xml"/><Relationship Id="rId6" Type="http://schemas.openxmlformats.org/officeDocument/2006/relationships/footer" Target="footer2.xml"/><Relationship Id="rId59" Type="http://schemas.openxmlformats.org/officeDocument/2006/relationships/header" Target="header24.xml"/><Relationship Id="rId58" Type="http://schemas.openxmlformats.org/officeDocument/2006/relationships/footer" Target="footer33.xml"/><Relationship Id="rId57" Type="http://schemas.openxmlformats.org/officeDocument/2006/relationships/header" Target="header23.xml"/><Relationship Id="rId56" Type="http://schemas.openxmlformats.org/officeDocument/2006/relationships/footer" Target="footer32.xml"/><Relationship Id="rId55" Type="http://schemas.openxmlformats.org/officeDocument/2006/relationships/header" Target="header22.xml"/><Relationship Id="rId54" Type="http://schemas.openxmlformats.org/officeDocument/2006/relationships/footer" Target="footer31.xml"/><Relationship Id="rId53" Type="http://schemas.openxmlformats.org/officeDocument/2006/relationships/header" Target="header21.xml"/><Relationship Id="rId52" Type="http://schemas.openxmlformats.org/officeDocument/2006/relationships/footer" Target="footer30.xml"/><Relationship Id="rId51" Type="http://schemas.openxmlformats.org/officeDocument/2006/relationships/header" Target="header20.xml"/><Relationship Id="rId50" Type="http://schemas.openxmlformats.org/officeDocument/2006/relationships/footer" Target="footer29.xml"/><Relationship Id="rId5" Type="http://schemas.openxmlformats.org/officeDocument/2006/relationships/footer" Target="footer1.xml"/><Relationship Id="rId49" Type="http://schemas.openxmlformats.org/officeDocument/2006/relationships/header" Target="header19.xml"/><Relationship Id="rId48" Type="http://schemas.openxmlformats.org/officeDocument/2006/relationships/footer" Target="footer28.xml"/><Relationship Id="rId47" Type="http://schemas.openxmlformats.org/officeDocument/2006/relationships/header" Target="header18.xml"/><Relationship Id="rId46" Type="http://schemas.openxmlformats.org/officeDocument/2006/relationships/footer" Target="footer27.xml"/><Relationship Id="rId45" Type="http://schemas.openxmlformats.org/officeDocument/2006/relationships/header" Target="header17.xml"/><Relationship Id="rId44" Type="http://schemas.openxmlformats.org/officeDocument/2006/relationships/footer" Target="footer26.xml"/><Relationship Id="rId43" Type="http://schemas.openxmlformats.org/officeDocument/2006/relationships/footer" Target="footer25.xml"/><Relationship Id="rId42" Type="http://schemas.openxmlformats.org/officeDocument/2006/relationships/header" Target="header16.xml"/><Relationship Id="rId41" Type="http://schemas.openxmlformats.org/officeDocument/2006/relationships/footer" Target="footer24.xml"/><Relationship Id="rId40" Type="http://schemas.openxmlformats.org/officeDocument/2006/relationships/footer" Target="footer23.xml"/><Relationship Id="rId4" Type="http://schemas.openxmlformats.org/officeDocument/2006/relationships/header" Target="header2.xml"/><Relationship Id="rId39" Type="http://schemas.openxmlformats.org/officeDocument/2006/relationships/header" Target="header15.xml"/><Relationship Id="rId38" Type="http://schemas.openxmlformats.org/officeDocument/2006/relationships/footer" Target="footer22.xml"/><Relationship Id="rId37" Type="http://schemas.openxmlformats.org/officeDocument/2006/relationships/footer" Target="footer21.xml"/><Relationship Id="rId36" Type="http://schemas.openxmlformats.org/officeDocument/2006/relationships/footer" Target="footer20.xml"/><Relationship Id="rId35" Type="http://schemas.openxmlformats.org/officeDocument/2006/relationships/header" Target="header14.xml"/><Relationship Id="rId34" Type="http://schemas.openxmlformats.org/officeDocument/2006/relationships/footer" Target="footer19.xml"/><Relationship Id="rId33" Type="http://schemas.openxmlformats.org/officeDocument/2006/relationships/header" Target="header13.xml"/><Relationship Id="rId32" Type="http://schemas.openxmlformats.org/officeDocument/2006/relationships/footer" Target="footer18.xml"/><Relationship Id="rId31" Type="http://schemas.openxmlformats.org/officeDocument/2006/relationships/header" Target="header12.xml"/><Relationship Id="rId30" Type="http://schemas.openxmlformats.org/officeDocument/2006/relationships/footer" Target="footer17.xml"/><Relationship Id="rId3" Type="http://schemas.openxmlformats.org/officeDocument/2006/relationships/header" Target="header1.xml"/><Relationship Id="rId29" Type="http://schemas.openxmlformats.org/officeDocument/2006/relationships/header" Target="header11.xml"/><Relationship Id="rId28" Type="http://schemas.openxmlformats.org/officeDocument/2006/relationships/footer" Target="footer16.xml"/><Relationship Id="rId27" Type="http://schemas.openxmlformats.org/officeDocument/2006/relationships/header" Target="header10.xml"/><Relationship Id="rId26" Type="http://schemas.openxmlformats.org/officeDocument/2006/relationships/footer" Target="footer15.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8" Type="http://schemas.openxmlformats.org/officeDocument/2006/relationships/fontTable" Target="fontTable.xml"/><Relationship Id="rId137" Type="http://schemas.openxmlformats.org/officeDocument/2006/relationships/numbering" Target="numbering.xml"/><Relationship Id="rId136" Type="http://schemas.openxmlformats.org/officeDocument/2006/relationships/customXml" Target="../customXml/item1.xml"/><Relationship Id="rId135" Type="http://schemas.openxmlformats.org/officeDocument/2006/relationships/image" Target="media/image1.png"/><Relationship Id="rId134" Type="http://schemas.openxmlformats.org/officeDocument/2006/relationships/theme" Target="theme/theme1.xml"/><Relationship Id="rId133" Type="http://schemas.openxmlformats.org/officeDocument/2006/relationships/footer" Target="footer80.xml"/><Relationship Id="rId132" Type="http://schemas.openxmlformats.org/officeDocument/2006/relationships/footer" Target="footer79.xml"/><Relationship Id="rId131" Type="http://schemas.openxmlformats.org/officeDocument/2006/relationships/header" Target="header51.xml"/><Relationship Id="rId130" Type="http://schemas.openxmlformats.org/officeDocument/2006/relationships/footer" Target="footer78.xml"/><Relationship Id="rId13" Type="http://schemas.openxmlformats.org/officeDocument/2006/relationships/footer" Target="footer8.xml"/><Relationship Id="rId129" Type="http://schemas.openxmlformats.org/officeDocument/2006/relationships/header" Target="header50.xml"/><Relationship Id="rId128" Type="http://schemas.openxmlformats.org/officeDocument/2006/relationships/footer" Target="footer77.xml"/><Relationship Id="rId127" Type="http://schemas.openxmlformats.org/officeDocument/2006/relationships/header" Target="header49.xml"/><Relationship Id="rId126" Type="http://schemas.openxmlformats.org/officeDocument/2006/relationships/footer" Target="footer76.xml"/><Relationship Id="rId125" Type="http://schemas.openxmlformats.org/officeDocument/2006/relationships/footer" Target="footer75.xml"/><Relationship Id="rId124" Type="http://schemas.openxmlformats.org/officeDocument/2006/relationships/header" Target="header48.xml"/><Relationship Id="rId123" Type="http://schemas.openxmlformats.org/officeDocument/2006/relationships/footer" Target="footer74.xml"/><Relationship Id="rId122" Type="http://schemas.openxmlformats.org/officeDocument/2006/relationships/header" Target="header47.xml"/><Relationship Id="rId121" Type="http://schemas.openxmlformats.org/officeDocument/2006/relationships/footer" Target="footer73.xml"/><Relationship Id="rId120" Type="http://schemas.openxmlformats.org/officeDocument/2006/relationships/header" Target="header46.xml"/><Relationship Id="rId12" Type="http://schemas.openxmlformats.org/officeDocument/2006/relationships/header" Target="header3.xml"/><Relationship Id="rId119" Type="http://schemas.openxmlformats.org/officeDocument/2006/relationships/footer" Target="footer72.xml"/><Relationship Id="rId118" Type="http://schemas.openxmlformats.org/officeDocument/2006/relationships/header" Target="header45.xml"/><Relationship Id="rId117" Type="http://schemas.openxmlformats.org/officeDocument/2006/relationships/footer" Target="footer71.xml"/><Relationship Id="rId116" Type="http://schemas.openxmlformats.org/officeDocument/2006/relationships/header" Target="header44.xml"/><Relationship Id="rId115" Type="http://schemas.openxmlformats.org/officeDocument/2006/relationships/footer" Target="footer70.xml"/><Relationship Id="rId114" Type="http://schemas.openxmlformats.org/officeDocument/2006/relationships/header" Target="header43.xml"/><Relationship Id="rId113" Type="http://schemas.openxmlformats.org/officeDocument/2006/relationships/footer" Target="footer69.xml"/><Relationship Id="rId112" Type="http://schemas.openxmlformats.org/officeDocument/2006/relationships/header" Target="header42.xml"/><Relationship Id="rId111" Type="http://schemas.openxmlformats.org/officeDocument/2006/relationships/footer" Target="footer68.xml"/><Relationship Id="rId110" Type="http://schemas.openxmlformats.org/officeDocument/2006/relationships/footer" Target="footer67.xml"/><Relationship Id="rId11" Type="http://schemas.openxmlformats.org/officeDocument/2006/relationships/footer" Target="footer7.xml"/><Relationship Id="rId109" Type="http://schemas.openxmlformats.org/officeDocument/2006/relationships/header" Target="header41.xml"/><Relationship Id="rId108" Type="http://schemas.openxmlformats.org/officeDocument/2006/relationships/footer" Target="footer66.xml"/><Relationship Id="rId107" Type="http://schemas.openxmlformats.org/officeDocument/2006/relationships/header" Target="header40.xml"/><Relationship Id="rId106" Type="http://schemas.openxmlformats.org/officeDocument/2006/relationships/footer" Target="footer65.xml"/><Relationship Id="rId105" Type="http://schemas.openxmlformats.org/officeDocument/2006/relationships/header" Target="header39.xml"/><Relationship Id="rId104" Type="http://schemas.openxmlformats.org/officeDocument/2006/relationships/footer" Target="footer64.xml"/><Relationship Id="rId103" Type="http://schemas.openxmlformats.org/officeDocument/2006/relationships/footer" Target="footer63.xml"/><Relationship Id="rId102" Type="http://schemas.openxmlformats.org/officeDocument/2006/relationships/header" Target="header38.xml"/><Relationship Id="rId101" Type="http://schemas.openxmlformats.org/officeDocument/2006/relationships/footer" Target="footer62.xml"/><Relationship Id="rId100" Type="http://schemas.openxmlformats.org/officeDocument/2006/relationships/header" Target="header3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250</Pages>
  <Words>1417</Words>
  <Characters>1722</Characters>
  <Lines>8013</Lines>
  <Paragraphs>7353</Paragraphs>
  <TotalTime>0</TotalTime>
  <ScaleCrop>false</ScaleCrop>
  <LinksUpToDate>false</LinksUpToDate>
  <CharactersWithSpaces>2002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2026-02-10T10:04:00Z</dcterms:created>
  <dc:creator>微软用户</dc:creator>
  <cp:lastModifiedBy>X</cp:lastModifiedBy>
  <cp:lastPrinted>2026-01-20T11:05:00Z</cp:lastPrinted>
  <dcterms:modified xsi:type="dcterms:W3CDTF">2026-06-30T07:36:05Z</dcterms:modified>
  <dc:title>G323线麦屋至乳源县城段路面大修工程施工招标</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FE04DA8FF08C4D4FB570A9BA52D2F05F_13</vt:lpwstr>
  </property>
  <property fmtid="{D5CDD505-2E9C-101B-9397-08002B2CF9AE}" pid="4" name="KSOTemplateDocerSaveRecord">
    <vt:lpwstr>eyJoZGlkIjoiMzQxMzI3MDJhZmJmODE3YWUzOWY4NzkwZmJhNzNlZDkiLCJ1c2VySWQiOiIxNjU2MjgxMTQ2In0=</vt:lpwstr>
  </property>
</Properties>
</file>