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10DB0">
      <w:pPr>
        <w:pStyle w:val="58"/>
        <w:shd w:val="clear" w:color="auto" w:fill="auto"/>
        <w:wordWrap w:val="0"/>
        <w:adjustRightInd w:val="0"/>
        <w:snapToGrid w:val="0"/>
        <w:spacing w:line="360" w:lineRule="auto"/>
        <w:jc w:val="center"/>
        <w:rPr>
          <w:rFonts w:hint="eastAsia" w:ascii="宋体" w:hAnsi="宋体" w:eastAsia="宋体" w:cs="宋体"/>
          <w:snapToGrid w:val="0"/>
          <w:color w:val="auto"/>
          <w:kern w:val="0"/>
          <w:sz w:val="36"/>
          <w:highlight w:val="none"/>
          <w:u w:val="single"/>
        </w:rPr>
      </w:pPr>
      <w:r>
        <w:rPr>
          <w:rFonts w:hint="eastAsia" w:ascii="宋体" w:hAnsi="宋体" w:eastAsia="宋体" w:cs="宋体"/>
          <w:b/>
          <w:snapToGrid w:val="0"/>
          <w:color w:val="auto"/>
          <w:kern w:val="0"/>
          <w:sz w:val="48"/>
          <w:szCs w:val="48"/>
          <w:highlight w:val="none"/>
          <w:lang w:eastAsia="zh-CN"/>
        </w:rPr>
        <w:t>南雄市“银杏染秋”乡村振兴示范带建设项目-油山镇典型村建设项目监理</w:t>
      </w:r>
    </w:p>
    <w:p w14:paraId="5CBA6B92">
      <w:pPr>
        <w:pStyle w:val="58"/>
        <w:shd w:val="clear" w:color="auto" w:fill="auto"/>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7B78BC1E">
      <w:pPr>
        <w:pStyle w:val="58"/>
        <w:shd w:val="clear" w:color="auto" w:fill="auto"/>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336704C1">
      <w:pPr>
        <w:pStyle w:val="58"/>
        <w:shd w:val="clear" w:color="auto" w:fill="auto"/>
        <w:wordWrap w:val="0"/>
        <w:adjustRightInd w:val="0"/>
        <w:snapToGrid w:val="0"/>
        <w:spacing w:line="360" w:lineRule="auto"/>
        <w:jc w:val="center"/>
        <w:rPr>
          <w:rFonts w:hint="eastAsia" w:ascii="宋体" w:hAnsi="宋体" w:eastAsia="宋体" w:cs="宋体"/>
          <w:b/>
          <w:bCs/>
          <w:snapToGrid w:val="0"/>
          <w:color w:val="auto"/>
          <w:kern w:val="0"/>
          <w:sz w:val="52"/>
          <w:szCs w:val="52"/>
          <w:highlight w:val="none"/>
          <w:lang w:val="en-US" w:eastAsia="zh-CN"/>
        </w:rPr>
      </w:pPr>
      <w:r>
        <w:rPr>
          <w:rFonts w:hint="eastAsia" w:ascii="宋体" w:hAnsi="宋体" w:eastAsia="宋体" w:cs="宋体"/>
          <w:b/>
          <w:bCs/>
          <w:snapToGrid w:val="0"/>
          <w:color w:val="auto"/>
          <w:kern w:val="0"/>
          <w:sz w:val="96"/>
          <w:szCs w:val="96"/>
          <w:highlight w:val="none"/>
        </w:rPr>
        <w:t>招标文件</w:t>
      </w:r>
    </w:p>
    <w:p w14:paraId="3B097DB5">
      <w:pPr>
        <w:shd w:val="clear" w:color="auto" w:fill="auto"/>
        <w:wordWrap w:val="0"/>
        <w:adjustRightInd w:val="0"/>
        <w:snapToGrid w:val="0"/>
        <w:jc w:val="center"/>
        <w:rPr>
          <w:rFonts w:hint="eastAsia" w:ascii="宋体" w:hAnsi="宋体" w:eastAsia="宋体" w:cs="宋体"/>
          <w:b/>
          <w:bCs/>
          <w:snapToGrid w:val="0"/>
          <w:color w:val="auto"/>
          <w:kern w:val="0"/>
          <w:sz w:val="48"/>
          <w:szCs w:val="48"/>
          <w:highlight w:val="none"/>
        </w:rPr>
      </w:pPr>
    </w:p>
    <w:p w14:paraId="5F5CB4BE">
      <w:pPr>
        <w:pStyle w:val="15"/>
        <w:shd w:val="clear" w:color="auto" w:fill="auto"/>
        <w:rPr>
          <w:rFonts w:hint="eastAsia" w:ascii="宋体" w:hAnsi="宋体" w:eastAsia="宋体" w:cs="宋体"/>
          <w:b/>
          <w:bCs/>
          <w:snapToGrid w:val="0"/>
          <w:color w:val="auto"/>
          <w:sz w:val="48"/>
          <w:szCs w:val="48"/>
          <w:highlight w:val="none"/>
        </w:rPr>
      </w:pPr>
    </w:p>
    <w:p w14:paraId="4C4D2979">
      <w:pPr>
        <w:shd w:val="clear" w:color="auto" w:fill="auto"/>
        <w:rPr>
          <w:rFonts w:hint="eastAsia" w:ascii="宋体" w:hAnsi="宋体" w:eastAsia="宋体" w:cs="宋体"/>
          <w:color w:val="auto"/>
          <w:highlight w:val="none"/>
        </w:rPr>
      </w:pPr>
    </w:p>
    <w:p w14:paraId="75B541AF">
      <w:pPr>
        <w:pStyle w:val="15"/>
        <w:shd w:val="clear" w:color="auto" w:fill="auto"/>
        <w:rPr>
          <w:rFonts w:hint="eastAsia" w:ascii="宋体" w:hAnsi="宋体" w:eastAsia="宋体" w:cs="宋体"/>
          <w:b/>
          <w:bCs/>
          <w:snapToGrid w:val="0"/>
          <w:color w:val="auto"/>
          <w:sz w:val="48"/>
          <w:szCs w:val="48"/>
          <w:highlight w:val="none"/>
        </w:rPr>
      </w:pPr>
    </w:p>
    <w:tbl>
      <w:tblPr>
        <w:tblStyle w:val="31"/>
        <w:tblW w:w="9699" w:type="dxa"/>
        <w:tblInd w:w="-100" w:type="dxa"/>
        <w:tblLayout w:type="fixed"/>
        <w:tblCellMar>
          <w:top w:w="0" w:type="dxa"/>
          <w:left w:w="0" w:type="dxa"/>
          <w:bottom w:w="0" w:type="dxa"/>
          <w:right w:w="0" w:type="dxa"/>
        </w:tblCellMar>
      </w:tblPr>
      <w:tblGrid>
        <w:gridCol w:w="4545"/>
        <w:gridCol w:w="5154"/>
      </w:tblGrid>
      <w:tr w14:paraId="565EC065">
        <w:tblPrEx>
          <w:tblCellMar>
            <w:top w:w="0" w:type="dxa"/>
            <w:left w:w="0" w:type="dxa"/>
            <w:bottom w:w="0" w:type="dxa"/>
            <w:right w:w="0" w:type="dxa"/>
          </w:tblCellMar>
        </w:tblPrEx>
        <w:trPr>
          <w:trHeight w:val="851" w:hRule="atLeast"/>
        </w:trPr>
        <w:tc>
          <w:tcPr>
            <w:tcW w:w="4545" w:type="dxa"/>
            <w:vAlign w:val="center"/>
          </w:tcPr>
          <w:p w14:paraId="02C6BCF3">
            <w:pPr>
              <w:pStyle w:val="64"/>
              <w:shd w:val="clear" w:color="auto" w:fill="auto"/>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人（盖单位章）：</w:t>
            </w:r>
          </w:p>
        </w:tc>
        <w:tc>
          <w:tcPr>
            <w:tcW w:w="5154" w:type="dxa"/>
            <w:vAlign w:val="center"/>
          </w:tcPr>
          <w:p w14:paraId="65CC4436">
            <w:pPr>
              <w:pStyle w:val="64"/>
              <w:shd w:val="clear" w:color="auto" w:fill="auto"/>
              <w:wordWrap w:val="0"/>
              <w:adjustRightInd w:val="0"/>
              <w:snapToGrid w:val="0"/>
              <w:spacing w:line="240" w:lineRule="auto"/>
              <w:rPr>
                <w:rFonts w:hint="eastAsia" w:ascii="宋体" w:hAnsi="宋体" w:eastAsia="宋体" w:cs="宋体"/>
                <w:snapToGrid w:val="0"/>
                <w:color w:val="auto"/>
                <w:kern w:val="0"/>
                <w:sz w:val="28"/>
                <w:szCs w:val="28"/>
                <w:highlight w:val="none"/>
                <w:lang w:eastAsia="zh-CN"/>
              </w:rPr>
            </w:pPr>
            <w:r>
              <w:rPr>
                <w:rFonts w:hint="eastAsia" w:ascii="宋体" w:hAnsi="宋体" w:eastAsia="宋体" w:cs="宋体"/>
                <w:snapToGrid w:val="0"/>
                <w:color w:val="auto"/>
                <w:kern w:val="0"/>
                <w:sz w:val="28"/>
                <w:szCs w:val="28"/>
                <w:highlight w:val="none"/>
                <w:lang w:eastAsia="zh-CN"/>
              </w:rPr>
              <w:t>南雄市油山镇人民政府</w:t>
            </w:r>
          </w:p>
        </w:tc>
      </w:tr>
      <w:tr w14:paraId="416FEBBA">
        <w:tblPrEx>
          <w:tblCellMar>
            <w:top w:w="0" w:type="dxa"/>
            <w:left w:w="0" w:type="dxa"/>
            <w:bottom w:w="0" w:type="dxa"/>
            <w:right w:w="0" w:type="dxa"/>
          </w:tblCellMar>
        </w:tblPrEx>
        <w:trPr>
          <w:trHeight w:val="746" w:hRule="atLeast"/>
        </w:trPr>
        <w:tc>
          <w:tcPr>
            <w:tcW w:w="4545" w:type="dxa"/>
            <w:vAlign w:val="center"/>
          </w:tcPr>
          <w:p w14:paraId="74E7AE19">
            <w:pPr>
              <w:pStyle w:val="64"/>
              <w:shd w:val="clear" w:color="auto" w:fill="auto"/>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招标人工作领导小组负责人（签字）：</w:t>
            </w:r>
          </w:p>
        </w:tc>
        <w:tc>
          <w:tcPr>
            <w:tcW w:w="5154" w:type="dxa"/>
            <w:vAlign w:val="center"/>
          </w:tcPr>
          <w:p w14:paraId="756FD346">
            <w:pPr>
              <w:pStyle w:val="64"/>
              <w:shd w:val="clear" w:color="auto" w:fill="auto"/>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79A09722">
        <w:tblPrEx>
          <w:tblCellMar>
            <w:top w:w="0" w:type="dxa"/>
            <w:left w:w="0" w:type="dxa"/>
            <w:bottom w:w="0" w:type="dxa"/>
            <w:right w:w="0" w:type="dxa"/>
          </w:tblCellMar>
        </w:tblPrEx>
        <w:trPr>
          <w:trHeight w:val="819" w:hRule="atLeast"/>
        </w:trPr>
        <w:tc>
          <w:tcPr>
            <w:tcW w:w="4545" w:type="dxa"/>
            <w:vAlign w:val="center"/>
          </w:tcPr>
          <w:p w14:paraId="2D708306">
            <w:pPr>
              <w:pStyle w:val="64"/>
              <w:shd w:val="clear" w:color="auto" w:fill="auto"/>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代 理 机 构 （盖单位章）：</w:t>
            </w:r>
          </w:p>
        </w:tc>
        <w:tc>
          <w:tcPr>
            <w:tcW w:w="5154" w:type="dxa"/>
            <w:vAlign w:val="center"/>
          </w:tcPr>
          <w:p w14:paraId="4C883C30">
            <w:pPr>
              <w:pStyle w:val="64"/>
              <w:shd w:val="clear" w:color="auto" w:fill="auto"/>
              <w:wordWrap w:val="0"/>
              <w:adjustRightInd w:val="0"/>
              <w:snapToGrid w:val="0"/>
              <w:spacing w:line="240" w:lineRule="auto"/>
              <w:rPr>
                <w:rFonts w:hint="eastAsia" w:ascii="宋体" w:hAnsi="宋体" w:eastAsia="宋体" w:cs="宋体"/>
                <w:snapToGrid w:val="0"/>
                <w:color w:val="auto"/>
                <w:kern w:val="0"/>
                <w:sz w:val="28"/>
                <w:szCs w:val="28"/>
                <w:highlight w:val="none"/>
                <w:lang w:eastAsia="zh-CN"/>
              </w:rPr>
            </w:pPr>
            <w:r>
              <w:rPr>
                <w:rFonts w:hint="eastAsia" w:ascii="宋体" w:hAnsi="宋体" w:eastAsia="宋体" w:cs="宋体"/>
                <w:snapToGrid w:val="0"/>
                <w:color w:val="auto"/>
                <w:kern w:val="0"/>
                <w:sz w:val="28"/>
                <w:szCs w:val="28"/>
                <w:highlight w:val="none"/>
                <w:lang w:eastAsia="zh-CN"/>
              </w:rPr>
              <w:t>广东象龙国际项目管理有限公司</w:t>
            </w:r>
          </w:p>
        </w:tc>
      </w:tr>
      <w:tr w14:paraId="2E298D83">
        <w:tblPrEx>
          <w:tblCellMar>
            <w:top w:w="0" w:type="dxa"/>
            <w:left w:w="0" w:type="dxa"/>
            <w:bottom w:w="0" w:type="dxa"/>
            <w:right w:w="0" w:type="dxa"/>
          </w:tblCellMar>
        </w:tblPrEx>
        <w:trPr>
          <w:trHeight w:val="779" w:hRule="atLeast"/>
        </w:trPr>
        <w:tc>
          <w:tcPr>
            <w:tcW w:w="4545" w:type="dxa"/>
            <w:vAlign w:val="center"/>
          </w:tcPr>
          <w:p w14:paraId="7CBCCF8D">
            <w:pPr>
              <w:pStyle w:val="64"/>
              <w:shd w:val="clear" w:color="auto" w:fill="auto"/>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招标文件编制人（签字）：</w:t>
            </w:r>
          </w:p>
        </w:tc>
        <w:tc>
          <w:tcPr>
            <w:tcW w:w="5154" w:type="dxa"/>
            <w:vAlign w:val="center"/>
          </w:tcPr>
          <w:p w14:paraId="50A8D877">
            <w:pPr>
              <w:pStyle w:val="64"/>
              <w:shd w:val="clear" w:color="auto" w:fill="auto"/>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2F6ED365">
        <w:tblPrEx>
          <w:tblCellMar>
            <w:top w:w="0" w:type="dxa"/>
            <w:left w:w="0" w:type="dxa"/>
            <w:bottom w:w="0" w:type="dxa"/>
            <w:right w:w="0" w:type="dxa"/>
          </w:tblCellMar>
        </w:tblPrEx>
        <w:trPr>
          <w:trHeight w:val="798" w:hRule="atLeast"/>
        </w:trPr>
        <w:tc>
          <w:tcPr>
            <w:tcW w:w="4545" w:type="dxa"/>
            <w:vAlign w:val="center"/>
          </w:tcPr>
          <w:p w14:paraId="5F88F162">
            <w:pPr>
              <w:pStyle w:val="64"/>
              <w:shd w:val="clear" w:color="auto" w:fill="auto"/>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招标代理机构项目负责人（签字）：</w:t>
            </w:r>
          </w:p>
        </w:tc>
        <w:tc>
          <w:tcPr>
            <w:tcW w:w="5154" w:type="dxa"/>
            <w:vAlign w:val="center"/>
          </w:tcPr>
          <w:p w14:paraId="35DD3D33">
            <w:pPr>
              <w:pStyle w:val="64"/>
              <w:shd w:val="clear" w:color="auto" w:fill="auto"/>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6835C2E5">
        <w:tblPrEx>
          <w:tblCellMar>
            <w:top w:w="0" w:type="dxa"/>
            <w:left w:w="0" w:type="dxa"/>
            <w:bottom w:w="0" w:type="dxa"/>
            <w:right w:w="0" w:type="dxa"/>
          </w:tblCellMar>
        </w:tblPrEx>
        <w:trPr>
          <w:trHeight w:val="838" w:hRule="atLeast"/>
        </w:trPr>
        <w:tc>
          <w:tcPr>
            <w:tcW w:w="4545" w:type="dxa"/>
            <w:vAlign w:val="center"/>
          </w:tcPr>
          <w:p w14:paraId="544E11A7">
            <w:pPr>
              <w:pStyle w:val="64"/>
              <w:shd w:val="clear" w:color="auto" w:fill="auto"/>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招标文件编制日期：</w:t>
            </w:r>
          </w:p>
        </w:tc>
        <w:tc>
          <w:tcPr>
            <w:tcW w:w="5154" w:type="dxa"/>
            <w:vAlign w:val="center"/>
          </w:tcPr>
          <w:p w14:paraId="39A1CD14">
            <w:pPr>
              <w:pStyle w:val="64"/>
              <w:shd w:val="clear" w:color="auto" w:fill="auto"/>
              <w:wordWrap w:val="0"/>
              <w:adjustRightInd w:val="0"/>
              <w:snapToGrid w:val="0"/>
              <w:spacing w:line="240" w:lineRule="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lang w:val="en-US" w:eastAsia="zh-CN"/>
              </w:rPr>
              <w:t>2026</w:t>
            </w:r>
            <w:r>
              <w:rPr>
                <w:rFonts w:hint="eastAsia" w:ascii="宋体" w:hAnsi="宋体" w:eastAsia="宋体" w:cs="宋体"/>
                <w:snapToGrid w:val="0"/>
                <w:color w:val="auto"/>
                <w:kern w:val="0"/>
                <w:sz w:val="28"/>
                <w:highlight w:val="none"/>
              </w:rPr>
              <w:t>年</w:t>
            </w:r>
            <w:r>
              <w:rPr>
                <w:rFonts w:hint="eastAsia" w:ascii="宋体" w:hAnsi="宋体" w:eastAsia="宋体" w:cs="宋体"/>
                <w:snapToGrid w:val="0"/>
                <w:color w:val="auto"/>
                <w:kern w:val="0"/>
                <w:sz w:val="28"/>
                <w:highlight w:val="none"/>
                <w:lang w:val="en-US" w:eastAsia="zh-CN"/>
              </w:rPr>
              <w:t>9</w:t>
            </w:r>
            <w:r>
              <w:rPr>
                <w:rFonts w:hint="eastAsia" w:ascii="宋体" w:hAnsi="宋体" w:eastAsia="宋体" w:cs="宋体"/>
                <w:snapToGrid w:val="0"/>
                <w:color w:val="auto"/>
                <w:kern w:val="0"/>
                <w:sz w:val="28"/>
                <w:highlight w:val="none"/>
              </w:rPr>
              <w:t>月</w:t>
            </w:r>
          </w:p>
        </w:tc>
      </w:tr>
    </w:tbl>
    <w:p w14:paraId="185484DF">
      <w:pPr>
        <w:shd w:val="clear" w:color="auto" w:fill="auto"/>
        <w:tabs>
          <w:tab w:val="left" w:pos="4935"/>
        </w:tabs>
        <w:wordWrap w:val="0"/>
        <w:adjustRightInd w:val="0"/>
        <w:snapToGrid w:val="0"/>
        <w:spacing w:line="440" w:lineRule="exact"/>
        <w:rPr>
          <w:rFonts w:hint="eastAsia" w:ascii="宋体" w:hAnsi="宋体" w:eastAsia="宋体" w:cs="宋体"/>
          <w:b/>
          <w:snapToGrid w:val="0"/>
          <w:color w:val="auto"/>
          <w:kern w:val="0"/>
          <w:sz w:val="28"/>
          <w:szCs w:val="28"/>
          <w:highlight w:val="none"/>
        </w:rPr>
        <w:sectPr>
          <w:footerReference r:id="rId5" w:type="default"/>
          <w:endnotePr>
            <w:numFmt w:val="decimal"/>
          </w:endnotePr>
          <w:pgSz w:w="11906" w:h="16838"/>
          <w:pgMar w:top="1701" w:right="1975" w:bottom="1417" w:left="1531" w:header="850" w:footer="992" w:gutter="0"/>
          <w:pgNumType w:start="1"/>
          <w:cols w:space="720" w:num="1"/>
          <w:rtlGutter w:val="0"/>
          <w:docGrid w:linePitch="327" w:charSpace="0"/>
        </w:sectPr>
      </w:pPr>
    </w:p>
    <w:p w14:paraId="7AA599F6">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53C8AEB7">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4861D0D0">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36CBA55B">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12FCBD81">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2B56936E">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54C67075">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5E4D6F80">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56FF68C7">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7580C99D">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0060A610">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6A817378">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36185AFF">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248C4A48">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7EFE142C">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14CAA37F">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24EC6E6C">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5815C92C">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5D3C48C6">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64F288EE">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7BBCF076">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2332CF89">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1D05BB67">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0C32CF4E">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6F577D51">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450B9247">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5A4BB5D9">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7C8DEF67">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48CADE0F">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4CB1E158">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59059F1C">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p>
    <w:p w14:paraId="0ECEC531">
      <w:pPr>
        <w:pStyle w:val="20"/>
        <w:shd w:val="clear" w:color="auto" w:fill="auto"/>
        <w:wordWrap w:val="0"/>
        <w:adjustRightInd w:val="0"/>
        <w:snapToGrid w:val="0"/>
        <w:spacing w:line="440" w:lineRule="exact"/>
        <w:ind w:left="0"/>
        <w:jc w:val="center"/>
        <w:rPr>
          <w:rFonts w:hint="eastAsia" w:ascii="宋体" w:hAnsi="宋体" w:eastAsia="宋体" w:cs="宋体"/>
          <w:b/>
          <w:snapToGrid w:val="0"/>
          <w:color w:val="auto"/>
          <w:kern w:val="0"/>
          <w:sz w:val="28"/>
          <w:szCs w:val="28"/>
          <w:highlight w:val="none"/>
        </w:rPr>
      </w:pPr>
      <w:r>
        <w:rPr>
          <w:rFonts w:hint="eastAsia" w:ascii="宋体" w:hAnsi="宋体" w:eastAsia="宋体" w:cs="宋体"/>
          <w:b/>
          <w:snapToGrid w:val="0"/>
          <w:color w:val="auto"/>
          <w:kern w:val="0"/>
          <w:sz w:val="28"/>
          <w:szCs w:val="28"/>
          <w:highlight w:val="none"/>
        </w:rPr>
        <w:t>目    录</w:t>
      </w:r>
      <w:bookmarkStart w:id="0" w:name="_Hlt122423813"/>
      <w:bookmarkEnd w:id="0"/>
      <w:bookmarkStart w:id="1" w:name="_Hlt66153951"/>
      <w:bookmarkEnd w:id="1"/>
      <w:bookmarkStart w:id="2" w:name="_Hlt66104981"/>
      <w:bookmarkEnd w:id="2"/>
      <w:bookmarkStart w:id="3" w:name="_Toc14094"/>
      <w:bookmarkStart w:id="4" w:name="_Toc476739600"/>
      <w:bookmarkStart w:id="5" w:name="_Hlt111690251"/>
    </w:p>
    <w:p w14:paraId="1C0D3792">
      <w:pPr>
        <w:pStyle w:val="25"/>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TOC \o "1-3" \h \u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_Toc1285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kern w:val="0"/>
          <w:highlight w:val="none"/>
        </w:rPr>
        <w:t>第一章 投标人须知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_Toc1285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44D6107">
      <w:pPr>
        <w:pStyle w:val="26"/>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_Toc24800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第一节 投标人须知前附表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_Toc24800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E38B6C2">
      <w:pPr>
        <w:pStyle w:val="26"/>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_Toc2241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第二节 重要事项时间地点一览表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_Toc2241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57D8106F">
      <w:pPr>
        <w:pStyle w:val="26"/>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_Toc22644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第三节 投标人须知正文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_Toc22644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E51F001">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_Toc26179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1．项目概况、招标范围和标段划分、投标费用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_Toc26179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99788D5">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_Toc3407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2．投标人资格要求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_Toc3407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1018405">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_Toc4403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3．招标文件获取</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_Toc4403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10</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DF7B370">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_Toc6940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4．服务期限</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_Toc6940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C60F892">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_Toc31374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5．服务标准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_Toc31374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4394BCF">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_Toc27367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6．现场踏勘</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_Toc27367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2D91DDF">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_Toc6981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szCs w:val="24"/>
          <w:highlight w:val="none"/>
        </w:rPr>
        <w:t>7．招标文件的提问和答疑</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_Toc6981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78DA455">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_Toc15770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8．最高投标限价</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_Toc15770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7504FA4">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_Toc21815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9．投标报价</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_Toc21815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49D87E9">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_Toc25728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10．投标文件的编制要求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_Toc25728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D498CD5">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_Toc4068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11．电子投标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_Toc4068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3A1BDB1">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_Toc11440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12．电子投标及投标解密失败及突发情况的补救方案</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_Toc11440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EBDAFFC">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_Toc3479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kern w:val="0"/>
          <w:highlight w:val="none"/>
        </w:rPr>
        <w:t>13．投标有效期</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_Toc3479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A393BA7">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_Toc18547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kern w:val="0"/>
          <w:highlight w:val="none"/>
        </w:rPr>
        <w:t>14．开标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_Toc18547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09BA40C">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_Toc13528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kern w:val="0"/>
          <w:highlight w:val="none"/>
        </w:rPr>
        <w:t>15．评标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_Toc13528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35E9D7B">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_Toc14248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kern w:val="0"/>
          <w:highlight w:val="none"/>
        </w:rPr>
        <w:t>16．推荐中标候选人</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_Toc14248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F001A58">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_Toc14955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kern w:val="0"/>
          <w:highlight w:val="none"/>
        </w:rPr>
        <w:t>17．中标候选人公示</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_Toc14955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CB838A9">
      <w:pPr>
        <w:pStyle w:val="26"/>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_Toc9979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第四节 否决投标条件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_Toc9979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829F77F">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_Toc32629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1．资格评审环节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_Toc32629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221FF83">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_Toc25976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2．形式评审环节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_Toc25976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B970405">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_Toc18248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3．响应性评审环节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_Toc18248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432BE3B">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_Toc32705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highlight w:val="none"/>
        </w:rPr>
        <w:t>4．其他</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_Toc32705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B90724A">
      <w:pPr>
        <w:pStyle w:val="25"/>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_Toc12363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kern w:val="0"/>
          <w:highlight w:val="none"/>
        </w:rPr>
        <w:t>第二章 中标人须知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_Toc12363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184EFED">
      <w:pPr>
        <w:pStyle w:val="25"/>
        <w:shd w:val="clear" w:color="auto" w:fill="auto"/>
        <w:tabs>
          <w:tab w:val="right" w:leader="dot" w:pos="8844"/>
        </w:tabs>
        <w:rPr>
          <w:rFonts w:hint="eastAsia" w:ascii="宋体" w:hAnsi="宋体" w:eastAsia="宋体" w:cs="宋体"/>
          <w:color w:val="auto"/>
          <w:highlight w:val="none"/>
          <w:lang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_Toc12639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第三章 拟签订合同的主要条款</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_Toc12639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609BE5B">
      <w:pPr>
        <w:pStyle w:val="25"/>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_Toc26371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第四章 技术要求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_Toc26371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1B5416A">
      <w:pPr>
        <w:pStyle w:val="25"/>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_Toc10032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第五章 投标文件格式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_Toc10032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A5DE978">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_Toc13127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格式一 封面</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_Toc13127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56C25D9">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_Toc6488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格式二 投标函</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_Toc6488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60</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F572F10">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_Toc14232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格式三 各项承诺一览表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_Toc14232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DDDDFEF">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_Toc22067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szCs w:val="24"/>
          <w:highlight w:val="none"/>
        </w:rPr>
        <w:t>格式四 法定代表人授权委托书</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_Toc22067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07CB475">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_Toc11496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kern w:val="0"/>
          <w:highlight w:val="none"/>
        </w:rPr>
        <w:t>格式五 法定代表人身份证明</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_Toc11496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64</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44B5C92">
      <w:pPr>
        <w:pStyle w:val="20"/>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_Toc9774 </w:instrText>
      </w:r>
      <w:r>
        <w:rPr>
          <w:rFonts w:hint="eastAsia" w:ascii="宋体" w:hAnsi="宋体" w:eastAsia="宋体" w:cs="宋体"/>
          <w:color w:val="auto"/>
          <w:highlight w:val="none"/>
        </w:rPr>
        <w:fldChar w:fldCharType="separate"/>
      </w:r>
      <w:r>
        <w:rPr>
          <w:rFonts w:hint="eastAsia" w:ascii="宋体" w:hAnsi="宋体" w:eastAsia="宋体" w:cs="宋体"/>
          <w:bCs/>
          <w:snapToGrid w:val="0"/>
          <w:color w:val="auto"/>
          <w:kern w:val="0"/>
          <w:szCs w:val="24"/>
          <w:highlight w:val="none"/>
        </w:rPr>
        <w:t>格式六 投标人基本情况表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_Toc9774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65</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577C8918">
      <w:pPr>
        <w:pStyle w:val="20"/>
        <w:shd w:val="clear" w:color="auto" w:fill="auto"/>
        <w:tabs>
          <w:tab w:val="right" w:leader="dot" w:pos="8834"/>
        </w:tabs>
        <w:rPr>
          <w:rFonts w:hint="eastAsia" w:ascii="宋体" w:hAnsi="宋体" w:eastAsia="宋体" w:cs="宋体"/>
          <w:color w:val="auto"/>
          <w:sz w:val="21"/>
          <w:szCs w:val="22"/>
          <w:highlight w:val="none"/>
        </w:rPr>
      </w:pPr>
      <w:r>
        <w:rPr>
          <w:rFonts w:hint="eastAsia" w:ascii="宋体" w:hAnsi="宋体" w:eastAsia="宋体" w:cs="宋体"/>
          <w:color w:val="auto"/>
          <w:highlight w:val="none"/>
        </w:rPr>
        <w:fldChar w:fldCharType="begin"/>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instrText xml:space="preserve">HYPERLINK \l "_Toc35334265"</w:instrText>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fldChar w:fldCharType="separate"/>
      </w:r>
      <w:r>
        <w:rPr>
          <w:rStyle w:val="34"/>
          <w:rFonts w:hint="eastAsia" w:ascii="宋体" w:hAnsi="宋体" w:eastAsia="宋体" w:cs="宋体"/>
          <w:snapToGrid w:val="0"/>
          <w:color w:val="auto"/>
          <w:highlight w:val="none"/>
        </w:rPr>
        <w:t>格式七 总监理工程师任职声明（适用于无任职项目）</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_Toc35334265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2402DD0">
      <w:pPr>
        <w:pStyle w:val="20"/>
        <w:shd w:val="clear" w:color="auto" w:fill="auto"/>
        <w:tabs>
          <w:tab w:val="right" w:leader="dot" w:pos="8834"/>
        </w:tabs>
        <w:rPr>
          <w:rFonts w:hint="eastAsia" w:ascii="宋体" w:hAnsi="宋体" w:eastAsia="宋体" w:cs="宋体"/>
          <w:color w:val="auto"/>
          <w:sz w:val="21"/>
          <w:szCs w:val="22"/>
          <w:highlight w:val="none"/>
        </w:rPr>
      </w:pPr>
      <w:r>
        <w:rPr>
          <w:rFonts w:hint="eastAsia" w:ascii="宋体" w:hAnsi="宋体" w:eastAsia="宋体" w:cs="宋体"/>
          <w:color w:val="auto"/>
          <w:highlight w:val="none"/>
        </w:rPr>
        <w:fldChar w:fldCharType="begin"/>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instrText xml:space="preserve">HYPERLINK \l "_Toc35334266"</w:instrText>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fldChar w:fldCharType="separate"/>
      </w:r>
      <w:r>
        <w:rPr>
          <w:rStyle w:val="34"/>
          <w:rFonts w:hint="eastAsia" w:ascii="宋体" w:hAnsi="宋体" w:eastAsia="宋体" w:cs="宋体"/>
          <w:snapToGrid w:val="0"/>
          <w:color w:val="auto"/>
          <w:highlight w:val="none"/>
        </w:rPr>
        <w:t>格式八 总监理工程师任职声明（适用于有任职项目）</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_Toc35334266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4F84045">
      <w:pPr>
        <w:pStyle w:val="20"/>
        <w:shd w:val="clear" w:color="auto" w:fill="auto"/>
        <w:tabs>
          <w:tab w:val="right" w:leader="dot" w:pos="8834"/>
        </w:tabs>
        <w:rPr>
          <w:rFonts w:hint="eastAsia" w:ascii="宋体" w:hAnsi="宋体" w:eastAsia="宋体" w:cs="宋体"/>
          <w:color w:val="auto"/>
          <w:sz w:val="21"/>
          <w:szCs w:val="22"/>
          <w:highlight w:val="none"/>
        </w:rPr>
      </w:pPr>
      <w:r>
        <w:rPr>
          <w:rFonts w:hint="eastAsia" w:ascii="宋体" w:hAnsi="宋体" w:eastAsia="宋体" w:cs="宋体"/>
          <w:color w:val="auto"/>
          <w:highlight w:val="none"/>
        </w:rPr>
        <w:fldChar w:fldCharType="begin"/>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instrText xml:space="preserve">HYPERLINK \l "_Toc35334267"</w:instrText>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fldChar w:fldCharType="separate"/>
      </w:r>
      <w:r>
        <w:rPr>
          <w:rStyle w:val="34"/>
          <w:rFonts w:hint="eastAsia" w:ascii="宋体" w:hAnsi="宋体" w:eastAsia="宋体" w:cs="宋体"/>
          <w:snapToGrid w:val="0"/>
          <w:color w:val="auto"/>
          <w:highlight w:val="none"/>
        </w:rPr>
        <w:t>格式九 总监理工程师任职项目情况表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_Toc35334267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B940C1D">
      <w:pPr>
        <w:pStyle w:val="20"/>
        <w:shd w:val="clear" w:color="auto" w:fill="auto"/>
        <w:tabs>
          <w:tab w:val="right" w:leader="dot" w:pos="8834"/>
        </w:tabs>
        <w:rPr>
          <w:rFonts w:hint="eastAsia" w:ascii="宋体" w:hAnsi="宋体" w:eastAsia="宋体" w:cs="宋体"/>
          <w:color w:val="auto"/>
          <w:sz w:val="21"/>
          <w:szCs w:val="22"/>
          <w:highlight w:val="none"/>
          <w:lang w:val="en-US" w:eastAsia="zh-CN"/>
        </w:rPr>
      </w:pPr>
      <w:r>
        <w:rPr>
          <w:rFonts w:hint="eastAsia" w:ascii="宋体" w:hAnsi="宋体" w:eastAsia="宋体" w:cs="宋体"/>
          <w:color w:val="auto"/>
          <w:highlight w:val="none"/>
        </w:rPr>
        <w:fldChar w:fldCharType="begin"/>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instrText xml:space="preserve">HYPERLINK \l "_Toc35334268"</w:instrText>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fldChar w:fldCharType="separate"/>
      </w:r>
      <w:r>
        <w:rPr>
          <w:rStyle w:val="34"/>
          <w:rFonts w:hint="eastAsia" w:ascii="宋体" w:hAnsi="宋体" w:eastAsia="宋体" w:cs="宋体"/>
          <w:snapToGrid w:val="0"/>
          <w:color w:val="auto"/>
          <w:highlight w:val="none"/>
        </w:rPr>
        <w:t>格式十 项目监理机构组成人员汇总表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end"/>
      </w:r>
      <w:r>
        <w:rPr>
          <w:rFonts w:hint="eastAsia" w:ascii="宋体" w:hAnsi="宋体" w:eastAsia="宋体" w:cs="宋体"/>
          <w:color w:val="auto"/>
          <w:highlight w:val="none"/>
          <w:lang w:val="en-US" w:eastAsia="zh-CN"/>
        </w:rPr>
        <w:t>67</w:t>
      </w:r>
    </w:p>
    <w:p w14:paraId="44D1D4BC">
      <w:pPr>
        <w:pStyle w:val="20"/>
        <w:shd w:val="clear" w:color="auto" w:fill="auto"/>
        <w:tabs>
          <w:tab w:val="right" w:leader="dot" w:pos="8834"/>
        </w:tabs>
        <w:rPr>
          <w:rFonts w:hint="eastAsia" w:ascii="宋体" w:hAnsi="宋体" w:eastAsia="宋体" w:cs="宋体"/>
          <w:color w:val="auto"/>
          <w:sz w:val="21"/>
          <w:szCs w:val="22"/>
          <w:highlight w:val="none"/>
          <w:lang w:val="en-US" w:eastAsia="zh-CN"/>
        </w:rPr>
      </w:pPr>
      <w:r>
        <w:rPr>
          <w:rFonts w:hint="eastAsia" w:ascii="宋体" w:hAnsi="宋体" w:eastAsia="宋体" w:cs="宋体"/>
          <w:color w:val="auto"/>
          <w:highlight w:val="none"/>
        </w:rPr>
        <w:fldChar w:fldCharType="begin"/>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instrText xml:space="preserve">HYPERLINK \l "_Toc35334269"</w:instrText>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fldChar w:fldCharType="separate"/>
      </w:r>
      <w:r>
        <w:rPr>
          <w:rStyle w:val="34"/>
          <w:rFonts w:hint="eastAsia" w:ascii="宋体" w:hAnsi="宋体" w:eastAsia="宋体" w:cs="宋体"/>
          <w:snapToGrid w:val="0"/>
          <w:color w:val="auto"/>
          <w:highlight w:val="none"/>
        </w:rPr>
        <w:t>格式十一 总监理工程师简历表</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fldChar w:fldCharType="end"/>
      </w:r>
      <w:r>
        <w:rPr>
          <w:rFonts w:hint="eastAsia" w:ascii="宋体" w:hAnsi="宋体" w:eastAsia="宋体" w:cs="宋体"/>
          <w:color w:val="auto"/>
          <w:highlight w:val="none"/>
          <w:lang w:val="en-US" w:eastAsia="zh-CN"/>
        </w:rPr>
        <w:t>8</w:t>
      </w:r>
    </w:p>
    <w:p w14:paraId="43CBCCF1">
      <w:pPr>
        <w:pStyle w:val="20"/>
        <w:shd w:val="clear" w:color="auto" w:fill="auto"/>
        <w:tabs>
          <w:tab w:val="right" w:leader="dot" w:pos="8834"/>
        </w:tabs>
        <w:rPr>
          <w:rFonts w:hint="eastAsia" w:ascii="宋体" w:hAnsi="宋体" w:eastAsia="宋体" w:cs="宋体"/>
          <w:color w:val="auto"/>
          <w:sz w:val="21"/>
          <w:szCs w:val="22"/>
          <w:highlight w:val="none"/>
          <w:lang w:val="en-US" w:eastAsia="zh-CN"/>
        </w:rPr>
      </w:pPr>
      <w:r>
        <w:rPr>
          <w:rFonts w:hint="eastAsia" w:ascii="宋体" w:hAnsi="宋体" w:eastAsia="宋体" w:cs="宋体"/>
          <w:color w:val="auto"/>
          <w:highlight w:val="none"/>
        </w:rPr>
        <w:fldChar w:fldCharType="begin"/>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instrText xml:space="preserve">HYPERLINK \l "_Toc35334270"</w:instrText>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fldChar w:fldCharType="separate"/>
      </w:r>
      <w:r>
        <w:rPr>
          <w:rStyle w:val="34"/>
          <w:rFonts w:hint="eastAsia" w:ascii="宋体" w:hAnsi="宋体" w:eastAsia="宋体" w:cs="宋体"/>
          <w:snapToGrid w:val="0"/>
          <w:color w:val="auto"/>
          <w:highlight w:val="none"/>
        </w:rPr>
        <w:t>格式十二 其他拟派人员简历表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end"/>
      </w:r>
      <w:r>
        <w:rPr>
          <w:rFonts w:hint="eastAsia" w:ascii="宋体" w:hAnsi="宋体" w:eastAsia="宋体" w:cs="宋体"/>
          <w:color w:val="auto"/>
          <w:highlight w:val="none"/>
          <w:lang w:val="en-US" w:eastAsia="zh-CN"/>
        </w:rPr>
        <w:t>69</w:t>
      </w:r>
    </w:p>
    <w:p w14:paraId="316E0857">
      <w:pPr>
        <w:pStyle w:val="20"/>
        <w:shd w:val="clear" w:color="auto" w:fill="auto"/>
        <w:tabs>
          <w:tab w:val="right" w:leader="dot" w:pos="8844"/>
        </w:tabs>
        <w:rPr>
          <w:rFonts w:hint="eastAsia" w:ascii="宋体" w:hAnsi="宋体" w:eastAsia="宋体" w:cs="宋体"/>
          <w:color w:val="auto"/>
          <w:highlight w:val="none"/>
          <w:lang w:val="en-US" w:eastAsia="zh-CN"/>
        </w:rPr>
      </w:pPr>
      <w:r>
        <w:rPr>
          <w:rFonts w:hint="eastAsia" w:ascii="宋体" w:hAnsi="宋体" w:eastAsia="宋体" w:cs="宋体"/>
          <w:color w:val="auto"/>
          <w:highlight w:val="none"/>
        </w:rPr>
        <w:fldChar w:fldCharType="begin"/>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instrText xml:space="preserve">HYPERLINK \l "_Toc35334271"</w:instrText>
      </w:r>
      <w:r>
        <w:rPr>
          <w:rStyle w:val="34"/>
          <w:rFonts w:hint="eastAsia" w:ascii="宋体" w:hAnsi="宋体" w:eastAsia="宋体" w:cs="宋体"/>
          <w:color w:val="auto"/>
          <w:highlight w:val="none"/>
        </w:rPr>
        <w:instrText xml:space="preserve"> </w:instrText>
      </w:r>
      <w:r>
        <w:rPr>
          <w:rFonts w:hint="eastAsia" w:ascii="宋体" w:hAnsi="宋体" w:eastAsia="宋体" w:cs="宋体"/>
          <w:color w:val="auto"/>
          <w:highlight w:val="none"/>
        </w:rPr>
        <w:fldChar w:fldCharType="separate"/>
      </w:r>
      <w:r>
        <w:rPr>
          <w:rStyle w:val="34"/>
          <w:rFonts w:hint="eastAsia" w:ascii="宋体" w:hAnsi="宋体" w:eastAsia="宋体" w:cs="宋体"/>
          <w:snapToGrid w:val="0"/>
          <w:color w:val="auto"/>
          <w:highlight w:val="none"/>
        </w:rPr>
        <w:t>格式十三 监理及相关服务报酬清单</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fldChar w:fldCharType="end"/>
      </w:r>
      <w:r>
        <w:rPr>
          <w:rFonts w:hint="eastAsia" w:ascii="宋体" w:hAnsi="宋体" w:eastAsia="宋体" w:cs="宋体"/>
          <w:color w:val="auto"/>
          <w:highlight w:val="none"/>
          <w:lang w:val="en-US" w:eastAsia="zh-CN"/>
        </w:rPr>
        <w:t>0</w:t>
      </w:r>
    </w:p>
    <w:p w14:paraId="63EFA48D">
      <w:pPr>
        <w:pStyle w:val="25"/>
        <w:shd w:val="clear" w:color="auto" w:fill="auto"/>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_Toc10006 </w:instrText>
      </w:r>
      <w:r>
        <w:rPr>
          <w:rFonts w:hint="eastAsia" w:ascii="宋体" w:hAnsi="宋体" w:eastAsia="宋体" w:cs="宋体"/>
          <w:color w:val="auto"/>
          <w:highlight w:val="none"/>
        </w:rPr>
        <w:fldChar w:fldCharType="separate"/>
      </w:r>
      <w:r>
        <w:rPr>
          <w:rFonts w:hint="eastAsia" w:ascii="宋体" w:hAnsi="宋体" w:eastAsia="宋体" w:cs="宋体"/>
          <w:snapToGrid w:val="0"/>
          <w:color w:val="auto"/>
          <w:highlight w:val="none"/>
        </w:rPr>
        <w:t>第六章 建设工程监理合同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_Toc10006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2DA6044">
      <w:pPr>
        <w:shd w:val="clear" w:color="auto" w:fill="auto"/>
        <w:rPr>
          <w:rFonts w:hint="eastAsia" w:ascii="宋体" w:hAnsi="宋体" w:eastAsia="宋体" w:cs="宋体"/>
          <w:color w:val="auto"/>
          <w:highlight w:val="none"/>
        </w:rPr>
      </w:pPr>
      <w:r>
        <w:rPr>
          <w:rFonts w:hint="eastAsia" w:ascii="宋体" w:hAnsi="宋体" w:eastAsia="宋体" w:cs="宋体"/>
          <w:color w:val="auto"/>
          <w:highlight w:val="none"/>
        </w:rPr>
        <w:fldChar w:fldCharType="end"/>
      </w:r>
    </w:p>
    <w:p w14:paraId="6C95E046">
      <w:pPr>
        <w:pStyle w:val="20"/>
        <w:shd w:val="clear" w:color="auto" w:fill="auto"/>
        <w:wordWrap w:val="0"/>
        <w:adjustRightInd w:val="0"/>
        <w:snapToGrid w:val="0"/>
        <w:spacing w:line="440" w:lineRule="exact"/>
        <w:jc w:val="center"/>
        <w:outlineLvl w:val="0"/>
        <w:rPr>
          <w:rFonts w:hint="eastAsia" w:ascii="宋体" w:hAnsi="宋体" w:eastAsia="宋体" w:cs="宋体"/>
          <w:b/>
          <w:snapToGrid w:val="0"/>
          <w:color w:val="auto"/>
          <w:kern w:val="0"/>
          <w:highlight w:val="none"/>
        </w:rPr>
        <w:sectPr>
          <w:footerReference r:id="rId6" w:type="default"/>
          <w:endnotePr>
            <w:numFmt w:val="decimal"/>
          </w:endnotePr>
          <w:pgSz w:w="11906" w:h="16838"/>
          <w:pgMar w:top="1701" w:right="1531" w:bottom="1417" w:left="1531" w:header="850" w:footer="992" w:gutter="0"/>
          <w:pgNumType w:start="1"/>
          <w:cols w:space="720" w:num="1"/>
          <w:rtlGutter w:val="0"/>
          <w:docGrid w:linePitch="327" w:charSpace="0"/>
        </w:sectPr>
      </w:pPr>
      <w:bookmarkStart w:id="6" w:name="_Toc22752"/>
    </w:p>
    <w:p w14:paraId="1334CDE2">
      <w:pPr>
        <w:pStyle w:val="20"/>
        <w:shd w:val="clear" w:color="auto" w:fill="auto"/>
        <w:wordWrap w:val="0"/>
        <w:adjustRightInd w:val="0"/>
        <w:snapToGrid w:val="0"/>
        <w:spacing w:line="440" w:lineRule="exact"/>
        <w:jc w:val="center"/>
        <w:outlineLvl w:val="0"/>
        <w:rPr>
          <w:rFonts w:hint="eastAsia" w:ascii="宋体" w:hAnsi="宋体" w:eastAsia="宋体" w:cs="宋体"/>
          <w:b/>
          <w:snapToGrid w:val="0"/>
          <w:color w:val="auto"/>
          <w:kern w:val="0"/>
          <w:highlight w:val="none"/>
        </w:rPr>
      </w:pPr>
      <w:bookmarkStart w:id="7" w:name="_Toc15229"/>
      <w:bookmarkStart w:id="8" w:name="_Toc24935"/>
      <w:bookmarkStart w:id="9" w:name="_Toc5583"/>
      <w:bookmarkStart w:id="10" w:name="_Toc1285"/>
      <w:bookmarkStart w:id="11" w:name="_Toc5663"/>
      <w:bookmarkStart w:id="12" w:name="_Toc23113"/>
      <w:bookmarkStart w:id="13" w:name="_Toc26307"/>
      <w:bookmarkStart w:id="14" w:name="_Toc30630"/>
      <w:bookmarkStart w:id="15" w:name="_Toc21126"/>
      <w:r>
        <w:rPr>
          <w:rFonts w:hint="eastAsia" w:ascii="宋体" w:hAnsi="宋体" w:eastAsia="宋体" w:cs="宋体"/>
          <w:b/>
          <w:snapToGrid w:val="0"/>
          <w:color w:val="auto"/>
          <w:kern w:val="0"/>
          <w:highlight w:val="none"/>
        </w:rPr>
        <w:t>第一章 投标人须知</w:t>
      </w:r>
      <w:bookmarkEnd w:id="3"/>
      <w:bookmarkEnd w:id="4"/>
      <w:bookmarkEnd w:id="6"/>
      <w:bookmarkEnd w:id="7"/>
      <w:bookmarkEnd w:id="8"/>
      <w:bookmarkEnd w:id="9"/>
      <w:bookmarkEnd w:id="10"/>
      <w:bookmarkEnd w:id="11"/>
      <w:bookmarkEnd w:id="12"/>
      <w:bookmarkEnd w:id="13"/>
      <w:bookmarkEnd w:id="14"/>
      <w:bookmarkEnd w:id="15"/>
    </w:p>
    <w:p w14:paraId="1404087B">
      <w:pPr>
        <w:pStyle w:val="11"/>
        <w:keepNext w:val="0"/>
        <w:keepLines w:val="0"/>
        <w:pageBreakBefore w:val="0"/>
        <w:widowControl w:val="0"/>
        <w:shd w:val="clear" w:color="auto" w:fill="auto"/>
        <w:kinsoku/>
        <w:wordWrap w:val="0"/>
        <w:overflowPunct/>
        <w:topLinePunct w:val="0"/>
        <w:autoSpaceDE/>
        <w:autoSpaceDN/>
        <w:bidi w:val="0"/>
        <w:adjustRightInd w:val="0"/>
        <w:snapToGrid w:val="0"/>
        <w:spacing w:before="140" w:after="140" w:line="440" w:lineRule="exact"/>
        <w:jc w:val="both"/>
        <w:textAlignment w:val="auto"/>
        <w:rPr>
          <w:rFonts w:hint="eastAsia" w:ascii="宋体" w:hAnsi="宋体" w:eastAsia="宋体" w:cs="宋体"/>
          <w:b/>
          <w:snapToGrid w:val="0"/>
          <w:color w:val="auto"/>
          <w:highlight w:val="none"/>
        </w:rPr>
      </w:pPr>
      <w:bookmarkStart w:id="16" w:name="_Hlt127175444"/>
      <w:bookmarkEnd w:id="16"/>
      <w:bookmarkStart w:id="17" w:name="_Toc3634"/>
      <w:bookmarkStart w:id="18" w:name="_Toc11495"/>
      <w:bookmarkStart w:id="19" w:name="_Toc28652"/>
      <w:bookmarkStart w:id="20" w:name="_Toc24724"/>
      <w:bookmarkStart w:id="21" w:name="_Toc25631"/>
      <w:bookmarkStart w:id="22" w:name="_Toc3285"/>
      <w:bookmarkStart w:id="23" w:name="_Toc16331"/>
      <w:bookmarkStart w:id="24" w:name="_Toc24800"/>
      <w:bookmarkStart w:id="25" w:name="_Toc20747"/>
      <w:bookmarkStart w:id="26" w:name="_Toc26922"/>
      <w:bookmarkStart w:id="27" w:name="_Toc11024"/>
      <w:bookmarkStart w:id="28" w:name="_Hlt120077520"/>
      <w:r>
        <w:rPr>
          <w:rFonts w:hint="eastAsia" w:ascii="宋体" w:hAnsi="宋体" w:eastAsia="宋体" w:cs="宋体"/>
          <w:b/>
          <w:snapToGrid w:val="0"/>
          <w:color w:val="auto"/>
          <w:highlight w:val="none"/>
        </w:rPr>
        <w:t>第一节 投标人须知前附表</w:t>
      </w:r>
      <w:bookmarkEnd w:id="17"/>
      <w:bookmarkEnd w:id="18"/>
      <w:bookmarkEnd w:id="19"/>
      <w:bookmarkEnd w:id="20"/>
      <w:bookmarkEnd w:id="21"/>
      <w:bookmarkEnd w:id="22"/>
      <w:bookmarkEnd w:id="23"/>
      <w:bookmarkEnd w:id="24"/>
      <w:bookmarkEnd w:id="25"/>
      <w:bookmarkEnd w:id="26"/>
      <w:bookmarkEnd w:id="27"/>
    </w:p>
    <w:tbl>
      <w:tblPr>
        <w:tblStyle w:val="31"/>
        <w:tblW w:w="9187" w:type="dxa"/>
        <w:tblInd w:w="-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658"/>
        <w:gridCol w:w="1995"/>
        <w:gridCol w:w="6534"/>
      </w:tblGrid>
      <w:tr w14:paraId="735B1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5" w:hRule="atLeast"/>
        </w:trPr>
        <w:tc>
          <w:tcPr>
            <w:tcW w:w="658" w:type="dxa"/>
            <w:tcBorders>
              <w:top w:val="single" w:color="auto" w:sz="4" w:space="0"/>
              <w:left w:val="single" w:color="auto" w:sz="4" w:space="0"/>
              <w:bottom w:val="single" w:color="auto" w:sz="4" w:space="0"/>
              <w:right w:val="single" w:color="auto" w:sz="4" w:space="0"/>
            </w:tcBorders>
            <w:vAlign w:val="center"/>
          </w:tcPr>
          <w:p w14:paraId="54931CB6">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995" w:type="dxa"/>
            <w:tcBorders>
              <w:top w:val="single" w:color="auto" w:sz="4" w:space="0"/>
              <w:left w:val="single" w:color="auto" w:sz="4" w:space="0"/>
              <w:bottom w:val="single" w:color="auto" w:sz="4" w:space="0"/>
              <w:right w:val="single" w:color="auto" w:sz="4" w:space="0"/>
            </w:tcBorders>
            <w:vAlign w:val="center"/>
          </w:tcPr>
          <w:p w14:paraId="5B20B33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内容</w:t>
            </w:r>
          </w:p>
        </w:tc>
        <w:tc>
          <w:tcPr>
            <w:tcW w:w="6534" w:type="dxa"/>
            <w:tcBorders>
              <w:top w:val="single" w:color="auto" w:sz="4" w:space="0"/>
              <w:left w:val="single" w:color="auto" w:sz="4" w:space="0"/>
              <w:bottom w:val="single" w:color="auto" w:sz="4" w:space="0"/>
              <w:right w:val="single" w:color="auto" w:sz="4" w:space="0"/>
            </w:tcBorders>
            <w:vAlign w:val="center"/>
          </w:tcPr>
          <w:p w14:paraId="1405063C">
            <w:pPr>
              <w:shd w:val="clear" w:color="auto" w:fill="auto"/>
              <w:tabs>
                <w:tab w:val="left" w:pos="1180"/>
              </w:tabs>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说明与要求</w:t>
            </w:r>
          </w:p>
        </w:tc>
      </w:tr>
      <w:tr w14:paraId="508DEC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17" w:hRule="atLeast"/>
        </w:trPr>
        <w:tc>
          <w:tcPr>
            <w:tcW w:w="658" w:type="dxa"/>
            <w:tcBorders>
              <w:top w:val="single" w:color="auto" w:sz="4" w:space="0"/>
              <w:left w:val="single" w:color="auto" w:sz="4" w:space="0"/>
              <w:bottom w:val="single" w:color="auto" w:sz="4" w:space="0"/>
              <w:right w:val="single" w:color="auto" w:sz="4" w:space="0"/>
            </w:tcBorders>
            <w:vAlign w:val="center"/>
          </w:tcPr>
          <w:p w14:paraId="7F029A66">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995" w:type="dxa"/>
            <w:tcBorders>
              <w:top w:val="single" w:color="auto" w:sz="4" w:space="0"/>
              <w:left w:val="single" w:color="auto" w:sz="4" w:space="0"/>
              <w:bottom w:val="single" w:color="auto" w:sz="4" w:space="0"/>
              <w:right w:val="single" w:color="auto" w:sz="4" w:space="0"/>
            </w:tcBorders>
            <w:vAlign w:val="center"/>
          </w:tcPr>
          <w:p w14:paraId="79C51AD6">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6534" w:type="dxa"/>
            <w:tcBorders>
              <w:top w:val="single" w:color="auto" w:sz="4" w:space="0"/>
              <w:left w:val="single" w:color="auto" w:sz="4" w:space="0"/>
              <w:bottom w:val="single" w:color="auto" w:sz="4" w:space="0"/>
              <w:right w:val="single" w:color="auto" w:sz="4" w:space="0"/>
            </w:tcBorders>
            <w:vAlign w:val="center"/>
          </w:tcPr>
          <w:p w14:paraId="45232478">
            <w:pPr>
              <w:shd w:val="clear" w:color="auto" w:fill="auto"/>
              <w:tabs>
                <w:tab w:val="left" w:pos="1180"/>
              </w:tabs>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b w:val="0"/>
                <w:snapToGrid w:val="0"/>
                <w:color w:val="auto"/>
                <w:kern w:val="0"/>
                <w:sz w:val="21"/>
                <w:szCs w:val="21"/>
                <w:highlight w:val="none"/>
                <w:lang w:eastAsia="zh-CN"/>
              </w:rPr>
              <w:t>南雄市“银杏染秋”乡村振兴示范带建设项目-油山镇典型村建设项目监理</w:t>
            </w:r>
          </w:p>
        </w:tc>
      </w:tr>
      <w:tr w14:paraId="27B1B0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37" w:hRule="atLeast"/>
        </w:trPr>
        <w:tc>
          <w:tcPr>
            <w:tcW w:w="658" w:type="dxa"/>
            <w:tcBorders>
              <w:top w:val="single" w:color="auto" w:sz="4" w:space="0"/>
              <w:left w:val="single" w:color="auto" w:sz="4" w:space="0"/>
              <w:bottom w:val="single" w:color="auto" w:sz="4" w:space="0"/>
              <w:right w:val="single" w:color="auto" w:sz="4" w:space="0"/>
            </w:tcBorders>
            <w:vAlign w:val="center"/>
          </w:tcPr>
          <w:p w14:paraId="74D49858">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995" w:type="dxa"/>
            <w:tcBorders>
              <w:top w:val="single" w:color="auto" w:sz="4" w:space="0"/>
              <w:left w:val="single" w:color="auto" w:sz="4" w:space="0"/>
              <w:bottom w:val="single" w:color="auto" w:sz="4" w:space="0"/>
              <w:right w:val="single" w:color="auto" w:sz="4" w:space="0"/>
            </w:tcBorders>
            <w:vAlign w:val="center"/>
          </w:tcPr>
          <w:p w14:paraId="56F37E17">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项目业主</w:t>
            </w:r>
          </w:p>
        </w:tc>
        <w:tc>
          <w:tcPr>
            <w:tcW w:w="6534" w:type="dxa"/>
            <w:tcBorders>
              <w:top w:val="single" w:color="auto" w:sz="4" w:space="0"/>
              <w:left w:val="single" w:color="auto" w:sz="4" w:space="0"/>
              <w:bottom w:val="single" w:color="auto" w:sz="4" w:space="0"/>
              <w:right w:val="single" w:color="auto" w:sz="4" w:space="0"/>
            </w:tcBorders>
            <w:vAlign w:val="center"/>
          </w:tcPr>
          <w:p w14:paraId="5DC32964">
            <w:pPr>
              <w:pStyle w:val="55"/>
              <w:shd w:val="clear" w:color="auto" w:fill="auto"/>
              <w:spacing w:line="240" w:lineRule="auto"/>
              <w:ind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bidi="ar-SA"/>
              </w:rPr>
              <w:t>南雄市乡村振兴服务中心</w:t>
            </w:r>
          </w:p>
        </w:tc>
      </w:tr>
      <w:tr w14:paraId="2F9355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155" w:hRule="atLeast"/>
        </w:trPr>
        <w:tc>
          <w:tcPr>
            <w:tcW w:w="658" w:type="dxa"/>
            <w:tcBorders>
              <w:top w:val="single" w:color="auto" w:sz="4" w:space="0"/>
              <w:left w:val="single" w:color="auto" w:sz="4" w:space="0"/>
              <w:bottom w:val="single" w:color="auto" w:sz="4" w:space="0"/>
              <w:right w:val="single" w:color="auto" w:sz="4" w:space="0"/>
            </w:tcBorders>
            <w:vAlign w:val="center"/>
          </w:tcPr>
          <w:p w14:paraId="189C3240">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995" w:type="dxa"/>
            <w:tcBorders>
              <w:top w:val="single" w:color="auto" w:sz="4" w:space="0"/>
              <w:left w:val="single" w:color="auto" w:sz="4" w:space="0"/>
              <w:bottom w:val="single" w:color="auto" w:sz="4" w:space="0"/>
              <w:right w:val="single" w:color="auto" w:sz="4" w:space="0"/>
            </w:tcBorders>
            <w:vAlign w:val="center"/>
          </w:tcPr>
          <w:p w14:paraId="411AD923">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项目批准部门及项目批准文号</w:t>
            </w:r>
          </w:p>
        </w:tc>
        <w:tc>
          <w:tcPr>
            <w:tcW w:w="6534" w:type="dxa"/>
            <w:tcBorders>
              <w:top w:val="single" w:color="auto" w:sz="4" w:space="0"/>
              <w:left w:val="single" w:color="auto" w:sz="4" w:space="0"/>
              <w:bottom w:val="single" w:color="auto" w:sz="4" w:space="0"/>
              <w:right w:val="single" w:color="auto" w:sz="4" w:space="0"/>
            </w:tcBorders>
            <w:vAlign w:val="center"/>
          </w:tcPr>
          <w:p w14:paraId="73995607">
            <w:pPr>
              <w:pStyle w:val="55"/>
              <w:shd w:val="clear" w:color="auto" w:fill="auto"/>
              <w:spacing w:line="360" w:lineRule="auto"/>
              <w:ind w:firstLine="210" w:firstLineChars="10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南雄市发展和改革局</w:t>
            </w:r>
          </w:p>
          <w:p w14:paraId="38D1CB07">
            <w:pPr>
              <w:pStyle w:val="55"/>
              <w:shd w:val="clear" w:color="auto" w:fill="auto"/>
              <w:spacing w:line="360" w:lineRule="auto"/>
              <w:ind w:firstLine="210" w:firstLineChars="10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w:t>
            </w:r>
            <w:r>
              <w:rPr>
                <w:rFonts w:hint="eastAsia" w:ascii="宋体" w:hAnsi="宋体" w:eastAsia="宋体" w:cs="宋体"/>
                <w:color w:val="auto"/>
                <w:sz w:val="21"/>
                <w:szCs w:val="21"/>
                <w:highlight w:val="none"/>
                <w:lang w:val="en-US" w:eastAsia="zh-CN"/>
              </w:rPr>
              <w:t>雄发改投审[2024]106号</w:t>
            </w:r>
            <w:r>
              <w:rPr>
                <w:rFonts w:hint="eastAsia" w:ascii="宋体" w:hAnsi="宋体" w:cs="宋体"/>
                <w:color w:val="auto"/>
                <w:sz w:val="21"/>
                <w:szCs w:val="21"/>
                <w:highlight w:val="none"/>
                <w:lang w:val="en-US" w:eastAsia="zh-CN"/>
              </w:rPr>
              <w:t>、雄发改投审[2026]95号、雄发改投审[2026]116号</w:t>
            </w:r>
            <w:r>
              <w:rPr>
                <w:rFonts w:hint="eastAsia" w:ascii="宋体" w:hAnsi="宋体" w:eastAsia="宋体" w:cs="宋体"/>
                <w:color w:val="auto"/>
                <w:sz w:val="21"/>
                <w:szCs w:val="21"/>
                <w:highlight w:val="none"/>
                <w:lang w:val="en-US" w:eastAsia="zh-CN"/>
              </w:rPr>
              <w:t>）</w:t>
            </w:r>
          </w:p>
        </w:tc>
      </w:tr>
      <w:tr w14:paraId="1842A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37" w:hRule="atLeast"/>
        </w:trPr>
        <w:tc>
          <w:tcPr>
            <w:tcW w:w="658" w:type="dxa"/>
            <w:tcBorders>
              <w:top w:val="single" w:color="auto" w:sz="4" w:space="0"/>
              <w:left w:val="single" w:color="auto" w:sz="4" w:space="0"/>
              <w:bottom w:val="single" w:color="auto" w:sz="4" w:space="0"/>
              <w:right w:val="single" w:color="auto" w:sz="4" w:space="0"/>
            </w:tcBorders>
            <w:vAlign w:val="center"/>
          </w:tcPr>
          <w:p w14:paraId="0357FFEF">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w:t>
            </w:r>
          </w:p>
        </w:tc>
        <w:tc>
          <w:tcPr>
            <w:tcW w:w="1995" w:type="dxa"/>
            <w:tcBorders>
              <w:top w:val="single" w:color="auto" w:sz="4" w:space="0"/>
              <w:left w:val="single" w:color="auto" w:sz="4" w:space="0"/>
              <w:bottom w:val="single" w:color="auto" w:sz="4" w:space="0"/>
              <w:right w:val="single" w:color="auto" w:sz="4" w:space="0"/>
            </w:tcBorders>
            <w:vAlign w:val="center"/>
          </w:tcPr>
          <w:p w14:paraId="189ECB62">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sz w:val="21"/>
                <w:szCs w:val="21"/>
                <w:highlight w:val="none"/>
                <w:lang w:val="en-US" w:eastAsia="zh-CN" w:bidi="ar-SA"/>
              </w:rPr>
              <w:t>建设地点</w:t>
            </w:r>
          </w:p>
        </w:tc>
        <w:tc>
          <w:tcPr>
            <w:tcW w:w="6534" w:type="dxa"/>
            <w:tcBorders>
              <w:top w:val="single" w:color="auto" w:sz="4" w:space="0"/>
              <w:left w:val="single" w:color="auto" w:sz="4" w:space="0"/>
              <w:bottom w:val="single" w:color="auto" w:sz="4" w:space="0"/>
              <w:right w:val="single" w:color="auto" w:sz="4" w:space="0"/>
            </w:tcBorders>
            <w:vAlign w:val="center"/>
          </w:tcPr>
          <w:p w14:paraId="0045576D">
            <w:pPr>
              <w:pStyle w:val="15"/>
              <w:shd w:val="clear" w:color="auto" w:fill="auto"/>
              <w:ind w:firstLine="210" w:firstLineChars="10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南雄市油山镇</w:t>
            </w:r>
          </w:p>
        </w:tc>
      </w:tr>
      <w:tr w14:paraId="68B2A1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07" w:hRule="atLeast"/>
        </w:trPr>
        <w:tc>
          <w:tcPr>
            <w:tcW w:w="658" w:type="dxa"/>
            <w:tcBorders>
              <w:top w:val="single" w:color="auto" w:sz="4" w:space="0"/>
              <w:left w:val="single" w:color="auto" w:sz="4" w:space="0"/>
              <w:bottom w:val="single" w:color="auto" w:sz="4" w:space="0"/>
              <w:right w:val="single" w:color="auto" w:sz="4" w:space="0"/>
            </w:tcBorders>
            <w:vAlign w:val="center"/>
          </w:tcPr>
          <w:p w14:paraId="1BF0A4FB">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5</w:t>
            </w:r>
          </w:p>
        </w:tc>
        <w:tc>
          <w:tcPr>
            <w:tcW w:w="1995" w:type="dxa"/>
            <w:tcBorders>
              <w:top w:val="single" w:color="auto" w:sz="4" w:space="0"/>
              <w:left w:val="single" w:color="auto" w:sz="4" w:space="0"/>
              <w:bottom w:val="single" w:color="auto" w:sz="4" w:space="0"/>
              <w:right w:val="single" w:color="auto" w:sz="4" w:space="0"/>
            </w:tcBorders>
            <w:vAlign w:val="center"/>
          </w:tcPr>
          <w:p w14:paraId="7AEB9C9E">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项目代码</w:t>
            </w:r>
          </w:p>
        </w:tc>
        <w:tc>
          <w:tcPr>
            <w:tcW w:w="6534" w:type="dxa"/>
            <w:tcBorders>
              <w:top w:val="single" w:color="auto" w:sz="4" w:space="0"/>
              <w:left w:val="single" w:color="auto" w:sz="4" w:space="0"/>
              <w:bottom w:val="single" w:color="auto" w:sz="4" w:space="0"/>
              <w:right w:val="single" w:color="auto" w:sz="4" w:space="0"/>
            </w:tcBorders>
            <w:vAlign w:val="center"/>
          </w:tcPr>
          <w:p w14:paraId="72860F81">
            <w:pPr>
              <w:pStyle w:val="55"/>
              <w:shd w:val="clear" w:color="auto" w:fill="auto"/>
              <w:spacing w:line="360" w:lineRule="auto"/>
              <w:ind w:firstLine="210" w:firstLineChars="100"/>
              <w:jc w:val="both"/>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2407-440282-20-01-288869</w:t>
            </w:r>
          </w:p>
        </w:tc>
      </w:tr>
      <w:tr w14:paraId="423C9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17" w:hRule="atLeast"/>
        </w:trPr>
        <w:tc>
          <w:tcPr>
            <w:tcW w:w="658" w:type="dxa"/>
            <w:tcBorders>
              <w:top w:val="single" w:color="auto" w:sz="4" w:space="0"/>
              <w:left w:val="single" w:color="auto" w:sz="4" w:space="0"/>
              <w:bottom w:val="single" w:color="auto" w:sz="4" w:space="0"/>
              <w:right w:val="single" w:color="auto" w:sz="4" w:space="0"/>
            </w:tcBorders>
            <w:vAlign w:val="center"/>
          </w:tcPr>
          <w:p w14:paraId="3D9DEB1B">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6</w:t>
            </w:r>
          </w:p>
        </w:tc>
        <w:tc>
          <w:tcPr>
            <w:tcW w:w="1995" w:type="dxa"/>
            <w:tcBorders>
              <w:top w:val="single" w:color="auto" w:sz="4" w:space="0"/>
              <w:left w:val="single" w:color="auto" w:sz="4" w:space="0"/>
              <w:bottom w:val="single" w:color="auto" w:sz="4" w:space="0"/>
              <w:right w:val="single" w:color="auto" w:sz="4" w:space="0"/>
            </w:tcBorders>
            <w:vAlign w:val="center"/>
          </w:tcPr>
          <w:p w14:paraId="5D323152">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资金来源</w:t>
            </w:r>
          </w:p>
          <w:p w14:paraId="600B9638">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及出资比例</w:t>
            </w:r>
          </w:p>
        </w:tc>
        <w:tc>
          <w:tcPr>
            <w:tcW w:w="6534" w:type="dxa"/>
            <w:tcBorders>
              <w:top w:val="single" w:color="auto" w:sz="4" w:space="0"/>
              <w:left w:val="single" w:color="auto" w:sz="4" w:space="0"/>
              <w:bottom w:val="single" w:color="auto" w:sz="4" w:space="0"/>
              <w:right w:val="single" w:color="auto" w:sz="4" w:space="0"/>
            </w:tcBorders>
            <w:vAlign w:val="center"/>
          </w:tcPr>
          <w:p w14:paraId="2885777F">
            <w:pPr>
              <w:pStyle w:val="55"/>
              <w:shd w:val="clear" w:color="auto" w:fill="auto"/>
              <w:spacing w:line="360" w:lineRule="auto"/>
              <w:ind w:firstLine="210" w:firstLineChars="10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上级财政资金，100%。</w:t>
            </w:r>
          </w:p>
        </w:tc>
      </w:tr>
      <w:tr w14:paraId="6B2830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658" w:type="dxa"/>
            <w:tcBorders>
              <w:top w:val="single" w:color="auto" w:sz="4" w:space="0"/>
              <w:left w:val="single" w:color="auto" w:sz="4" w:space="0"/>
              <w:bottom w:val="single" w:color="auto" w:sz="4" w:space="0"/>
              <w:right w:val="single" w:color="auto" w:sz="4" w:space="0"/>
            </w:tcBorders>
            <w:vAlign w:val="center"/>
          </w:tcPr>
          <w:p w14:paraId="6F26AB3E">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7</w:t>
            </w:r>
          </w:p>
        </w:tc>
        <w:tc>
          <w:tcPr>
            <w:tcW w:w="1995" w:type="dxa"/>
            <w:tcBorders>
              <w:top w:val="single" w:color="auto" w:sz="4" w:space="0"/>
              <w:left w:val="single" w:color="auto" w:sz="4" w:space="0"/>
              <w:bottom w:val="single" w:color="auto" w:sz="4" w:space="0"/>
              <w:right w:val="single" w:color="auto" w:sz="4" w:space="0"/>
            </w:tcBorders>
            <w:vAlign w:val="center"/>
          </w:tcPr>
          <w:p w14:paraId="4A3E1444">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招标人</w:t>
            </w:r>
          </w:p>
        </w:tc>
        <w:tc>
          <w:tcPr>
            <w:tcW w:w="6534" w:type="dxa"/>
            <w:tcBorders>
              <w:top w:val="single" w:color="auto" w:sz="4" w:space="0"/>
              <w:left w:val="single" w:color="auto" w:sz="4" w:space="0"/>
              <w:bottom w:val="single" w:color="auto" w:sz="4" w:space="0"/>
              <w:right w:val="single" w:color="auto" w:sz="4" w:space="0"/>
            </w:tcBorders>
            <w:vAlign w:val="center"/>
          </w:tcPr>
          <w:p w14:paraId="34916AFC">
            <w:pPr>
              <w:shd w:val="clear" w:color="auto" w:fill="auto"/>
              <w:wordWrap w:val="0"/>
              <w:adjustRightInd w:val="0"/>
              <w:snapToGrid w:val="0"/>
              <w:spacing w:line="400" w:lineRule="exact"/>
              <w:ind w:firstLine="210" w:firstLineChars="100"/>
              <w:jc w:val="left"/>
              <w:rPr>
                <w:rFonts w:hint="eastAsia" w:ascii="宋体" w:hAnsi="宋体" w:eastAsia="宋体" w:cs="宋体"/>
                <w:bCs/>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eastAsia="zh-CN"/>
              </w:rPr>
              <w:t>南雄市油山镇人民政府</w:t>
            </w:r>
          </w:p>
        </w:tc>
      </w:tr>
      <w:tr w14:paraId="3C4D6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658" w:type="dxa"/>
            <w:tcBorders>
              <w:top w:val="single" w:color="auto" w:sz="4" w:space="0"/>
              <w:left w:val="single" w:color="auto" w:sz="4" w:space="0"/>
              <w:bottom w:val="single" w:color="auto" w:sz="4" w:space="0"/>
              <w:right w:val="single" w:color="auto" w:sz="4" w:space="0"/>
            </w:tcBorders>
            <w:vAlign w:val="center"/>
          </w:tcPr>
          <w:p w14:paraId="5FD7570D">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8</w:t>
            </w:r>
          </w:p>
        </w:tc>
        <w:tc>
          <w:tcPr>
            <w:tcW w:w="1995" w:type="dxa"/>
            <w:tcBorders>
              <w:top w:val="single" w:color="auto" w:sz="4" w:space="0"/>
              <w:left w:val="single" w:color="auto" w:sz="4" w:space="0"/>
              <w:bottom w:val="single" w:color="auto" w:sz="4" w:space="0"/>
              <w:right w:val="single" w:color="auto" w:sz="4" w:space="0"/>
            </w:tcBorders>
            <w:vAlign w:val="center"/>
          </w:tcPr>
          <w:p w14:paraId="7D21A980">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招标代理机构</w:t>
            </w:r>
          </w:p>
        </w:tc>
        <w:tc>
          <w:tcPr>
            <w:tcW w:w="6534" w:type="dxa"/>
            <w:tcBorders>
              <w:top w:val="single" w:color="auto" w:sz="4" w:space="0"/>
              <w:left w:val="single" w:color="auto" w:sz="4" w:space="0"/>
              <w:bottom w:val="single" w:color="auto" w:sz="4" w:space="0"/>
              <w:right w:val="single" w:color="auto" w:sz="4" w:space="0"/>
            </w:tcBorders>
            <w:vAlign w:val="center"/>
          </w:tcPr>
          <w:p w14:paraId="3234800E">
            <w:pPr>
              <w:shd w:val="clear" w:color="auto" w:fill="auto"/>
              <w:wordWrap w:val="0"/>
              <w:adjustRightInd w:val="0"/>
              <w:snapToGrid w:val="0"/>
              <w:spacing w:line="400" w:lineRule="exact"/>
              <w:ind w:firstLine="210" w:firstLineChars="100"/>
              <w:jc w:val="left"/>
              <w:rPr>
                <w:rFonts w:hint="eastAsia" w:ascii="宋体" w:hAnsi="宋体" w:eastAsia="宋体" w:cs="宋体"/>
                <w:bCs/>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eastAsia="zh-CN"/>
              </w:rPr>
              <w:t>广东象龙国际项目管理有限公司</w:t>
            </w:r>
          </w:p>
        </w:tc>
      </w:tr>
      <w:tr w14:paraId="415374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658" w:type="dxa"/>
            <w:tcBorders>
              <w:top w:val="single" w:color="auto" w:sz="4" w:space="0"/>
              <w:left w:val="single" w:color="auto" w:sz="4" w:space="0"/>
              <w:bottom w:val="single" w:color="auto" w:sz="4" w:space="0"/>
              <w:right w:val="single" w:color="auto" w:sz="4" w:space="0"/>
            </w:tcBorders>
            <w:vAlign w:val="center"/>
          </w:tcPr>
          <w:p w14:paraId="11ADC6D7">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9</w:t>
            </w:r>
          </w:p>
        </w:tc>
        <w:tc>
          <w:tcPr>
            <w:tcW w:w="1995" w:type="dxa"/>
            <w:tcBorders>
              <w:top w:val="single" w:color="auto" w:sz="4" w:space="0"/>
              <w:left w:val="single" w:color="auto" w:sz="4" w:space="0"/>
              <w:bottom w:val="single" w:color="auto" w:sz="4" w:space="0"/>
              <w:right w:val="single" w:color="auto" w:sz="4" w:space="0"/>
            </w:tcBorders>
            <w:vAlign w:val="center"/>
          </w:tcPr>
          <w:p w14:paraId="3EA5C4BE">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sz w:val="21"/>
                <w:szCs w:val="21"/>
                <w:highlight w:val="none"/>
                <w:lang w:val="en-US" w:eastAsia="zh-CN" w:bidi="ar-SA"/>
              </w:rPr>
              <w:t>设计单位</w:t>
            </w:r>
          </w:p>
        </w:tc>
        <w:tc>
          <w:tcPr>
            <w:tcW w:w="6534" w:type="dxa"/>
            <w:tcBorders>
              <w:top w:val="single" w:color="auto" w:sz="4" w:space="0"/>
              <w:left w:val="single" w:color="auto" w:sz="4" w:space="0"/>
              <w:bottom w:val="single" w:color="auto" w:sz="4" w:space="0"/>
              <w:right w:val="single" w:color="auto" w:sz="4" w:space="0"/>
            </w:tcBorders>
            <w:vAlign w:val="center"/>
          </w:tcPr>
          <w:p w14:paraId="5BE0B0A7">
            <w:pPr>
              <w:pStyle w:val="15"/>
              <w:shd w:val="clear" w:color="auto" w:fill="auto"/>
              <w:ind w:firstLine="210" w:firstLineChars="100"/>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bidi="ar-SA"/>
              </w:rPr>
              <w:t>待定</w:t>
            </w:r>
          </w:p>
        </w:tc>
      </w:tr>
      <w:tr w14:paraId="1D1F85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658" w:type="dxa"/>
            <w:tcBorders>
              <w:top w:val="single" w:color="auto" w:sz="4" w:space="0"/>
              <w:left w:val="single" w:color="auto" w:sz="4" w:space="0"/>
              <w:bottom w:val="single" w:color="auto" w:sz="4" w:space="0"/>
              <w:right w:val="single" w:color="auto" w:sz="4" w:space="0"/>
            </w:tcBorders>
            <w:vAlign w:val="center"/>
          </w:tcPr>
          <w:p w14:paraId="21B67A02">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10</w:t>
            </w:r>
          </w:p>
        </w:tc>
        <w:tc>
          <w:tcPr>
            <w:tcW w:w="1995" w:type="dxa"/>
            <w:tcBorders>
              <w:top w:val="single" w:color="auto" w:sz="4" w:space="0"/>
              <w:left w:val="single" w:color="auto" w:sz="4" w:space="0"/>
              <w:bottom w:val="single" w:color="auto" w:sz="4" w:space="0"/>
              <w:right w:val="single" w:color="auto" w:sz="4" w:space="0"/>
            </w:tcBorders>
            <w:vAlign w:val="center"/>
          </w:tcPr>
          <w:p w14:paraId="3AE14D3D">
            <w:pPr>
              <w:shd w:val="clear" w:color="auto" w:fill="auto"/>
              <w:spacing w:before="197" w:line="227"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全过程造价咨询单位</w:t>
            </w:r>
          </w:p>
        </w:tc>
        <w:tc>
          <w:tcPr>
            <w:tcW w:w="6534" w:type="dxa"/>
            <w:tcBorders>
              <w:top w:val="single" w:color="auto" w:sz="4" w:space="0"/>
              <w:left w:val="single" w:color="auto" w:sz="4" w:space="0"/>
              <w:bottom w:val="single" w:color="auto" w:sz="4" w:space="0"/>
              <w:right w:val="single" w:color="auto" w:sz="4" w:space="0"/>
            </w:tcBorders>
            <w:vAlign w:val="center"/>
          </w:tcPr>
          <w:p w14:paraId="43F66306">
            <w:pPr>
              <w:shd w:val="clear" w:color="auto" w:fill="auto"/>
              <w:spacing w:before="185" w:line="219" w:lineRule="auto"/>
              <w:ind w:left="33" w:leftChars="0" w:firstLine="206" w:firstLineChars="100"/>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非全过程造价咨询</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全过程造价咨询</w:t>
            </w:r>
            <w:r>
              <w:rPr>
                <w:rFonts w:hint="eastAsia" w:ascii="宋体" w:hAnsi="宋体" w:eastAsia="宋体" w:cs="宋体"/>
                <w:snapToGrid w:val="0"/>
                <w:color w:val="auto"/>
                <w:sz w:val="21"/>
                <w:szCs w:val="21"/>
                <w:highlight w:val="none"/>
                <w:lang w:val="en-US" w:eastAsia="zh-CN" w:bidi="ar-SA"/>
              </w:rPr>
              <w:t xml:space="preserve">  </w:t>
            </w:r>
          </w:p>
        </w:tc>
      </w:tr>
      <w:tr w14:paraId="47DA6D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658" w:type="dxa"/>
            <w:tcBorders>
              <w:top w:val="single" w:color="auto" w:sz="4" w:space="0"/>
              <w:left w:val="single" w:color="auto" w:sz="4" w:space="0"/>
              <w:bottom w:val="single" w:color="auto" w:sz="4" w:space="0"/>
              <w:right w:val="single" w:color="auto" w:sz="4" w:space="0"/>
            </w:tcBorders>
            <w:vAlign w:val="center"/>
          </w:tcPr>
          <w:p w14:paraId="305451BD">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11</w:t>
            </w:r>
          </w:p>
        </w:tc>
        <w:tc>
          <w:tcPr>
            <w:tcW w:w="1995" w:type="dxa"/>
            <w:tcBorders>
              <w:top w:val="single" w:color="auto" w:sz="4" w:space="0"/>
              <w:left w:val="single" w:color="auto" w:sz="4" w:space="0"/>
              <w:bottom w:val="single" w:color="auto" w:sz="4" w:space="0"/>
              <w:right w:val="single" w:color="auto" w:sz="4" w:space="0"/>
            </w:tcBorders>
            <w:vAlign w:val="center"/>
          </w:tcPr>
          <w:p w14:paraId="02E96484">
            <w:pPr>
              <w:shd w:val="clear" w:color="auto" w:fill="auto"/>
              <w:spacing w:before="194" w:line="229"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监理单位</w:t>
            </w:r>
          </w:p>
        </w:tc>
        <w:tc>
          <w:tcPr>
            <w:tcW w:w="6534" w:type="dxa"/>
            <w:tcBorders>
              <w:top w:val="single" w:color="auto" w:sz="4" w:space="0"/>
              <w:left w:val="single" w:color="auto" w:sz="4" w:space="0"/>
              <w:bottom w:val="single" w:color="auto" w:sz="4" w:space="0"/>
              <w:right w:val="single" w:color="auto" w:sz="4" w:space="0"/>
            </w:tcBorders>
            <w:vAlign w:val="center"/>
          </w:tcPr>
          <w:p w14:paraId="2DBC20B0">
            <w:pPr>
              <w:shd w:val="clear" w:color="auto" w:fill="auto"/>
              <w:spacing w:before="179" w:line="240" w:lineRule="auto"/>
              <w:ind w:left="33" w:leftChars="0" w:firstLine="200" w:firstLineChars="100"/>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pacing w:val="-5"/>
                <w:sz w:val="21"/>
                <w:szCs w:val="21"/>
                <w:highlight w:val="none"/>
              </w:rPr>
              <w:t>已确定监理单位</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lang w:eastAsia="zh-CN"/>
              </w:rPr>
              <w:t>☑未</w:t>
            </w:r>
            <w:r>
              <w:rPr>
                <w:rFonts w:hint="eastAsia" w:ascii="宋体" w:hAnsi="宋体" w:eastAsia="宋体" w:cs="宋体"/>
                <w:color w:val="auto"/>
                <w:spacing w:val="-5"/>
                <w:sz w:val="21"/>
                <w:szCs w:val="21"/>
                <w:highlight w:val="none"/>
              </w:rPr>
              <w:t>确定监理单位</w:t>
            </w:r>
          </w:p>
        </w:tc>
      </w:tr>
      <w:tr w14:paraId="41BFE8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2" w:hRule="atLeast"/>
        </w:trPr>
        <w:tc>
          <w:tcPr>
            <w:tcW w:w="658" w:type="dxa"/>
            <w:tcBorders>
              <w:top w:val="single" w:color="auto" w:sz="4" w:space="0"/>
              <w:left w:val="single" w:color="auto" w:sz="4" w:space="0"/>
              <w:bottom w:val="single" w:color="auto" w:sz="4" w:space="0"/>
              <w:right w:val="single" w:color="auto" w:sz="4" w:space="0"/>
            </w:tcBorders>
            <w:vAlign w:val="center"/>
          </w:tcPr>
          <w:p w14:paraId="2642D054">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12</w:t>
            </w:r>
          </w:p>
        </w:tc>
        <w:tc>
          <w:tcPr>
            <w:tcW w:w="1995" w:type="dxa"/>
            <w:tcBorders>
              <w:top w:val="single" w:color="auto" w:sz="4" w:space="0"/>
              <w:left w:val="single" w:color="auto" w:sz="4" w:space="0"/>
              <w:bottom w:val="single" w:color="auto" w:sz="4" w:space="0"/>
              <w:right w:val="single" w:color="auto" w:sz="4" w:space="0"/>
            </w:tcBorders>
            <w:vAlign w:val="center"/>
          </w:tcPr>
          <w:p w14:paraId="16837C49">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6534" w:type="dxa"/>
            <w:tcBorders>
              <w:top w:val="single" w:color="auto" w:sz="4" w:space="0"/>
              <w:left w:val="single" w:color="auto" w:sz="4" w:space="0"/>
              <w:bottom w:val="single" w:color="auto" w:sz="4" w:space="0"/>
              <w:right w:val="single" w:color="auto" w:sz="4" w:space="0"/>
            </w:tcBorders>
            <w:vAlign w:val="center"/>
          </w:tcPr>
          <w:p w14:paraId="514B342E">
            <w:pPr>
              <w:keepNext w:val="0"/>
              <w:keepLines w:val="0"/>
              <w:pageBreakBefore w:val="0"/>
              <w:widowControl/>
              <w:suppressLineNumbers w:val="0"/>
              <w:shd w:val="clear" w:color="auto" w:fill="auto"/>
              <w:kinsoku/>
              <w:wordWrap/>
              <w:overflowPunct/>
              <w:topLinePunct w:val="0"/>
              <w:autoSpaceDE/>
              <w:autoSpaceDN/>
              <w:bidi w:val="0"/>
              <w:adjustRightInd/>
              <w:snapToGrid/>
              <w:spacing w:line="400" w:lineRule="exact"/>
              <w:ind w:left="0" w:leftChars="0" w:firstLine="210" w:firstLineChars="1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施农房风貌提升改造约5000平方米，路面硬化约9500平方米，道路黑体化约500平方米，建设休闲场所约1000平方米，修建挡墙约3000立方米，修建水沟、暗沟、涵管约670米，建设“四小园”约375米，修建挡土墙、围墙约150米，建设防护栏杆约450米，改建文体广场2个，新建停车场2个，整治池塘3个，进行绿化等。</w:t>
            </w:r>
          </w:p>
        </w:tc>
      </w:tr>
      <w:tr w14:paraId="01262E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31" w:hRule="exact"/>
        </w:trPr>
        <w:tc>
          <w:tcPr>
            <w:tcW w:w="658" w:type="dxa"/>
            <w:tcBorders>
              <w:top w:val="single" w:color="auto" w:sz="4" w:space="0"/>
              <w:left w:val="single" w:color="auto" w:sz="4" w:space="0"/>
              <w:bottom w:val="single" w:color="auto" w:sz="4" w:space="0"/>
              <w:right w:val="single" w:color="auto" w:sz="4" w:space="0"/>
            </w:tcBorders>
            <w:vAlign w:val="center"/>
          </w:tcPr>
          <w:p w14:paraId="428C39F3">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r>
              <w:rPr>
                <w:rFonts w:hint="eastAsia" w:ascii="宋体" w:hAnsi="宋体" w:eastAsia="宋体" w:cs="宋体"/>
                <w:snapToGrid w:val="0"/>
                <w:color w:val="auto"/>
                <w:kern w:val="0"/>
                <w:sz w:val="21"/>
                <w:szCs w:val="21"/>
                <w:highlight w:val="none"/>
                <w:lang w:val="en-US" w:eastAsia="zh-CN"/>
              </w:rPr>
              <w:t>3</w:t>
            </w:r>
          </w:p>
        </w:tc>
        <w:tc>
          <w:tcPr>
            <w:tcW w:w="1995" w:type="dxa"/>
            <w:tcBorders>
              <w:top w:val="single" w:color="auto" w:sz="4" w:space="0"/>
              <w:left w:val="single" w:color="auto" w:sz="4" w:space="0"/>
              <w:bottom w:val="single" w:color="auto" w:sz="4" w:space="0"/>
              <w:right w:val="single" w:color="auto" w:sz="4" w:space="0"/>
            </w:tcBorders>
            <w:vAlign w:val="center"/>
          </w:tcPr>
          <w:p w14:paraId="6AE89C92">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w:t>
            </w:r>
            <w:r>
              <w:rPr>
                <w:rFonts w:hint="eastAsia" w:ascii="宋体" w:hAnsi="宋体" w:eastAsia="宋体" w:cs="宋体"/>
                <w:color w:val="auto"/>
                <w:kern w:val="0"/>
                <w:sz w:val="21"/>
                <w:szCs w:val="21"/>
                <w:highlight w:val="none"/>
                <w:u w:val="none"/>
                <w:lang w:val="en-US" w:eastAsia="zh-CN"/>
              </w:rPr>
              <w:t>概算</w:t>
            </w:r>
            <w:r>
              <w:rPr>
                <w:rFonts w:hint="eastAsia" w:ascii="宋体" w:hAnsi="宋体" w:eastAsia="宋体" w:cs="宋体"/>
                <w:snapToGrid w:val="0"/>
                <w:color w:val="auto"/>
                <w:kern w:val="0"/>
                <w:sz w:val="21"/>
                <w:szCs w:val="21"/>
                <w:highlight w:val="none"/>
                <w:u w:val="none"/>
              </w:rPr>
              <w:t>投</w:t>
            </w:r>
            <w:r>
              <w:rPr>
                <w:rFonts w:hint="eastAsia" w:ascii="宋体" w:hAnsi="宋体" w:eastAsia="宋体" w:cs="宋体"/>
                <w:snapToGrid w:val="0"/>
                <w:color w:val="auto"/>
                <w:kern w:val="0"/>
                <w:sz w:val="21"/>
                <w:szCs w:val="21"/>
                <w:highlight w:val="none"/>
              </w:rPr>
              <w:t>资额</w:t>
            </w:r>
          </w:p>
        </w:tc>
        <w:tc>
          <w:tcPr>
            <w:tcW w:w="6534" w:type="dxa"/>
            <w:tcBorders>
              <w:top w:val="single" w:color="auto" w:sz="4" w:space="0"/>
              <w:left w:val="single" w:color="auto" w:sz="4" w:space="0"/>
              <w:bottom w:val="single" w:color="auto" w:sz="4" w:space="0"/>
              <w:right w:val="single" w:color="auto" w:sz="4" w:space="0"/>
            </w:tcBorders>
            <w:vAlign w:val="center"/>
          </w:tcPr>
          <w:p w14:paraId="791126B0">
            <w:pPr>
              <w:shd w:val="clear" w:color="auto" w:fill="auto"/>
              <w:wordWrap w:val="0"/>
              <w:adjustRightInd w:val="0"/>
              <w:snapToGrid w:val="0"/>
              <w:spacing w:line="400" w:lineRule="exact"/>
              <w:ind w:left="0" w:leftChars="0" w:firstLine="210" w:firstLineChars="100"/>
              <w:jc w:val="left"/>
              <w:rPr>
                <w:rFonts w:hint="eastAsia" w:ascii="宋体" w:hAnsi="宋体" w:eastAsia="宋体" w:cs="宋体"/>
                <w:bCs/>
                <w:snapToGrid w:val="0"/>
                <w:color w:val="auto"/>
                <w:kern w:val="0"/>
                <w:sz w:val="21"/>
                <w:szCs w:val="21"/>
                <w:highlight w:val="none"/>
              </w:rPr>
            </w:pPr>
            <w:r>
              <w:rPr>
                <w:rFonts w:hint="eastAsia" w:ascii="宋体" w:hAnsi="宋体" w:eastAsia="宋体" w:cs="宋体"/>
                <w:bCs/>
                <w:snapToGrid w:val="0"/>
                <w:color w:val="auto"/>
                <w:kern w:val="0"/>
                <w:sz w:val="21"/>
                <w:szCs w:val="21"/>
                <w:highlight w:val="none"/>
                <w:lang w:val="en-US" w:eastAsia="zh-CN"/>
              </w:rPr>
              <w:t>本项目投资概算为485.91万元，其中建安费用424.49万元，工程建设其他费用40.19万元，预备费21.23万元。</w:t>
            </w:r>
          </w:p>
        </w:tc>
      </w:tr>
      <w:tr w14:paraId="4F8407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56" w:hRule="exact"/>
        </w:trPr>
        <w:tc>
          <w:tcPr>
            <w:tcW w:w="658" w:type="dxa"/>
            <w:tcBorders>
              <w:top w:val="single" w:color="auto" w:sz="4" w:space="0"/>
              <w:left w:val="single" w:color="auto" w:sz="4" w:space="0"/>
              <w:bottom w:val="single" w:color="auto" w:sz="4" w:space="0"/>
              <w:right w:val="single" w:color="auto" w:sz="4" w:space="0"/>
            </w:tcBorders>
            <w:vAlign w:val="center"/>
          </w:tcPr>
          <w:p w14:paraId="36453E65">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r>
              <w:rPr>
                <w:rFonts w:hint="eastAsia" w:ascii="宋体" w:hAnsi="宋体" w:eastAsia="宋体" w:cs="宋体"/>
                <w:snapToGrid w:val="0"/>
                <w:color w:val="auto"/>
                <w:kern w:val="0"/>
                <w:sz w:val="21"/>
                <w:szCs w:val="21"/>
                <w:highlight w:val="none"/>
                <w:lang w:val="en-US" w:eastAsia="zh-CN"/>
              </w:rPr>
              <w:t>4</w:t>
            </w:r>
          </w:p>
        </w:tc>
        <w:tc>
          <w:tcPr>
            <w:tcW w:w="1995" w:type="dxa"/>
            <w:tcBorders>
              <w:top w:val="single" w:color="auto" w:sz="4" w:space="0"/>
              <w:left w:val="single" w:color="auto" w:sz="4" w:space="0"/>
              <w:bottom w:val="single" w:color="auto" w:sz="4" w:space="0"/>
              <w:right w:val="single" w:color="auto" w:sz="4" w:space="0"/>
            </w:tcBorders>
            <w:vAlign w:val="center"/>
          </w:tcPr>
          <w:p w14:paraId="600CAD83">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招标范围</w:t>
            </w:r>
          </w:p>
        </w:tc>
        <w:tc>
          <w:tcPr>
            <w:tcW w:w="6534" w:type="dxa"/>
            <w:tcBorders>
              <w:top w:val="single" w:color="auto" w:sz="4" w:space="0"/>
              <w:left w:val="single" w:color="auto" w:sz="4" w:space="0"/>
              <w:bottom w:val="single" w:color="auto" w:sz="4" w:space="0"/>
              <w:right w:val="single" w:color="auto" w:sz="4" w:space="0"/>
            </w:tcBorders>
            <w:vAlign w:val="center"/>
          </w:tcPr>
          <w:p w14:paraId="45689013">
            <w:pPr>
              <w:shd w:val="clear" w:color="auto" w:fill="auto"/>
              <w:wordWrap w:val="0"/>
              <w:adjustRightInd w:val="0"/>
              <w:snapToGrid w:val="0"/>
              <w:spacing w:line="400" w:lineRule="exact"/>
              <w:ind w:firstLine="210" w:firstLineChars="100"/>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lang w:eastAsia="zh-CN"/>
              </w:rPr>
              <w:t>项目建设施工阶段监理（含施工准备阶段、施工阶段、工程竣工结算阶段和保修阶段监理）</w:t>
            </w:r>
          </w:p>
        </w:tc>
      </w:tr>
      <w:tr w14:paraId="76C1F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5" w:hRule="exact"/>
        </w:trPr>
        <w:tc>
          <w:tcPr>
            <w:tcW w:w="658" w:type="dxa"/>
            <w:tcBorders>
              <w:top w:val="single" w:color="auto" w:sz="4" w:space="0"/>
              <w:left w:val="single" w:color="auto" w:sz="4" w:space="0"/>
              <w:bottom w:val="single" w:color="auto" w:sz="4" w:space="0"/>
              <w:right w:val="single" w:color="auto" w:sz="4" w:space="0"/>
            </w:tcBorders>
            <w:vAlign w:val="center"/>
          </w:tcPr>
          <w:p w14:paraId="43170868">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r>
              <w:rPr>
                <w:rFonts w:hint="eastAsia" w:ascii="宋体" w:hAnsi="宋体" w:eastAsia="宋体" w:cs="宋体"/>
                <w:snapToGrid w:val="0"/>
                <w:color w:val="auto"/>
                <w:kern w:val="0"/>
                <w:sz w:val="21"/>
                <w:szCs w:val="21"/>
                <w:highlight w:val="none"/>
                <w:lang w:val="en-US" w:eastAsia="zh-CN"/>
              </w:rPr>
              <w:t>5</w:t>
            </w:r>
          </w:p>
        </w:tc>
        <w:tc>
          <w:tcPr>
            <w:tcW w:w="1995" w:type="dxa"/>
            <w:tcBorders>
              <w:top w:val="single" w:color="auto" w:sz="4" w:space="0"/>
              <w:left w:val="single" w:color="auto" w:sz="4" w:space="0"/>
              <w:bottom w:val="single" w:color="auto" w:sz="4" w:space="0"/>
              <w:right w:val="single" w:color="auto" w:sz="4" w:space="0"/>
            </w:tcBorders>
            <w:vAlign w:val="center"/>
          </w:tcPr>
          <w:p w14:paraId="0D21DB76">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标段划分</w:t>
            </w:r>
          </w:p>
        </w:tc>
        <w:tc>
          <w:tcPr>
            <w:tcW w:w="6534" w:type="dxa"/>
            <w:tcBorders>
              <w:top w:val="single" w:color="auto" w:sz="4" w:space="0"/>
              <w:left w:val="single" w:color="auto" w:sz="4" w:space="0"/>
              <w:bottom w:val="single" w:color="auto" w:sz="4" w:space="0"/>
              <w:right w:val="single" w:color="auto" w:sz="4" w:space="0"/>
            </w:tcBorders>
            <w:vAlign w:val="center"/>
          </w:tcPr>
          <w:p w14:paraId="78BE0B16">
            <w:pPr>
              <w:shd w:val="clear" w:color="auto" w:fill="auto"/>
              <w:wordWrap w:val="0"/>
              <w:adjustRightInd w:val="0"/>
              <w:snapToGrid w:val="0"/>
              <w:spacing w:line="400" w:lineRule="exact"/>
              <w:ind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本招标项目不划分标段。</w:t>
            </w:r>
          </w:p>
        </w:tc>
      </w:tr>
      <w:tr w14:paraId="4112D8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163" w:hRule="exact"/>
        </w:trPr>
        <w:tc>
          <w:tcPr>
            <w:tcW w:w="658" w:type="dxa"/>
            <w:tcBorders>
              <w:top w:val="single" w:color="auto" w:sz="4" w:space="0"/>
              <w:left w:val="single" w:color="auto" w:sz="4" w:space="0"/>
              <w:bottom w:val="single" w:color="auto" w:sz="4" w:space="0"/>
              <w:right w:val="single" w:color="auto" w:sz="4" w:space="0"/>
            </w:tcBorders>
            <w:vAlign w:val="center"/>
          </w:tcPr>
          <w:p w14:paraId="4381787D">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16</w:t>
            </w:r>
          </w:p>
        </w:tc>
        <w:tc>
          <w:tcPr>
            <w:tcW w:w="1995" w:type="dxa"/>
            <w:tcBorders>
              <w:top w:val="single" w:color="auto" w:sz="4" w:space="0"/>
              <w:left w:val="single" w:color="auto" w:sz="4" w:space="0"/>
              <w:bottom w:val="single" w:color="auto" w:sz="4" w:space="0"/>
              <w:right w:val="single" w:color="auto" w:sz="4" w:space="0"/>
            </w:tcBorders>
            <w:vAlign w:val="center"/>
          </w:tcPr>
          <w:p w14:paraId="619732A6">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lang w:val="en-US" w:eastAsia="zh-CN"/>
              </w:rPr>
              <w:t>工期</w:t>
            </w:r>
          </w:p>
        </w:tc>
        <w:tc>
          <w:tcPr>
            <w:tcW w:w="6534" w:type="dxa"/>
            <w:tcBorders>
              <w:top w:val="single" w:color="auto" w:sz="4" w:space="0"/>
              <w:left w:val="single" w:color="auto" w:sz="4" w:space="0"/>
              <w:bottom w:val="single" w:color="auto" w:sz="4" w:space="0"/>
              <w:right w:val="single" w:color="auto" w:sz="4" w:space="0"/>
            </w:tcBorders>
            <w:vAlign w:val="center"/>
          </w:tcPr>
          <w:p w14:paraId="374440BE">
            <w:pPr>
              <w:shd w:val="clear" w:color="auto" w:fill="auto"/>
              <w:wordWrap w:val="0"/>
              <w:adjustRightInd w:val="0"/>
              <w:snapToGrid w:val="0"/>
              <w:spacing w:line="400" w:lineRule="exact"/>
              <w:ind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本招标项目施工工期为 </w:t>
            </w:r>
            <w:r>
              <w:rPr>
                <w:rFonts w:hint="eastAsia" w:hAnsi="宋体" w:cs="宋体"/>
                <w:color w:val="auto"/>
                <w:sz w:val="21"/>
                <w:szCs w:val="21"/>
                <w:highlight w:val="none"/>
                <w:lang w:val="en-US" w:eastAsia="zh-CN"/>
              </w:rPr>
              <w:t>180</w:t>
            </w:r>
            <w:r>
              <w:rPr>
                <w:rFonts w:hint="eastAsia" w:ascii="宋体" w:hAnsi="宋体" w:eastAsia="宋体" w:cs="宋体"/>
                <w:color w:val="auto"/>
                <w:sz w:val="21"/>
                <w:szCs w:val="21"/>
                <w:highlight w:val="none"/>
                <w:lang w:val="en-US" w:eastAsia="zh-CN"/>
              </w:rPr>
              <w:t xml:space="preserve"> 日历天。具体如下：</w:t>
            </w:r>
          </w:p>
          <w:p w14:paraId="38AC3139">
            <w:pPr>
              <w:shd w:val="clear" w:color="auto" w:fill="auto"/>
              <w:wordWrap w:val="0"/>
              <w:adjustRightInd w:val="0"/>
              <w:snapToGrid w:val="0"/>
              <w:spacing w:line="400" w:lineRule="exact"/>
              <w:ind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☑总工期： </w:t>
            </w:r>
            <w:r>
              <w:rPr>
                <w:rFonts w:hint="eastAsia" w:hAnsi="宋体" w:cs="宋体"/>
                <w:color w:val="auto"/>
                <w:sz w:val="21"/>
                <w:szCs w:val="21"/>
                <w:highlight w:val="none"/>
                <w:lang w:val="en-US" w:eastAsia="zh-CN"/>
              </w:rPr>
              <w:t>180</w:t>
            </w:r>
            <w:r>
              <w:rPr>
                <w:rFonts w:hint="eastAsia" w:ascii="宋体" w:hAnsi="宋体" w:eastAsia="宋体" w:cs="宋体"/>
                <w:color w:val="auto"/>
                <w:sz w:val="21"/>
                <w:szCs w:val="21"/>
                <w:highlight w:val="none"/>
                <w:lang w:val="en-US" w:eastAsia="zh-CN"/>
              </w:rPr>
              <w:t xml:space="preserve"> 天（日历天）。 </w:t>
            </w:r>
          </w:p>
          <w:p w14:paraId="2058A04F">
            <w:pPr>
              <w:shd w:val="clear" w:color="auto" w:fill="auto"/>
              <w:wordWrap w:val="0"/>
              <w:adjustRightInd w:val="0"/>
              <w:snapToGrid w:val="0"/>
              <w:spacing w:line="400" w:lineRule="exact"/>
              <w:ind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□计划开工日期：</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eastAsia="zh-CN"/>
              </w:rPr>
              <w:t xml:space="preserve">年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eastAsia="zh-CN"/>
              </w:rPr>
              <w:t xml:space="preserve">月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eastAsia="zh-CN"/>
              </w:rPr>
              <w:t xml:space="preserve">日（具体开工日期以合同为准） </w:t>
            </w:r>
          </w:p>
          <w:p w14:paraId="210539D3">
            <w:pPr>
              <w:shd w:val="clear" w:color="auto" w:fill="auto"/>
              <w:wordWrap w:val="0"/>
              <w:adjustRightInd w:val="0"/>
              <w:snapToGrid w:val="0"/>
              <w:spacing w:line="400" w:lineRule="exact"/>
              <w:ind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□计划竣工日期：</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eastAsia="zh-CN"/>
              </w:rPr>
              <w:t xml:space="preserve">年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eastAsia="zh-CN"/>
              </w:rPr>
              <w:t xml:space="preserve">月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eastAsia="zh-CN"/>
              </w:rPr>
              <w:t>日</w:t>
            </w:r>
          </w:p>
          <w:p w14:paraId="3D89CEBF">
            <w:pPr>
              <w:shd w:val="clear" w:color="auto" w:fill="auto"/>
              <w:wordWrap w:val="0"/>
              <w:adjustRightInd w:val="0"/>
              <w:snapToGrid w:val="0"/>
              <w:spacing w:line="400" w:lineRule="exact"/>
              <w:ind w:firstLine="210" w:firstLineChars="100"/>
              <w:rPr>
                <w:rFonts w:hint="eastAsia" w:ascii="宋体" w:hAnsi="宋体" w:eastAsia="宋体" w:cs="宋体"/>
                <w:snapToGrid w:val="0"/>
                <w:color w:val="auto"/>
                <w:kern w:val="0"/>
                <w:sz w:val="21"/>
                <w:szCs w:val="21"/>
                <w:highlight w:val="none"/>
                <w:lang w:val="en-US"/>
              </w:rPr>
            </w:pPr>
            <w:r>
              <w:rPr>
                <w:rFonts w:hint="eastAsia" w:ascii="宋体" w:hAnsi="宋体" w:eastAsia="宋体" w:cs="宋体"/>
                <w:color w:val="auto"/>
                <w:sz w:val="21"/>
                <w:szCs w:val="21"/>
                <w:highlight w:val="none"/>
                <w:lang w:val="en-US" w:eastAsia="zh-CN"/>
              </w:rPr>
              <w:t>□除上述总工期外，发包人还要求以下阶段工期：</w:t>
            </w:r>
            <w:r>
              <w:rPr>
                <w:rFonts w:hint="eastAsia" w:ascii="宋体" w:hAnsi="宋体" w:eastAsia="宋体" w:cs="宋体"/>
                <w:color w:val="auto"/>
                <w:sz w:val="21"/>
                <w:szCs w:val="21"/>
                <w:highlight w:val="none"/>
                <w:u w:val="single"/>
                <w:lang w:val="en-US" w:eastAsia="zh-CN"/>
              </w:rPr>
              <w:t>/</w:t>
            </w:r>
          </w:p>
        </w:tc>
      </w:tr>
      <w:tr w14:paraId="0D51DE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053" w:hRule="exact"/>
        </w:trPr>
        <w:tc>
          <w:tcPr>
            <w:tcW w:w="658" w:type="dxa"/>
            <w:tcBorders>
              <w:top w:val="single" w:color="auto" w:sz="4" w:space="0"/>
              <w:left w:val="single" w:color="auto" w:sz="4" w:space="0"/>
              <w:bottom w:val="single" w:color="auto" w:sz="4" w:space="0"/>
              <w:right w:val="single" w:color="auto" w:sz="4" w:space="0"/>
            </w:tcBorders>
            <w:vAlign w:val="center"/>
          </w:tcPr>
          <w:p w14:paraId="2440F8F2">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17</w:t>
            </w:r>
          </w:p>
        </w:tc>
        <w:tc>
          <w:tcPr>
            <w:tcW w:w="1995" w:type="dxa"/>
            <w:tcBorders>
              <w:top w:val="single" w:color="auto" w:sz="4" w:space="0"/>
              <w:left w:val="single" w:color="auto" w:sz="4" w:space="0"/>
              <w:bottom w:val="single" w:color="auto" w:sz="4" w:space="0"/>
              <w:right w:val="single" w:color="auto" w:sz="4" w:space="0"/>
            </w:tcBorders>
            <w:vAlign w:val="center"/>
          </w:tcPr>
          <w:p w14:paraId="45E60DF1">
            <w:pPr>
              <w:shd w:val="clear" w:color="auto" w:fill="auto"/>
              <w:spacing w:before="65" w:line="229"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7"/>
                <w:sz w:val="21"/>
                <w:szCs w:val="21"/>
                <w:highlight w:val="none"/>
              </w:rPr>
              <w:t>质量标准</w:t>
            </w:r>
          </w:p>
        </w:tc>
        <w:tc>
          <w:tcPr>
            <w:tcW w:w="6534" w:type="dxa"/>
            <w:tcBorders>
              <w:top w:val="single" w:color="auto" w:sz="4" w:space="0"/>
              <w:left w:val="single" w:color="auto" w:sz="4" w:space="0"/>
              <w:bottom w:val="single" w:color="auto" w:sz="4" w:space="0"/>
              <w:right w:val="single" w:color="auto" w:sz="4" w:space="0"/>
            </w:tcBorders>
          </w:tcPr>
          <w:p w14:paraId="345F4254">
            <w:pPr>
              <w:keepNext w:val="0"/>
              <w:keepLines w:val="0"/>
              <w:pageBreakBefore w:val="0"/>
              <w:widowControl/>
              <w:shd w:val="clear" w:color="auto" w:fill="auto"/>
              <w:kinsoku w:val="0"/>
              <w:wordWrap/>
              <w:overflowPunct/>
              <w:topLinePunct w:val="0"/>
              <w:autoSpaceDE w:val="0"/>
              <w:autoSpaceDN w:val="0"/>
              <w:bidi w:val="0"/>
              <w:adjustRightInd w:val="0"/>
              <w:snapToGrid w:val="0"/>
              <w:spacing w:before="116"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pacing w:val="-5"/>
                <w:sz w:val="21"/>
                <w:szCs w:val="21"/>
                <w:highlight w:val="none"/>
              </w:rPr>
              <w:t>质量目标：</w:t>
            </w:r>
            <w:r>
              <w:rPr>
                <w:rFonts w:hint="eastAsia" w:ascii="宋体" w:hAnsi="宋体" w:eastAsia="宋体" w:cs="宋体"/>
                <w:color w:val="auto"/>
                <w:spacing w:val="-4"/>
                <w:sz w:val="21"/>
                <w:szCs w:val="21"/>
                <w:highlight w:val="none"/>
                <w:u w:val="single"/>
              </w:rPr>
              <w:t>合格</w:t>
            </w:r>
          </w:p>
          <w:p w14:paraId="4361EC91">
            <w:pPr>
              <w:pStyle w:val="15"/>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w:t>
            </w:r>
            <w:r>
              <w:rPr>
                <w:rFonts w:hint="eastAsia" w:ascii="宋体" w:hAnsi="宋体" w:eastAsia="宋体" w:cs="宋体"/>
                <w:color w:val="auto"/>
                <w:spacing w:val="-4"/>
                <w:sz w:val="21"/>
                <w:szCs w:val="21"/>
                <w:highlight w:val="none"/>
              </w:rPr>
              <w:t>质量标准：</w:t>
            </w:r>
            <w:r>
              <w:rPr>
                <w:rFonts w:hint="eastAsia" w:ascii="宋体" w:hAnsi="宋体" w:eastAsia="宋体" w:cs="宋体"/>
                <w:color w:val="auto"/>
                <w:spacing w:val="-4"/>
                <w:sz w:val="21"/>
                <w:szCs w:val="21"/>
                <w:highlight w:val="none"/>
                <w:lang w:eastAsia="zh-CN"/>
              </w:rPr>
              <w:t>达到《建筑工程施工质量验收统一标准》(GB50300-2013)和《建筑与市政工程施工质量控制通用规范》（GB55032-2022）合格。</w:t>
            </w:r>
          </w:p>
          <w:p w14:paraId="65383254">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□优质工程要求：</w:t>
            </w:r>
            <w:r>
              <w:rPr>
                <w:rFonts w:hint="eastAsia" w:ascii="宋体" w:hAnsi="宋体" w:eastAsia="宋体" w:cs="宋体"/>
                <w:color w:val="auto"/>
                <w:sz w:val="21"/>
                <w:szCs w:val="21"/>
                <w:highlight w:val="none"/>
                <w:u w:val="single"/>
              </w:rPr>
              <w:t>无/市优/省优/.....</w:t>
            </w:r>
          </w:p>
          <w:p w14:paraId="684F2FCF">
            <w:pPr>
              <w:pStyle w:val="15"/>
              <w:shd w:val="clear" w:color="auto" w:fill="auto"/>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工程优质费：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□有：</w:t>
            </w:r>
            <w:r>
              <w:rPr>
                <w:rFonts w:hint="eastAsia" w:ascii="宋体" w:hAnsi="宋体" w:eastAsia="宋体" w:cs="宋体"/>
                <w:color w:val="auto"/>
                <w:sz w:val="21"/>
                <w:szCs w:val="21"/>
                <w:highlight w:val="none"/>
                <w:u w:val="single"/>
                <w:lang w:val="en-US" w:eastAsia="zh-CN"/>
              </w:rPr>
              <w:t>/</w:t>
            </w:r>
          </w:p>
        </w:tc>
      </w:tr>
      <w:tr w14:paraId="1F32DE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5" w:hRule="exact"/>
        </w:trPr>
        <w:tc>
          <w:tcPr>
            <w:tcW w:w="658" w:type="dxa"/>
            <w:tcBorders>
              <w:top w:val="single" w:color="auto" w:sz="4" w:space="0"/>
              <w:left w:val="single" w:color="auto" w:sz="4" w:space="0"/>
              <w:bottom w:val="single" w:color="auto" w:sz="4" w:space="0"/>
              <w:right w:val="single" w:color="auto" w:sz="4" w:space="0"/>
            </w:tcBorders>
            <w:vAlign w:val="center"/>
          </w:tcPr>
          <w:p w14:paraId="6E1811A8">
            <w:pPr>
              <w:shd w:val="clear" w:color="auto" w:fill="auto"/>
              <w:spacing w:before="19"/>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spacing w:val="-8"/>
                <w:sz w:val="21"/>
                <w:szCs w:val="21"/>
                <w:highlight w:val="none"/>
                <w:lang w:val="en-US" w:eastAsia="zh-CN"/>
              </w:rPr>
              <w:t>18</w:t>
            </w:r>
          </w:p>
        </w:tc>
        <w:tc>
          <w:tcPr>
            <w:tcW w:w="1995" w:type="dxa"/>
            <w:tcBorders>
              <w:top w:val="single" w:color="auto" w:sz="4" w:space="0"/>
              <w:left w:val="single" w:color="auto" w:sz="4" w:space="0"/>
              <w:bottom w:val="single" w:color="auto" w:sz="4" w:space="0"/>
              <w:right w:val="single" w:color="auto" w:sz="4" w:space="0"/>
            </w:tcBorders>
            <w:vAlign w:val="center"/>
          </w:tcPr>
          <w:p w14:paraId="586C2A2C">
            <w:pPr>
              <w:shd w:val="clear" w:color="auto" w:fill="auto"/>
              <w:spacing w:before="78" w:line="264" w:lineRule="auto"/>
              <w:ind w:left="143" w:leftChars="0" w:right="140" w:rightChars="0"/>
              <w:jc w:val="center"/>
              <w:rPr>
                <w:rFonts w:hint="eastAsia" w:ascii="宋体" w:hAnsi="宋体" w:eastAsia="宋体" w:cs="宋体"/>
                <w:color w:val="auto"/>
                <w:spacing w:val="7"/>
                <w:sz w:val="21"/>
                <w:szCs w:val="21"/>
                <w:highlight w:val="none"/>
              </w:rPr>
            </w:pPr>
            <w:r>
              <w:rPr>
                <w:rFonts w:hint="eastAsia" w:ascii="宋体" w:hAnsi="宋体" w:eastAsia="宋体" w:cs="宋体"/>
                <w:color w:val="auto"/>
                <w:spacing w:val="-2"/>
                <w:sz w:val="21"/>
                <w:szCs w:val="21"/>
                <w:highlight w:val="none"/>
              </w:rPr>
              <w:t>房屋建筑工程绿色建筑标准</w:t>
            </w:r>
          </w:p>
        </w:tc>
        <w:tc>
          <w:tcPr>
            <w:tcW w:w="6534" w:type="dxa"/>
            <w:tcBorders>
              <w:top w:val="single" w:color="auto" w:sz="4" w:space="0"/>
              <w:left w:val="single" w:color="auto" w:sz="4" w:space="0"/>
              <w:bottom w:val="single" w:color="auto" w:sz="4" w:space="0"/>
              <w:right w:val="single" w:color="auto" w:sz="4" w:space="0"/>
            </w:tcBorders>
            <w:vAlign w:val="center"/>
          </w:tcPr>
          <w:p w14:paraId="35F0DE13">
            <w:pPr>
              <w:shd w:val="clear" w:color="auto" w:fill="auto"/>
              <w:spacing w:before="5" w:line="263" w:lineRule="auto"/>
              <w:ind w:right="4" w:rightChars="0" w:firstLine="212"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本招标项目</w:t>
            </w:r>
            <w:r>
              <w:rPr>
                <w:rFonts w:hint="eastAsia" w:ascii="宋体" w:hAnsi="宋体" w:eastAsia="宋体" w:cs="宋体"/>
                <w:color w:val="auto"/>
                <w:spacing w:val="1"/>
                <w:sz w:val="21"/>
                <w:szCs w:val="21"/>
                <w:highlight w:val="none"/>
                <w:u w:val="single"/>
                <w:lang w:eastAsia="zh-CN"/>
              </w:rPr>
              <w:t>不</w:t>
            </w:r>
            <w:r>
              <w:rPr>
                <w:rFonts w:hint="eastAsia" w:ascii="宋体" w:hAnsi="宋体" w:eastAsia="宋体" w:cs="宋体"/>
                <w:color w:val="auto"/>
                <w:spacing w:val="1"/>
                <w:sz w:val="21"/>
                <w:szCs w:val="21"/>
                <w:highlight w:val="none"/>
              </w:rPr>
              <w:t>纳入绿色建设实施范围</w:t>
            </w:r>
            <w:r>
              <w:rPr>
                <w:rFonts w:hint="eastAsia" w:ascii="宋体" w:hAnsi="宋体" w:eastAsia="宋体" w:cs="宋体"/>
                <w:color w:val="auto"/>
                <w:spacing w:val="1"/>
                <w:sz w:val="21"/>
                <w:szCs w:val="21"/>
                <w:highlight w:val="none"/>
                <w:lang w:eastAsia="zh-CN"/>
              </w:rPr>
              <w:t>。</w:t>
            </w:r>
          </w:p>
        </w:tc>
      </w:tr>
      <w:tr w14:paraId="4842A9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63" w:hRule="exact"/>
        </w:trPr>
        <w:tc>
          <w:tcPr>
            <w:tcW w:w="658" w:type="dxa"/>
            <w:tcBorders>
              <w:top w:val="single" w:color="auto" w:sz="4" w:space="0"/>
              <w:left w:val="single" w:color="auto" w:sz="4" w:space="0"/>
              <w:bottom w:val="single" w:color="auto" w:sz="4" w:space="0"/>
              <w:right w:val="single" w:color="auto" w:sz="4" w:space="0"/>
            </w:tcBorders>
            <w:vAlign w:val="center"/>
          </w:tcPr>
          <w:p w14:paraId="2192AF8B">
            <w:pPr>
              <w:shd w:val="clear" w:color="auto" w:fill="auto"/>
              <w:spacing w:before="58" w:line="195" w:lineRule="auto"/>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3"/>
                <w:sz w:val="21"/>
                <w:szCs w:val="21"/>
                <w:highlight w:val="none"/>
                <w:lang w:val="en-US" w:eastAsia="zh-CN"/>
              </w:rPr>
              <w:t>8</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26"/>
                <w:sz w:val="21"/>
                <w:szCs w:val="21"/>
                <w:highlight w:val="none"/>
              </w:rPr>
              <w:t xml:space="preserve"> </w:t>
            </w:r>
            <w:r>
              <w:rPr>
                <w:rFonts w:hint="eastAsia" w:ascii="宋体" w:hAnsi="宋体" w:eastAsia="宋体" w:cs="宋体"/>
                <w:color w:val="auto"/>
                <w:spacing w:val="-3"/>
                <w:sz w:val="21"/>
                <w:szCs w:val="21"/>
                <w:highlight w:val="none"/>
              </w:rPr>
              <w:t>1</w:t>
            </w:r>
          </w:p>
        </w:tc>
        <w:tc>
          <w:tcPr>
            <w:tcW w:w="1995" w:type="dxa"/>
            <w:tcBorders>
              <w:top w:val="single" w:color="auto" w:sz="4" w:space="0"/>
              <w:left w:val="single" w:color="auto" w:sz="4" w:space="0"/>
              <w:bottom w:val="single" w:color="auto" w:sz="4" w:space="0"/>
              <w:right w:val="single" w:color="auto" w:sz="4" w:space="0"/>
            </w:tcBorders>
            <w:vAlign w:val="center"/>
          </w:tcPr>
          <w:p w14:paraId="25C9191F">
            <w:pPr>
              <w:shd w:val="clear" w:color="auto" w:fill="auto"/>
              <w:spacing w:before="78" w:line="264" w:lineRule="auto"/>
              <w:ind w:left="143" w:leftChars="0" w:right="140" w:rightChars="0"/>
              <w:jc w:val="center"/>
              <w:rPr>
                <w:rFonts w:hint="eastAsia" w:ascii="宋体" w:hAnsi="宋体" w:eastAsia="宋体" w:cs="宋体"/>
                <w:color w:val="auto"/>
                <w:spacing w:val="7"/>
                <w:sz w:val="21"/>
                <w:szCs w:val="21"/>
                <w:highlight w:val="none"/>
              </w:rPr>
            </w:pPr>
            <w:r>
              <w:rPr>
                <w:rFonts w:hint="eastAsia" w:ascii="宋体" w:hAnsi="宋体" w:eastAsia="宋体" w:cs="宋体"/>
                <w:color w:val="auto"/>
                <w:spacing w:val="-2"/>
                <w:sz w:val="21"/>
                <w:szCs w:val="21"/>
                <w:highlight w:val="none"/>
              </w:rPr>
              <w:t>装配式建筑标准</w:t>
            </w:r>
          </w:p>
        </w:tc>
        <w:tc>
          <w:tcPr>
            <w:tcW w:w="6534" w:type="dxa"/>
            <w:tcBorders>
              <w:top w:val="single" w:color="auto" w:sz="4" w:space="0"/>
              <w:left w:val="single" w:color="auto" w:sz="4" w:space="0"/>
              <w:bottom w:val="single" w:color="auto" w:sz="4" w:space="0"/>
              <w:right w:val="single" w:color="auto" w:sz="4" w:space="0"/>
            </w:tcBorders>
            <w:vAlign w:val="center"/>
          </w:tcPr>
          <w:p w14:paraId="14EAF05F">
            <w:pPr>
              <w:shd w:val="clear" w:color="auto" w:fill="auto"/>
              <w:spacing w:before="78" w:line="264" w:lineRule="auto"/>
              <w:ind w:left="143" w:leftChars="0" w:right="140" w:right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本招标项目</w:t>
            </w:r>
            <w:r>
              <w:rPr>
                <w:rFonts w:hint="eastAsia" w:ascii="宋体" w:hAnsi="宋体" w:eastAsia="宋体" w:cs="宋体"/>
                <w:color w:val="auto"/>
                <w:spacing w:val="-2"/>
                <w:sz w:val="21"/>
                <w:szCs w:val="21"/>
                <w:highlight w:val="none"/>
                <w:lang w:eastAsia="zh-CN"/>
              </w:rPr>
              <w:t>不</w:t>
            </w:r>
            <w:r>
              <w:rPr>
                <w:rFonts w:hint="eastAsia" w:ascii="宋体" w:hAnsi="宋体" w:eastAsia="宋体" w:cs="宋体"/>
                <w:color w:val="auto"/>
                <w:spacing w:val="-2"/>
                <w:sz w:val="21"/>
                <w:szCs w:val="21"/>
                <w:highlight w:val="none"/>
              </w:rPr>
              <w:t>纳入装配式建造建设实施范围</w:t>
            </w:r>
            <w:r>
              <w:rPr>
                <w:rFonts w:hint="eastAsia" w:ascii="宋体" w:hAnsi="宋体" w:eastAsia="宋体" w:cs="宋体"/>
                <w:color w:val="auto"/>
                <w:spacing w:val="-2"/>
                <w:sz w:val="21"/>
                <w:szCs w:val="21"/>
                <w:highlight w:val="none"/>
                <w:lang w:eastAsia="zh-CN"/>
              </w:rPr>
              <w:t>。</w:t>
            </w:r>
          </w:p>
        </w:tc>
      </w:tr>
      <w:tr w14:paraId="5965A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658" w:type="dxa"/>
            <w:tcBorders>
              <w:top w:val="single" w:color="auto" w:sz="4" w:space="0"/>
              <w:left w:val="single" w:color="auto" w:sz="4" w:space="0"/>
              <w:bottom w:val="single" w:color="auto" w:sz="4" w:space="0"/>
              <w:right w:val="single" w:color="auto" w:sz="4" w:space="0"/>
            </w:tcBorders>
            <w:vAlign w:val="center"/>
          </w:tcPr>
          <w:p w14:paraId="027EB6E6">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19</w:t>
            </w:r>
          </w:p>
        </w:tc>
        <w:tc>
          <w:tcPr>
            <w:tcW w:w="1995" w:type="dxa"/>
            <w:tcBorders>
              <w:top w:val="single" w:color="auto" w:sz="4" w:space="0"/>
              <w:left w:val="single" w:color="auto" w:sz="4" w:space="0"/>
              <w:bottom w:val="single" w:color="auto" w:sz="4" w:space="0"/>
              <w:right w:val="single" w:color="auto" w:sz="4" w:space="0"/>
            </w:tcBorders>
            <w:vAlign w:val="center"/>
          </w:tcPr>
          <w:p w14:paraId="5131CEA7">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投标人资格</w:t>
            </w:r>
          </w:p>
          <w:p w14:paraId="505A31E5">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要求</w:t>
            </w:r>
          </w:p>
        </w:tc>
        <w:tc>
          <w:tcPr>
            <w:tcW w:w="6534" w:type="dxa"/>
            <w:tcBorders>
              <w:top w:val="single" w:color="auto" w:sz="4" w:space="0"/>
              <w:left w:val="single" w:color="auto" w:sz="4" w:space="0"/>
              <w:bottom w:val="single" w:color="auto" w:sz="4" w:space="0"/>
              <w:right w:val="single" w:color="auto" w:sz="4" w:space="0"/>
            </w:tcBorders>
            <w:vAlign w:val="center"/>
          </w:tcPr>
          <w:p w14:paraId="689465DB">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1．本次招标不接受联合体投标。</w:t>
            </w:r>
          </w:p>
          <w:p w14:paraId="243BD973">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2．资质要求</w:t>
            </w:r>
          </w:p>
          <w:p w14:paraId="030AC0D2">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投标人须具备独立法人资格，按国家法律经营。</w:t>
            </w:r>
          </w:p>
          <w:p w14:paraId="12189F68">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投标人须具备以下资质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eastAsia="zh-CN"/>
              </w:rPr>
              <w:t>工程监理综合资质或市政公用工程专业监理乙级以上（含乙级）资质</w:t>
            </w:r>
            <w:r>
              <w:rPr>
                <w:rFonts w:hint="eastAsia" w:ascii="宋体" w:hAnsi="宋体" w:eastAsia="宋体" w:cs="宋体"/>
                <w:color w:val="auto"/>
                <w:sz w:val="21"/>
                <w:szCs w:val="21"/>
                <w:highlight w:val="none"/>
                <w:lang w:eastAsia="zh-CN"/>
              </w:rPr>
              <w:t>。</w:t>
            </w:r>
          </w:p>
          <w:p w14:paraId="09410463">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269939ED">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3．相关人员要求</w:t>
            </w:r>
          </w:p>
          <w:p w14:paraId="1FD4BE08">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 拟派总监理工程师为市政公用工程专业注册监理工程师，应持有国家住建部印发的有效注册证书，其担任总监理工程师职务的其他在施（包括已中标未开工、已开工未竣工）建设工程项目不得超过</w:t>
            </w:r>
            <w:r>
              <w:rPr>
                <w:rFonts w:hint="eastAsia" w:ascii="宋体" w:hAnsi="宋体" w:eastAsia="宋体" w:cs="宋体"/>
                <w:color w:val="auto"/>
                <w:sz w:val="21"/>
                <w:szCs w:val="21"/>
                <w:highlight w:val="none"/>
                <w:u w:val="single"/>
              </w:rPr>
              <w:t xml:space="preserve"> 2 </w:t>
            </w:r>
            <w:r>
              <w:rPr>
                <w:rFonts w:hint="eastAsia" w:ascii="宋体" w:hAnsi="宋体" w:eastAsia="宋体" w:cs="宋体"/>
                <w:color w:val="auto"/>
                <w:sz w:val="21"/>
                <w:szCs w:val="21"/>
                <w:highlight w:val="none"/>
              </w:rPr>
              <w:t>个。</w:t>
            </w:r>
          </w:p>
          <w:p w14:paraId="4550D556">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拟派总监理工程师现阶段有担任其他在施建设工程项目总监理工程师职务的，须得到任职项目建设单位书面同意后方可担任本招标项目总监理工程师。</w:t>
            </w:r>
          </w:p>
          <w:p w14:paraId="41C5D1C0">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 投标人与其拟派往本项目监理机构的所有人员之间必须具备合法、唯一的劳动聘用关系。拟派人员中具备注册执业资格的，其注册单位须与投标人保持一致。</w:t>
            </w:r>
          </w:p>
          <w:p w14:paraId="427BD82B">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4．禁止投标条款</w:t>
            </w:r>
          </w:p>
          <w:p w14:paraId="6C3C98E2">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 投标人不得存在下列情形之一：</w:t>
            </w:r>
          </w:p>
          <w:p w14:paraId="1FD05F19">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（1）为招标人不具有独立法人资格的附属机构（单位）；</w:t>
            </w:r>
          </w:p>
          <w:p w14:paraId="25B1A4EB">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（2）与招标人存在利害关系且可能影响招标公正性；</w:t>
            </w:r>
          </w:p>
          <w:p w14:paraId="27B356D5">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（3）与本招标项目的其他投标人为同一个单位负责人；</w:t>
            </w:r>
          </w:p>
          <w:p w14:paraId="4F5F0AD7">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（4）与本招标项目的其他投标人存在控股、管理关系；</w:t>
            </w:r>
          </w:p>
          <w:p w14:paraId="49780634">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（5）为本招标项目的代建人；</w:t>
            </w:r>
          </w:p>
          <w:p w14:paraId="17E40ECF">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（6）为本招标项目的招标代理机构；</w:t>
            </w:r>
          </w:p>
          <w:p w14:paraId="2483FA64">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（7）与本招标项目的代建人或招标代理机构同为一个法定代表人；</w:t>
            </w:r>
          </w:p>
          <w:p w14:paraId="35E3FE49">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（8）与本招标项目的代建人或招标代理机构存在控股或参股关系；</w:t>
            </w:r>
          </w:p>
          <w:p w14:paraId="059DE6D8">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（9）与本招标项目的施工承包人以及建筑材料、建筑构配件和设备供应商有隶属关系或者其他利害关系；</w:t>
            </w:r>
          </w:p>
          <w:p w14:paraId="1B18BC17">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（10）被依法暂停或者取消投标资格；</w:t>
            </w:r>
          </w:p>
          <w:p w14:paraId="0355D35E">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（11）被责令停产停业、暂扣或者吊销许可证、暂扣或者吊销执照；</w:t>
            </w:r>
          </w:p>
          <w:p w14:paraId="0081F8FC">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（12）进入清算程序，或被宣告破产，或其他丧失履约能力的情形；</w:t>
            </w:r>
          </w:p>
          <w:p w14:paraId="7C77ADFF">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（13）在最近三年内发生重大监理质量问题（以相关行业主管部门的行政处罚决定或司法机关出具的有关法律文书为准）；</w:t>
            </w:r>
          </w:p>
          <w:p w14:paraId="73BB5F1D">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eastAsia="宋体" w:cs="宋体"/>
                <w:color w:val="auto"/>
                <w:kern w:val="0"/>
                <w:sz w:val="21"/>
                <w:szCs w:val="21"/>
                <w:highlight w:val="none"/>
              </w:rPr>
              <w:t>被“信用中国”网站（https://www.creditchina.gov.cn）发布的《法人和非法人组织公共信用信息报告》列为严重失信主体名单的</w:t>
            </w:r>
            <w:r>
              <w:rPr>
                <w:rFonts w:hint="eastAsia" w:ascii="宋体" w:hAnsi="宋体" w:eastAsia="宋体" w:cs="宋体"/>
                <w:color w:val="auto"/>
                <w:sz w:val="21"/>
                <w:szCs w:val="21"/>
                <w:highlight w:val="none"/>
              </w:rPr>
              <w:t>。</w:t>
            </w:r>
          </w:p>
          <w:p w14:paraId="0BAC95EC">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招标人拒绝以下名单中的单位参加本次投标：</w:t>
            </w:r>
          </w:p>
          <w:tbl>
            <w:tblPr>
              <w:tblStyle w:val="31"/>
              <w:tblW w:w="6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012"/>
              <w:gridCol w:w="2636"/>
            </w:tblGrid>
            <w:tr w14:paraId="17AA4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11" w:type="dxa"/>
                  <w:vAlign w:val="center"/>
                </w:tcPr>
                <w:p w14:paraId="2CD8BA8B">
                  <w:pPr>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序号</w:t>
                  </w:r>
                </w:p>
              </w:tc>
              <w:tc>
                <w:tcPr>
                  <w:tcW w:w="3012" w:type="dxa"/>
                  <w:vAlign w:val="center"/>
                </w:tcPr>
                <w:p w14:paraId="3B0B51BA">
                  <w:pPr>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单位名称</w:t>
                  </w:r>
                </w:p>
              </w:tc>
              <w:tc>
                <w:tcPr>
                  <w:tcW w:w="2636" w:type="dxa"/>
                  <w:vAlign w:val="center"/>
                </w:tcPr>
                <w:p w14:paraId="57308A65">
                  <w:pPr>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拒绝原因</w:t>
                  </w:r>
                </w:p>
              </w:tc>
            </w:tr>
            <w:tr w14:paraId="007D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11" w:type="dxa"/>
                  <w:vAlign w:val="center"/>
                </w:tcPr>
                <w:p w14:paraId="6876DEEF">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i w:val="0"/>
                      <w:color w:val="auto"/>
                      <w:sz w:val="21"/>
                      <w:szCs w:val="21"/>
                      <w:u w:val="none"/>
                      <w:lang w:val="en-US" w:eastAsia="zh-CN"/>
                    </w:rPr>
                    <w:t>1</w:t>
                  </w:r>
                </w:p>
              </w:tc>
              <w:tc>
                <w:tcPr>
                  <w:tcW w:w="3012" w:type="dxa"/>
                  <w:vAlign w:val="center"/>
                </w:tcPr>
                <w:p w14:paraId="6D571721">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sz w:val="21"/>
                      <w:szCs w:val="21"/>
                      <w:u w:val="none"/>
                      <w:lang w:val="en-US" w:eastAsia="zh-CN"/>
                    </w:rPr>
                    <w:t>南雄市油山镇人民政府</w:t>
                  </w:r>
                </w:p>
              </w:tc>
              <w:tc>
                <w:tcPr>
                  <w:tcW w:w="2636" w:type="dxa"/>
                  <w:vAlign w:val="center"/>
                </w:tcPr>
                <w:p w14:paraId="1019CB3A">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为本招标项目的招标人</w:t>
                  </w:r>
                </w:p>
              </w:tc>
            </w:tr>
            <w:tr w14:paraId="696A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11" w:type="dxa"/>
                  <w:vAlign w:val="center"/>
                </w:tcPr>
                <w:p w14:paraId="77CF170F">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2</w:t>
                  </w:r>
                </w:p>
              </w:tc>
              <w:tc>
                <w:tcPr>
                  <w:tcW w:w="3012" w:type="dxa"/>
                  <w:vAlign w:val="center"/>
                </w:tcPr>
                <w:p w14:paraId="77D58960">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sz w:val="21"/>
                      <w:szCs w:val="21"/>
                      <w:u w:val="none"/>
                      <w:lang w:val="en-US" w:eastAsia="zh-CN"/>
                    </w:rPr>
                    <w:t>广东象龙国际项目管理有限公司</w:t>
                  </w:r>
                </w:p>
              </w:tc>
              <w:tc>
                <w:tcPr>
                  <w:tcW w:w="2636" w:type="dxa"/>
                  <w:vAlign w:val="center"/>
                </w:tcPr>
                <w:p w14:paraId="2AB2BD71">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为本招标项目的招标代理机构</w:t>
                  </w:r>
                </w:p>
              </w:tc>
            </w:tr>
            <w:tr w14:paraId="6569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11" w:type="dxa"/>
                  <w:vAlign w:val="center"/>
                </w:tcPr>
                <w:p w14:paraId="3EDD691A">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3</w:t>
                  </w:r>
                </w:p>
              </w:tc>
              <w:tc>
                <w:tcPr>
                  <w:tcW w:w="3012" w:type="dxa"/>
                  <w:vAlign w:val="center"/>
                </w:tcPr>
                <w:p w14:paraId="0E5CF8CC">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sz w:val="21"/>
                      <w:szCs w:val="21"/>
                      <w:u w:val="none"/>
                      <w:lang w:val="en-US" w:eastAsia="zh-CN"/>
                    </w:rPr>
                    <w:t>爱建信达工程咨询有限公司</w:t>
                  </w:r>
                </w:p>
              </w:tc>
              <w:tc>
                <w:tcPr>
                  <w:tcW w:w="2636" w:type="dxa"/>
                  <w:vAlign w:val="center"/>
                </w:tcPr>
                <w:p w14:paraId="0A6345C7">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为本招标项目的造价咨询单位</w:t>
                  </w:r>
                </w:p>
              </w:tc>
            </w:tr>
            <w:tr w14:paraId="6DD1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11" w:type="dxa"/>
                  <w:vAlign w:val="center"/>
                </w:tcPr>
                <w:p w14:paraId="403918E2">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4</w:t>
                  </w:r>
                </w:p>
              </w:tc>
              <w:tc>
                <w:tcPr>
                  <w:tcW w:w="3012" w:type="dxa"/>
                  <w:shd w:val="clear" w:color="auto" w:fill="auto"/>
                  <w:vAlign w:val="center"/>
                </w:tcPr>
                <w:p w14:paraId="1201DC70">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中咨管理顾问有限责任公司</w:t>
                  </w:r>
                </w:p>
              </w:tc>
              <w:tc>
                <w:tcPr>
                  <w:tcW w:w="2636" w:type="dxa"/>
                  <w:shd w:val="clear" w:color="auto" w:fill="auto"/>
                  <w:vAlign w:val="center"/>
                </w:tcPr>
                <w:p w14:paraId="3AF77603">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为本招标项目的可研编制单位</w:t>
                  </w:r>
                </w:p>
              </w:tc>
            </w:tr>
            <w:tr w14:paraId="4F48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11" w:type="dxa"/>
                  <w:vAlign w:val="center"/>
                </w:tcPr>
                <w:p w14:paraId="3F155BCF">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cs="宋体"/>
                      <w:i w:val="0"/>
                      <w:color w:val="auto"/>
                      <w:sz w:val="21"/>
                      <w:szCs w:val="21"/>
                      <w:u w:val="none"/>
                      <w:lang w:val="en-US" w:eastAsia="zh-CN"/>
                    </w:rPr>
                    <w:t>5</w:t>
                  </w:r>
                </w:p>
              </w:tc>
              <w:tc>
                <w:tcPr>
                  <w:tcW w:w="3012" w:type="dxa"/>
                  <w:shd w:val="clear" w:color="auto" w:fill="auto"/>
                  <w:vAlign w:val="center"/>
                </w:tcPr>
                <w:p w14:paraId="7C3BA114">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广东省国际工程咨询有限公司</w:t>
                  </w:r>
                </w:p>
              </w:tc>
              <w:tc>
                <w:tcPr>
                  <w:tcW w:w="2636" w:type="dxa"/>
                  <w:shd w:val="clear" w:color="auto" w:fill="auto"/>
                  <w:vAlign w:val="center"/>
                </w:tcPr>
                <w:p w14:paraId="5528F9FE">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i w:val="0"/>
                      <w:color w:val="auto"/>
                      <w:sz w:val="21"/>
                      <w:szCs w:val="21"/>
                      <w:u w:val="none"/>
                      <w:lang w:val="en-US" w:eastAsia="zh-CN"/>
                    </w:rPr>
                    <w:t>为本招标项目的可研</w:t>
                  </w:r>
                  <w:r>
                    <w:rPr>
                      <w:rFonts w:hint="eastAsia" w:ascii="宋体" w:hAnsi="宋体" w:cs="宋体"/>
                      <w:i w:val="0"/>
                      <w:color w:val="auto"/>
                      <w:sz w:val="21"/>
                      <w:szCs w:val="21"/>
                      <w:u w:val="none"/>
                      <w:lang w:val="en-US" w:eastAsia="zh-CN"/>
                    </w:rPr>
                    <w:t>修编</w:t>
                  </w:r>
                  <w:r>
                    <w:rPr>
                      <w:rFonts w:hint="eastAsia" w:ascii="宋体" w:hAnsi="宋体" w:eastAsia="宋体" w:cs="宋体"/>
                      <w:i w:val="0"/>
                      <w:color w:val="auto"/>
                      <w:sz w:val="21"/>
                      <w:szCs w:val="21"/>
                      <w:u w:val="none"/>
                      <w:lang w:val="en-US" w:eastAsia="zh-CN"/>
                    </w:rPr>
                    <w:t>单位</w:t>
                  </w:r>
                </w:p>
              </w:tc>
            </w:tr>
          </w:tbl>
          <w:p w14:paraId="1D9CD12E">
            <w:pPr>
              <w:keepNext w:val="0"/>
              <w:keepLines w:val="0"/>
              <w:pageBreakBefore w:val="0"/>
              <w:widowControl w:val="0"/>
              <w:kinsoku/>
              <w:wordWrap w:val="0"/>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5．其他要求</w:t>
            </w:r>
          </w:p>
          <w:p w14:paraId="67945C5B">
            <w:pPr>
              <w:shd w:val="clear" w:color="auto" w:fill="auto"/>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color w:val="auto"/>
                <w:sz w:val="21"/>
                <w:szCs w:val="21"/>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51DB9C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160" w:hRule="atLeast"/>
        </w:trPr>
        <w:tc>
          <w:tcPr>
            <w:tcW w:w="658" w:type="dxa"/>
            <w:tcBorders>
              <w:top w:val="single" w:color="auto" w:sz="4" w:space="0"/>
              <w:left w:val="single" w:color="auto" w:sz="4" w:space="0"/>
              <w:bottom w:val="single" w:color="auto" w:sz="4" w:space="0"/>
              <w:right w:val="single" w:color="auto" w:sz="4" w:space="0"/>
            </w:tcBorders>
            <w:vAlign w:val="center"/>
          </w:tcPr>
          <w:p w14:paraId="2B8C5D9A">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20</w:t>
            </w:r>
          </w:p>
        </w:tc>
        <w:tc>
          <w:tcPr>
            <w:tcW w:w="1995" w:type="dxa"/>
            <w:tcBorders>
              <w:top w:val="single" w:color="auto" w:sz="4" w:space="0"/>
              <w:left w:val="single" w:color="auto" w:sz="4" w:space="0"/>
              <w:bottom w:val="single" w:color="auto" w:sz="4" w:space="0"/>
              <w:right w:val="single" w:color="auto" w:sz="4" w:space="0"/>
            </w:tcBorders>
            <w:vAlign w:val="center"/>
          </w:tcPr>
          <w:p w14:paraId="38A32641">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服务期限</w:t>
            </w:r>
          </w:p>
        </w:tc>
        <w:tc>
          <w:tcPr>
            <w:tcW w:w="6534" w:type="dxa"/>
            <w:tcBorders>
              <w:top w:val="single" w:color="auto" w:sz="4" w:space="0"/>
              <w:left w:val="single" w:color="auto" w:sz="4" w:space="0"/>
              <w:bottom w:val="single" w:color="auto" w:sz="4" w:space="0"/>
              <w:right w:val="single" w:color="auto" w:sz="4" w:space="0"/>
            </w:tcBorders>
            <w:vAlign w:val="center"/>
          </w:tcPr>
          <w:p w14:paraId="3CFAF5F3">
            <w:pPr>
              <w:shd w:val="clear" w:color="auto" w:fill="auto"/>
              <w:wordWrap w:val="0"/>
              <w:adjustRightInd w:val="0"/>
              <w:snapToGrid w:val="0"/>
              <w:spacing w:line="400" w:lineRule="exact"/>
              <w:ind w:firstLine="210" w:firstLineChars="100"/>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bCs/>
                <w:color w:val="auto"/>
                <w:sz w:val="21"/>
                <w:szCs w:val="21"/>
                <w:highlight w:val="none"/>
                <w:lang w:eastAsia="zh-CN"/>
              </w:rPr>
              <w:t>监理服务期从监理合同签订之日起计，至本工程缺陷责任保修期结束且本工程结算金额经政府主管部门审定且双方的责任义务履行完毕时止。</w:t>
            </w:r>
          </w:p>
        </w:tc>
      </w:tr>
      <w:tr w14:paraId="001A13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5" w:hRule="atLeast"/>
        </w:trPr>
        <w:tc>
          <w:tcPr>
            <w:tcW w:w="658" w:type="dxa"/>
            <w:tcBorders>
              <w:top w:val="single" w:color="auto" w:sz="4" w:space="0"/>
              <w:left w:val="single" w:color="auto" w:sz="4" w:space="0"/>
              <w:bottom w:val="single" w:color="auto" w:sz="4" w:space="0"/>
              <w:right w:val="single" w:color="auto" w:sz="4" w:space="0"/>
            </w:tcBorders>
            <w:vAlign w:val="center"/>
          </w:tcPr>
          <w:p w14:paraId="58746898">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21</w:t>
            </w:r>
          </w:p>
        </w:tc>
        <w:tc>
          <w:tcPr>
            <w:tcW w:w="1995" w:type="dxa"/>
            <w:tcBorders>
              <w:top w:val="single" w:color="auto" w:sz="4" w:space="0"/>
              <w:left w:val="single" w:color="auto" w:sz="4" w:space="0"/>
              <w:bottom w:val="single" w:color="auto" w:sz="4" w:space="0"/>
              <w:right w:val="single" w:color="auto" w:sz="4" w:space="0"/>
            </w:tcBorders>
            <w:vAlign w:val="center"/>
          </w:tcPr>
          <w:p w14:paraId="419A19FD">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服务标准</w:t>
            </w:r>
          </w:p>
        </w:tc>
        <w:tc>
          <w:tcPr>
            <w:tcW w:w="6534" w:type="dxa"/>
            <w:tcBorders>
              <w:top w:val="single" w:color="auto" w:sz="4" w:space="0"/>
              <w:left w:val="single" w:color="auto" w:sz="4" w:space="0"/>
              <w:bottom w:val="single" w:color="auto" w:sz="4" w:space="0"/>
              <w:right w:val="single" w:color="auto" w:sz="4" w:space="0"/>
            </w:tcBorders>
            <w:vAlign w:val="center"/>
          </w:tcPr>
          <w:p w14:paraId="53C484CA">
            <w:pPr>
              <w:shd w:val="clear" w:color="auto" w:fill="auto"/>
              <w:wordWrap w:val="0"/>
              <w:adjustRightInd w:val="0"/>
              <w:snapToGrid w:val="0"/>
              <w:spacing w:line="400" w:lineRule="exact"/>
              <w:ind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工程质量必须达到</w:t>
            </w:r>
            <w:r>
              <w:rPr>
                <w:rFonts w:hint="eastAsia" w:ascii="宋体" w:hAnsi="宋体" w:eastAsia="宋体" w:cs="宋体"/>
                <w:snapToGrid w:val="0"/>
                <w:color w:val="auto"/>
                <w:kern w:val="0"/>
                <w:sz w:val="21"/>
                <w:szCs w:val="21"/>
                <w:highlight w:val="none"/>
                <w:u w:val="single"/>
              </w:rPr>
              <w:t>合格</w:t>
            </w:r>
            <w:r>
              <w:rPr>
                <w:rFonts w:hint="eastAsia" w:ascii="宋体" w:hAnsi="宋体" w:eastAsia="宋体" w:cs="宋体"/>
                <w:snapToGrid w:val="0"/>
                <w:color w:val="auto"/>
                <w:kern w:val="0"/>
                <w:sz w:val="21"/>
                <w:szCs w:val="21"/>
                <w:highlight w:val="none"/>
              </w:rPr>
              <w:t>标准。</w:t>
            </w:r>
          </w:p>
        </w:tc>
      </w:tr>
      <w:tr w14:paraId="0F5DE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6" w:hRule="atLeast"/>
        </w:trPr>
        <w:tc>
          <w:tcPr>
            <w:tcW w:w="658" w:type="dxa"/>
            <w:tcBorders>
              <w:top w:val="single" w:color="auto" w:sz="4" w:space="0"/>
              <w:left w:val="single" w:color="auto" w:sz="4" w:space="0"/>
              <w:bottom w:val="single" w:color="auto" w:sz="4" w:space="0"/>
              <w:right w:val="single" w:color="auto" w:sz="4" w:space="0"/>
            </w:tcBorders>
            <w:vAlign w:val="center"/>
          </w:tcPr>
          <w:p w14:paraId="49346140">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22</w:t>
            </w:r>
          </w:p>
        </w:tc>
        <w:tc>
          <w:tcPr>
            <w:tcW w:w="1995" w:type="dxa"/>
            <w:tcBorders>
              <w:top w:val="single" w:color="auto" w:sz="4" w:space="0"/>
              <w:left w:val="single" w:color="auto" w:sz="4" w:space="0"/>
              <w:bottom w:val="single" w:color="auto" w:sz="4" w:space="0"/>
              <w:right w:val="single" w:color="auto" w:sz="4" w:space="0"/>
            </w:tcBorders>
            <w:vAlign w:val="center"/>
          </w:tcPr>
          <w:p w14:paraId="2178BFCA">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最高投标限价</w:t>
            </w:r>
          </w:p>
        </w:tc>
        <w:tc>
          <w:tcPr>
            <w:tcW w:w="6534" w:type="dxa"/>
            <w:tcBorders>
              <w:top w:val="single" w:color="auto" w:sz="4" w:space="0"/>
              <w:left w:val="single" w:color="auto" w:sz="4" w:space="0"/>
              <w:bottom w:val="single" w:color="auto" w:sz="4" w:space="0"/>
              <w:right w:val="single" w:color="auto" w:sz="4" w:space="0"/>
            </w:tcBorders>
            <w:vAlign w:val="center"/>
          </w:tcPr>
          <w:p w14:paraId="317132FF">
            <w:pPr>
              <w:shd w:val="clear" w:color="auto" w:fill="auto"/>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见本招标文件</w:t>
            </w:r>
            <w:r>
              <w:rPr>
                <w:rFonts w:hint="eastAsia" w:ascii="宋体" w:hAnsi="宋体" w:eastAsia="宋体" w:cs="宋体"/>
                <w:snapToGrid w:val="0"/>
                <w:color w:val="auto"/>
                <w:kern w:val="0"/>
                <w:sz w:val="21"/>
                <w:szCs w:val="21"/>
                <w:highlight w:val="none"/>
                <w:lang w:val="en-US" w:eastAsia="zh-CN"/>
              </w:rPr>
              <w:t>本</w:t>
            </w:r>
            <w:r>
              <w:rPr>
                <w:rFonts w:hint="eastAsia" w:ascii="宋体" w:hAnsi="宋体" w:eastAsia="宋体" w:cs="宋体"/>
                <w:snapToGrid w:val="0"/>
                <w:color w:val="auto"/>
                <w:kern w:val="0"/>
                <w:sz w:val="21"/>
                <w:szCs w:val="21"/>
                <w:highlight w:val="none"/>
              </w:rPr>
              <w:t>章</w:t>
            </w:r>
            <w:r>
              <w:rPr>
                <w:rFonts w:hint="eastAsia" w:ascii="宋体" w:hAnsi="宋体" w:eastAsia="宋体" w:cs="宋体"/>
                <w:snapToGrid w:val="0"/>
                <w:color w:val="auto"/>
                <w:kern w:val="0"/>
                <w:sz w:val="21"/>
                <w:szCs w:val="21"/>
                <w:highlight w:val="none"/>
                <w:lang w:val="en-US" w:eastAsia="zh-CN"/>
              </w:rPr>
              <w:t>第三节</w:t>
            </w:r>
            <w:r>
              <w:rPr>
                <w:rFonts w:hint="eastAsia" w:ascii="宋体" w:hAnsi="宋体" w:eastAsia="宋体" w:cs="宋体"/>
                <w:snapToGrid w:val="0"/>
                <w:color w:val="auto"/>
                <w:kern w:val="0"/>
                <w:sz w:val="21"/>
                <w:szCs w:val="21"/>
                <w:highlight w:val="none"/>
              </w:rPr>
              <w:t xml:space="preserve"> “8.最高投标限价”</w:t>
            </w:r>
          </w:p>
        </w:tc>
      </w:tr>
      <w:tr w14:paraId="2BC94C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6" w:hRule="atLeast"/>
        </w:trPr>
        <w:tc>
          <w:tcPr>
            <w:tcW w:w="658" w:type="dxa"/>
            <w:tcBorders>
              <w:top w:val="single" w:color="auto" w:sz="4" w:space="0"/>
              <w:left w:val="single" w:color="auto" w:sz="4" w:space="0"/>
              <w:bottom w:val="single" w:color="auto" w:sz="4" w:space="0"/>
              <w:right w:val="single" w:color="auto" w:sz="4" w:space="0"/>
            </w:tcBorders>
            <w:vAlign w:val="center"/>
          </w:tcPr>
          <w:p w14:paraId="3CCA981A">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23</w:t>
            </w:r>
          </w:p>
        </w:tc>
        <w:tc>
          <w:tcPr>
            <w:tcW w:w="1995" w:type="dxa"/>
            <w:tcBorders>
              <w:top w:val="single" w:color="auto" w:sz="4" w:space="0"/>
              <w:left w:val="single" w:color="auto" w:sz="4" w:space="0"/>
              <w:bottom w:val="single" w:color="auto" w:sz="4" w:space="0"/>
              <w:right w:val="single" w:color="auto" w:sz="4" w:space="0"/>
            </w:tcBorders>
            <w:vAlign w:val="center"/>
          </w:tcPr>
          <w:p w14:paraId="1ED4B50A">
            <w:pPr>
              <w:shd w:val="clear" w:color="auto" w:fill="auto"/>
              <w:spacing w:before="242" w:line="221" w:lineRule="auto"/>
              <w:jc w:val="center"/>
              <w:rPr>
                <w:rFonts w:hint="eastAsia" w:ascii="宋体" w:hAnsi="宋体" w:eastAsia="宋体" w:cs="宋体"/>
                <w:color w:val="auto"/>
                <w:spacing w:val="-3"/>
                <w:sz w:val="21"/>
                <w:szCs w:val="21"/>
                <w:highlight w:val="none"/>
              </w:rPr>
            </w:pPr>
            <w:r>
              <w:rPr>
                <w:rFonts w:hint="eastAsia" w:ascii="宋体" w:hAnsi="宋体" w:eastAsia="宋体" w:cs="宋体"/>
                <w:color w:val="auto"/>
                <w:spacing w:val="-4"/>
                <w:sz w:val="21"/>
                <w:szCs w:val="21"/>
                <w:highlight w:val="none"/>
              </w:rPr>
              <w:t>投标费用</w:t>
            </w:r>
          </w:p>
        </w:tc>
        <w:tc>
          <w:tcPr>
            <w:tcW w:w="6534" w:type="dxa"/>
            <w:tcBorders>
              <w:top w:val="single" w:color="auto" w:sz="4" w:space="0"/>
              <w:left w:val="single" w:color="auto" w:sz="4" w:space="0"/>
              <w:bottom w:val="single" w:color="auto" w:sz="4" w:space="0"/>
              <w:right w:val="single" w:color="auto" w:sz="4" w:space="0"/>
            </w:tcBorders>
          </w:tcPr>
          <w:p w14:paraId="105BAD93">
            <w:pPr>
              <w:shd w:val="clear" w:color="auto" w:fill="auto"/>
              <w:spacing w:before="218" w:line="220" w:lineRule="auto"/>
              <w:ind w:left="492" w:leftChars="0"/>
              <w:rPr>
                <w:rFonts w:hint="eastAsia" w:ascii="宋体" w:hAnsi="宋体" w:eastAsia="宋体" w:cs="宋体"/>
                <w:color w:val="auto"/>
                <w:spacing w:val="-10"/>
                <w:sz w:val="21"/>
                <w:szCs w:val="21"/>
                <w:highlight w:val="none"/>
                <w:lang w:eastAsia="zh-CN"/>
              </w:rPr>
            </w:pPr>
            <w:r>
              <w:rPr>
                <w:rFonts w:hint="eastAsia" w:ascii="宋体" w:hAnsi="宋体" w:eastAsia="宋体" w:cs="宋体"/>
                <w:color w:val="auto"/>
                <w:spacing w:val="-1"/>
                <w:sz w:val="21"/>
                <w:szCs w:val="21"/>
                <w:highlight w:val="none"/>
              </w:rPr>
              <w:t>投标人自行承担编制与递交投标文件的一切费用。</w:t>
            </w:r>
          </w:p>
        </w:tc>
      </w:tr>
      <w:tr w14:paraId="20CFC1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c>
          <w:tcPr>
            <w:tcW w:w="658" w:type="dxa"/>
            <w:tcBorders>
              <w:top w:val="single" w:color="auto" w:sz="4" w:space="0"/>
              <w:left w:val="single" w:color="auto" w:sz="4" w:space="0"/>
              <w:bottom w:val="single" w:color="auto" w:sz="4" w:space="0"/>
              <w:right w:val="single" w:color="auto" w:sz="4" w:space="0"/>
            </w:tcBorders>
            <w:vAlign w:val="center"/>
          </w:tcPr>
          <w:p w14:paraId="146533F5">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24</w:t>
            </w:r>
          </w:p>
        </w:tc>
        <w:tc>
          <w:tcPr>
            <w:tcW w:w="1995" w:type="dxa"/>
            <w:tcBorders>
              <w:top w:val="single" w:color="auto" w:sz="4" w:space="0"/>
              <w:left w:val="single" w:color="auto" w:sz="4" w:space="0"/>
              <w:bottom w:val="single" w:color="auto" w:sz="4" w:space="0"/>
              <w:right w:val="single" w:color="auto" w:sz="4" w:space="0"/>
            </w:tcBorders>
            <w:vAlign w:val="center"/>
          </w:tcPr>
          <w:p w14:paraId="4282264D">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投标保证</w:t>
            </w:r>
          </w:p>
        </w:tc>
        <w:tc>
          <w:tcPr>
            <w:tcW w:w="6534" w:type="dxa"/>
            <w:tcBorders>
              <w:top w:val="single" w:color="auto" w:sz="4" w:space="0"/>
              <w:left w:val="single" w:color="auto" w:sz="4" w:space="0"/>
              <w:bottom w:val="single" w:color="auto" w:sz="4" w:space="0"/>
              <w:right w:val="single" w:color="auto" w:sz="4" w:space="0"/>
            </w:tcBorders>
            <w:vAlign w:val="center"/>
          </w:tcPr>
          <w:p w14:paraId="7638578C">
            <w:pPr>
              <w:shd w:val="clear" w:color="auto" w:fill="auto"/>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1．投标人须缴纳金额为人民币</w:t>
            </w:r>
            <w:r>
              <w:rPr>
                <w:rFonts w:hint="eastAsia" w:hAnsi="宋体" w:cs="宋体"/>
                <w:snapToGrid w:val="0"/>
                <w:color w:val="auto"/>
                <w:kern w:val="0"/>
                <w:sz w:val="21"/>
                <w:szCs w:val="21"/>
                <w:highlight w:val="none"/>
                <w:u w:val="single"/>
                <w:lang w:val="en-US" w:eastAsia="zh-CN"/>
              </w:rPr>
              <w:t>贰</w:t>
            </w:r>
            <w:r>
              <w:rPr>
                <w:rFonts w:hint="eastAsia" w:ascii="宋体" w:hAnsi="宋体" w:eastAsia="宋体" w:cs="宋体"/>
                <w:snapToGrid w:val="0"/>
                <w:color w:val="auto"/>
                <w:kern w:val="0"/>
                <w:sz w:val="21"/>
                <w:szCs w:val="21"/>
                <w:highlight w:val="none"/>
                <w:u w:val="single"/>
                <w:lang w:val="en-US" w:eastAsia="zh-CN"/>
              </w:rPr>
              <w:t>仟元整（￥</w:t>
            </w:r>
            <w:r>
              <w:rPr>
                <w:rFonts w:hint="eastAsia" w:hAnsi="宋体" w:cs="宋体"/>
                <w:snapToGrid w:val="0"/>
                <w:color w:val="auto"/>
                <w:kern w:val="0"/>
                <w:sz w:val="21"/>
                <w:szCs w:val="21"/>
                <w:highlight w:val="none"/>
                <w:u w:val="single"/>
                <w:lang w:val="en-US" w:eastAsia="zh-CN"/>
              </w:rPr>
              <w:t>2</w:t>
            </w:r>
            <w:bookmarkStart w:id="586" w:name="_GoBack"/>
            <w:bookmarkEnd w:id="586"/>
            <w:r>
              <w:rPr>
                <w:rFonts w:hint="eastAsia" w:ascii="宋体" w:hAnsi="宋体" w:eastAsia="宋体" w:cs="宋体"/>
                <w:snapToGrid w:val="0"/>
                <w:color w:val="auto"/>
                <w:kern w:val="0"/>
                <w:sz w:val="21"/>
                <w:szCs w:val="21"/>
                <w:highlight w:val="none"/>
                <w:u w:val="single"/>
                <w:lang w:val="en-US" w:eastAsia="zh-CN"/>
              </w:rPr>
              <w:t>000.00元）</w:t>
            </w:r>
            <w:r>
              <w:rPr>
                <w:rFonts w:hint="eastAsia" w:ascii="宋体" w:hAnsi="宋体" w:eastAsia="宋体" w:cs="宋体"/>
                <w:snapToGrid w:val="0"/>
                <w:color w:val="auto"/>
                <w:kern w:val="0"/>
                <w:sz w:val="21"/>
                <w:szCs w:val="21"/>
                <w:highlight w:val="none"/>
              </w:rPr>
              <w:t>的投标保证。</w:t>
            </w:r>
          </w:p>
          <w:p w14:paraId="4B079B79">
            <w:pPr>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2．投标保证的形式包括投标保证金、投标保证担保、投标保证保险三种，由投标人自主选择。</w:t>
            </w:r>
          </w:p>
          <w:p w14:paraId="1E9F556B">
            <w:pPr>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（1）采用投标保证金的，投标人在建设工程交易</w:t>
            </w:r>
            <w:r>
              <w:rPr>
                <w:rFonts w:hint="eastAsia" w:ascii="宋体" w:hAnsi="宋体" w:eastAsia="宋体" w:cs="宋体"/>
                <w:i w:val="0"/>
                <w:iCs w:val="0"/>
                <w:caps w:val="0"/>
                <w:color w:val="auto"/>
                <w:spacing w:val="0"/>
                <w:sz w:val="21"/>
                <w:szCs w:val="21"/>
                <w:highlight w:val="none"/>
                <w:shd w:val="clear" w:color="auto" w:fill="FFFFFF"/>
              </w:rPr>
              <w:t>获取招标文件完毕后</w:t>
            </w:r>
            <w:r>
              <w:rPr>
                <w:rFonts w:hint="eastAsia" w:ascii="宋体" w:hAnsi="宋体" w:eastAsia="宋体" w:cs="宋体"/>
                <w:snapToGrid w:val="0"/>
                <w:color w:val="auto"/>
                <w:kern w:val="0"/>
                <w:sz w:val="21"/>
                <w:szCs w:val="21"/>
                <w:highlight w:val="none"/>
              </w:rPr>
              <w:t>，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0DAA633B">
            <w:pPr>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采用投标保证担保的，投标人应提交有效的银行保函，银行保函的有效期不得短于投标有效期。投标人必须在投标保证担保截止时间（见本章第二节“重要事项时间地点一览表”）前，使用工程建设交易系统完成网上办理电子保函。</w:t>
            </w:r>
          </w:p>
          <w:p w14:paraId="11B5FA81">
            <w:pPr>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color w:val="auto"/>
                <w:sz w:val="21"/>
                <w:szCs w:val="21"/>
                <w:highlight w:val="none"/>
              </w:rPr>
              <w:t>采用投标保证保险的，投标人须在投标保证保险投保截止时间（见本章</w:t>
            </w:r>
            <w:r>
              <w:rPr>
                <w:rFonts w:hint="eastAsia" w:ascii="宋体" w:hAnsi="宋体" w:eastAsia="宋体" w:cs="宋体"/>
                <w:snapToGrid w:val="0"/>
                <w:color w:val="auto"/>
                <w:kern w:val="0"/>
                <w:sz w:val="21"/>
                <w:szCs w:val="21"/>
                <w:highlight w:val="none"/>
              </w:rPr>
              <w:t>第二节</w:t>
            </w:r>
            <w:r>
              <w:rPr>
                <w:rFonts w:hint="eastAsia" w:ascii="宋体" w:hAnsi="宋体" w:eastAsia="宋体" w:cs="宋体"/>
                <w:color w:val="auto"/>
                <w:sz w:val="21"/>
                <w:szCs w:val="21"/>
                <w:highlight w:val="none"/>
              </w:rPr>
              <w:t>“重要事项时间地点一览表”）前，使用建设工程交易系统完成网上投保。投标人可在系统选择保险机构、录入投保信息、支付保费、</w:t>
            </w:r>
            <w:r>
              <w:rPr>
                <w:rFonts w:hint="eastAsia" w:ascii="宋体" w:hAnsi="宋体" w:eastAsia="宋体" w:cs="宋体"/>
                <w:color w:val="auto"/>
                <w:sz w:val="21"/>
                <w:szCs w:val="21"/>
                <w:highlight w:val="none"/>
                <w:lang w:val="en-US" w:eastAsia="zh-CN"/>
              </w:rPr>
              <w:t>下载</w:t>
            </w:r>
            <w:r>
              <w:rPr>
                <w:rFonts w:hint="eastAsia" w:ascii="宋体" w:hAnsi="宋体" w:eastAsia="宋体" w:cs="宋体"/>
                <w:color w:val="auto"/>
                <w:sz w:val="21"/>
                <w:szCs w:val="21"/>
                <w:highlight w:val="none"/>
              </w:rPr>
              <w:t>电子保单，电子保单的有效期不得短于投标有效期。投标人可登录</w:t>
            </w:r>
            <w:r>
              <w:rPr>
                <w:rFonts w:hint="eastAsia" w:ascii="宋体" w:hAnsi="宋体" w:eastAsia="宋体" w:cs="宋体"/>
                <w:color w:val="auto"/>
                <w:sz w:val="21"/>
                <w:szCs w:val="21"/>
                <w:highlight w:val="none"/>
                <w:lang w:eastAsia="zh-CN"/>
              </w:rPr>
              <w:t>全国公共资源交易平台（广东省·韶关市）（https://ygp.gdzwfw.gov.cn/ggzy-portal/#/440200/index）</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在【服务指南】栏目中下载《</w:t>
            </w:r>
            <w:r>
              <w:rPr>
                <w:rFonts w:hint="eastAsia" w:ascii="宋体" w:hAnsi="宋体" w:eastAsia="宋体" w:cs="宋体"/>
                <w:color w:val="auto"/>
                <w:kern w:val="0"/>
                <w:sz w:val="21"/>
                <w:szCs w:val="21"/>
                <w:highlight w:val="none"/>
              </w:rPr>
              <w:t>建设工程网上交易系统保险保证金缴纳操作指南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，了解网上投保具体操作流程。逾期投保的，其投标无效。</w:t>
            </w:r>
          </w:p>
          <w:p w14:paraId="19E85C5F">
            <w:pPr>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02EEB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658" w:type="dxa"/>
            <w:tcBorders>
              <w:top w:val="single" w:color="auto" w:sz="4" w:space="0"/>
              <w:left w:val="single" w:color="auto" w:sz="4" w:space="0"/>
              <w:bottom w:val="single" w:color="auto" w:sz="4" w:space="0"/>
              <w:right w:val="single" w:color="auto" w:sz="4" w:space="0"/>
            </w:tcBorders>
            <w:vAlign w:val="center"/>
          </w:tcPr>
          <w:p w14:paraId="6E632838">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25</w:t>
            </w:r>
          </w:p>
        </w:tc>
        <w:tc>
          <w:tcPr>
            <w:tcW w:w="1995" w:type="dxa"/>
            <w:tcBorders>
              <w:top w:val="single" w:color="auto" w:sz="4" w:space="0"/>
              <w:left w:val="single" w:color="auto" w:sz="4" w:space="0"/>
              <w:bottom w:val="single" w:color="auto" w:sz="4" w:space="0"/>
              <w:right w:val="single" w:color="auto" w:sz="4" w:space="0"/>
            </w:tcBorders>
            <w:vAlign w:val="center"/>
          </w:tcPr>
          <w:p w14:paraId="49C11A9E">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投标有效期</w:t>
            </w:r>
          </w:p>
        </w:tc>
        <w:tc>
          <w:tcPr>
            <w:tcW w:w="6534" w:type="dxa"/>
            <w:tcBorders>
              <w:top w:val="single" w:color="auto" w:sz="4" w:space="0"/>
              <w:left w:val="single" w:color="auto" w:sz="4" w:space="0"/>
              <w:bottom w:val="single" w:color="auto" w:sz="4" w:space="0"/>
              <w:right w:val="single" w:color="auto" w:sz="4" w:space="0"/>
            </w:tcBorders>
            <w:vAlign w:val="center"/>
          </w:tcPr>
          <w:p w14:paraId="513AF763">
            <w:pPr>
              <w:shd w:val="clear" w:color="auto" w:fill="auto"/>
              <w:wordWrap w:val="0"/>
              <w:adjustRightInd w:val="0"/>
              <w:snapToGrid w:val="0"/>
              <w:spacing w:line="400" w:lineRule="exact"/>
              <w:ind w:left="0" w:leftChars="0"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本次招标的投标有效期为90个日历天。</w:t>
            </w:r>
          </w:p>
        </w:tc>
      </w:tr>
      <w:tr w14:paraId="1BC5AA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9" w:hRule="atLeast"/>
        </w:trPr>
        <w:tc>
          <w:tcPr>
            <w:tcW w:w="658" w:type="dxa"/>
            <w:tcBorders>
              <w:top w:val="single" w:color="auto" w:sz="4" w:space="0"/>
              <w:left w:val="single" w:color="auto" w:sz="4" w:space="0"/>
              <w:bottom w:val="single" w:color="auto" w:sz="4" w:space="0"/>
              <w:right w:val="single" w:color="auto" w:sz="4" w:space="0"/>
            </w:tcBorders>
            <w:vAlign w:val="center"/>
          </w:tcPr>
          <w:p w14:paraId="34A2B5F6">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26</w:t>
            </w:r>
          </w:p>
        </w:tc>
        <w:tc>
          <w:tcPr>
            <w:tcW w:w="1995" w:type="dxa"/>
            <w:tcBorders>
              <w:top w:val="single" w:color="auto" w:sz="4" w:space="0"/>
              <w:left w:val="single" w:color="auto" w:sz="4" w:space="0"/>
              <w:bottom w:val="single" w:color="auto" w:sz="4" w:space="0"/>
              <w:right w:val="single" w:color="auto" w:sz="4" w:space="0"/>
            </w:tcBorders>
            <w:vAlign w:val="center"/>
          </w:tcPr>
          <w:p w14:paraId="2C8B3743">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57A4BCE1">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组成</w:t>
            </w:r>
          </w:p>
        </w:tc>
        <w:tc>
          <w:tcPr>
            <w:tcW w:w="6534" w:type="dxa"/>
            <w:tcBorders>
              <w:top w:val="single" w:color="auto" w:sz="4" w:space="0"/>
              <w:left w:val="single" w:color="auto" w:sz="4" w:space="0"/>
              <w:bottom w:val="single" w:color="auto" w:sz="4" w:space="0"/>
              <w:right w:val="single" w:color="auto" w:sz="4" w:space="0"/>
            </w:tcBorders>
            <w:vAlign w:val="center"/>
          </w:tcPr>
          <w:p w14:paraId="44519716">
            <w:pPr>
              <w:shd w:val="clear" w:color="auto" w:fill="auto"/>
              <w:wordWrap w:val="0"/>
              <w:adjustRightInd w:val="0"/>
              <w:snapToGrid w:val="0"/>
              <w:spacing w:line="400" w:lineRule="exact"/>
              <w:ind w:left="0" w:leftChars="0"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投标文件包括商务标书、监理大纲两个分册。</w:t>
            </w:r>
          </w:p>
        </w:tc>
      </w:tr>
      <w:tr w14:paraId="6699E3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0" w:hRule="atLeast"/>
        </w:trPr>
        <w:tc>
          <w:tcPr>
            <w:tcW w:w="658" w:type="dxa"/>
            <w:tcBorders>
              <w:top w:val="single" w:color="auto" w:sz="4" w:space="0"/>
              <w:left w:val="single" w:color="auto" w:sz="4" w:space="0"/>
              <w:bottom w:val="single" w:color="auto" w:sz="4" w:space="0"/>
              <w:right w:val="single" w:color="auto" w:sz="4" w:space="0"/>
            </w:tcBorders>
            <w:vAlign w:val="center"/>
          </w:tcPr>
          <w:p w14:paraId="1B672FF5">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27</w:t>
            </w:r>
          </w:p>
        </w:tc>
        <w:tc>
          <w:tcPr>
            <w:tcW w:w="1995" w:type="dxa"/>
            <w:tcBorders>
              <w:top w:val="single" w:color="auto" w:sz="4" w:space="0"/>
              <w:left w:val="single" w:color="auto" w:sz="4" w:space="0"/>
              <w:bottom w:val="single" w:color="auto" w:sz="4" w:space="0"/>
              <w:right w:val="single" w:color="auto" w:sz="4" w:space="0"/>
            </w:tcBorders>
            <w:vAlign w:val="center"/>
          </w:tcPr>
          <w:p w14:paraId="3D8CD566">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评标方法</w:t>
            </w:r>
          </w:p>
        </w:tc>
        <w:tc>
          <w:tcPr>
            <w:tcW w:w="6534" w:type="dxa"/>
            <w:tcBorders>
              <w:top w:val="single" w:color="auto" w:sz="4" w:space="0"/>
              <w:left w:val="single" w:color="auto" w:sz="4" w:space="0"/>
              <w:bottom w:val="single" w:color="auto" w:sz="4" w:space="0"/>
              <w:right w:val="single" w:color="auto" w:sz="4" w:space="0"/>
            </w:tcBorders>
            <w:vAlign w:val="center"/>
          </w:tcPr>
          <w:p w14:paraId="791F8082">
            <w:pPr>
              <w:shd w:val="clear" w:color="auto" w:fill="auto"/>
              <w:wordWrap w:val="0"/>
              <w:adjustRightInd w:val="0"/>
              <w:snapToGrid w:val="0"/>
              <w:spacing w:line="400" w:lineRule="exact"/>
              <w:ind w:left="0" w:leftChars="0"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综合评估法</w:t>
            </w:r>
          </w:p>
        </w:tc>
      </w:tr>
      <w:tr w14:paraId="0AC46F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0" w:hRule="atLeast"/>
        </w:trPr>
        <w:tc>
          <w:tcPr>
            <w:tcW w:w="658" w:type="dxa"/>
            <w:tcBorders>
              <w:top w:val="single" w:color="auto" w:sz="4" w:space="0"/>
              <w:left w:val="single" w:color="auto" w:sz="4" w:space="0"/>
              <w:bottom w:val="single" w:color="auto" w:sz="4" w:space="0"/>
              <w:right w:val="single" w:color="auto" w:sz="4" w:space="0"/>
            </w:tcBorders>
            <w:vAlign w:val="center"/>
          </w:tcPr>
          <w:p w14:paraId="171392DC">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28</w:t>
            </w:r>
          </w:p>
        </w:tc>
        <w:tc>
          <w:tcPr>
            <w:tcW w:w="1995" w:type="dxa"/>
            <w:tcBorders>
              <w:top w:val="single" w:color="auto" w:sz="4" w:space="0"/>
              <w:left w:val="single" w:color="auto" w:sz="4" w:space="0"/>
              <w:bottom w:val="single" w:color="auto" w:sz="4" w:space="0"/>
              <w:right w:val="single" w:color="auto" w:sz="4" w:space="0"/>
            </w:tcBorders>
            <w:vAlign w:val="center"/>
          </w:tcPr>
          <w:p w14:paraId="44E56CDB">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监理大纲</w:t>
            </w:r>
          </w:p>
          <w:p w14:paraId="0BEE07D2">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评审方式</w:t>
            </w:r>
          </w:p>
        </w:tc>
        <w:tc>
          <w:tcPr>
            <w:tcW w:w="6534" w:type="dxa"/>
            <w:tcBorders>
              <w:top w:val="single" w:color="auto" w:sz="4" w:space="0"/>
              <w:left w:val="single" w:color="auto" w:sz="4" w:space="0"/>
              <w:bottom w:val="single" w:color="auto" w:sz="4" w:space="0"/>
              <w:right w:val="single" w:color="auto" w:sz="4" w:space="0"/>
            </w:tcBorders>
            <w:vAlign w:val="center"/>
          </w:tcPr>
          <w:p w14:paraId="73C48E30">
            <w:pPr>
              <w:shd w:val="clear" w:color="auto" w:fill="auto"/>
              <w:wordWrap w:val="0"/>
              <w:adjustRightInd w:val="0"/>
              <w:snapToGrid w:val="0"/>
              <w:spacing w:line="400" w:lineRule="exact"/>
              <w:ind w:left="0" w:leftChars="0"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本次招标监理大纲不采用“暗标”方式进行评审。</w:t>
            </w:r>
          </w:p>
        </w:tc>
      </w:tr>
      <w:tr w14:paraId="25C39C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68" w:hRule="atLeast"/>
        </w:trPr>
        <w:tc>
          <w:tcPr>
            <w:tcW w:w="658" w:type="dxa"/>
            <w:tcBorders>
              <w:top w:val="single" w:color="auto" w:sz="4" w:space="0"/>
              <w:left w:val="single" w:color="auto" w:sz="4" w:space="0"/>
              <w:bottom w:val="single" w:color="auto" w:sz="4" w:space="0"/>
              <w:right w:val="single" w:color="auto" w:sz="4" w:space="0"/>
            </w:tcBorders>
            <w:vAlign w:val="center"/>
          </w:tcPr>
          <w:p w14:paraId="04D54489">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29</w:t>
            </w:r>
          </w:p>
        </w:tc>
        <w:tc>
          <w:tcPr>
            <w:tcW w:w="1995" w:type="dxa"/>
            <w:tcBorders>
              <w:top w:val="single" w:color="auto" w:sz="4" w:space="0"/>
              <w:left w:val="single" w:color="auto" w:sz="4" w:space="0"/>
              <w:bottom w:val="single" w:color="auto" w:sz="4" w:space="0"/>
              <w:right w:val="single" w:color="auto" w:sz="4" w:space="0"/>
            </w:tcBorders>
            <w:vAlign w:val="center"/>
          </w:tcPr>
          <w:p w14:paraId="4F9E692D">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招标代理服务费</w:t>
            </w:r>
          </w:p>
        </w:tc>
        <w:tc>
          <w:tcPr>
            <w:tcW w:w="6534" w:type="dxa"/>
            <w:tcBorders>
              <w:top w:val="single" w:color="auto" w:sz="4" w:space="0"/>
              <w:left w:val="single" w:color="auto" w:sz="4" w:space="0"/>
              <w:bottom w:val="single" w:color="auto" w:sz="4" w:space="0"/>
              <w:right w:val="single" w:color="auto" w:sz="4" w:space="0"/>
            </w:tcBorders>
            <w:vAlign w:val="center"/>
          </w:tcPr>
          <w:p w14:paraId="114F36F8">
            <w:pPr>
              <w:shd w:val="clear" w:color="auto" w:fill="auto"/>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本项目的招标代理服务费由中标人支付，投标人必须综合考虑此费用，并计入投标成本报价中，不另列；中标人须在中标候选人公示期结束后、领取中标通知书前向招标代理机构支付招标代理服务费，方可领取中标通知书。</w:t>
            </w:r>
          </w:p>
        </w:tc>
      </w:tr>
      <w:tr w14:paraId="51122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207" w:hRule="atLeast"/>
        </w:trPr>
        <w:tc>
          <w:tcPr>
            <w:tcW w:w="658" w:type="dxa"/>
            <w:tcBorders>
              <w:top w:val="single" w:color="auto" w:sz="4" w:space="0"/>
              <w:left w:val="single" w:color="auto" w:sz="4" w:space="0"/>
              <w:bottom w:val="single" w:color="auto" w:sz="4" w:space="0"/>
              <w:right w:val="single" w:color="auto" w:sz="4" w:space="0"/>
            </w:tcBorders>
            <w:vAlign w:val="center"/>
          </w:tcPr>
          <w:p w14:paraId="03521BCC">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30</w:t>
            </w:r>
          </w:p>
        </w:tc>
        <w:tc>
          <w:tcPr>
            <w:tcW w:w="1995" w:type="dxa"/>
            <w:tcBorders>
              <w:top w:val="single" w:color="auto" w:sz="4" w:space="0"/>
              <w:left w:val="single" w:color="auto" w:sz="4" w:space="0"/>
              <w:bottom w:val="single" w:color="auto" w:sz="4" w:space="0"/>
              <w:right w:val="single" w:color="auto" w:sz="4" w:space="0"/>
            </w:tcBorders>
            <w:vAlign w:val="center"/>
          </w:tcPr>
          <w:p w14:paraId="65F9439D">
            <w:pPr>
              <w:shd w:val="clear" w:color="auto" w:fill="auto"/>
              <w:spacing w:before="78" w:line="360" w:lineRule="auto"/>
              <w:ind w:left="24" w:leftChars="0"/>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spacing w:val="-2"/>
                <w:sz w:val="21"/>
                <w:szCs w:val="21"/>
                <w:highlight w:val="none"/>
              </w:rPr>
              <w:t>招标文件要求提</w:t>
            </w:r>
            <w:r>
              <w:rPr>
                <w:rFonts w:hint="eastAsia" w:ascii="宋体" w:hAnsi="宋体" w:eastAsia="宋体" w:cs="宋体"/>
                <w:color w:val="auto"/>
                <w:spacing w:val="-3"/>
                <w:sz w:val="21"/>
                <w:szCs w:val="21"/>
                <w:highlight w:val="none"/>
              </w:rPr>
              <w:t>交的用于评审的</w:t>
            </w:r>
            <w:r>
              <w:rPr>
                <w:rFonts w:hint="eastAsia" w:ascii="宋体" w:hAnsi="宋体" w:eastAsia="宋体" w:cs="宋体"/>
                <w:color w:val="auto"/>
                <w:spacing w:val="-1"/>
                <w:sz w:val="21"/>
                <w:szCs w:val="21"/>
                <w:highlight w:val="none"/>
              </w:rPr>
              <w:t>证书、证件、证</w:t>
            </w:r>
            <w:r>
              <w:rPr>
                <w:rFonts w:hint="eastAsia" w:ascii="宋体" w:hAnsi="宋体" w:eastAsia="宋体" w:cs="宋体"/>
                <w:color w:val="auto"/>
                <w:spacing w:val="-11"/>
                <w:sz w:val="21"/>
                <w:szCs w:val="21"/>
                <w:highlight w:val="none"/>
              </w:rPr>
              <w:t>明原件</w:t>
            </w:r>
            <w:r>
              <w:rPr>
                <w:rFonts w:hint="eastAsia" w:ascii="宋体" w:hAnsi="宋体" w:eastAsia="宋体" w:cs="宋体"/>
                <w:color w:val="auto"/>
                <w:spacing w:val="-11"/>
                <w:sz w:val="21"/>
                <w:szCs w:val="21"/>
                <w:highlight w:val="none"/>
                <w:lang w:val="en-US" w:eastAsia="zh-CN"/>
              </w:rPr>
              <w:t>(如有)</w:t>
            </w:r>
          </w:p>
        </w:tc>
        <w:tc>
          <w:tcPr>
            <w:tcW w:w="6534" w:type="dxa"/>
            <w:tcBorders>
              <w:top w:val="single" w:color="auto" w:sz="4" w:space="0"/>
              <w:left w:val="single" w:color="auto" w:sz="4" w:space="0"/>
              <w:bottom w:val="single" w:color="auto" w:sz="4" w:space="0"/>
              <w:right w:val="single" w:color="auto" w:sz="4" w:space="0"/>
            </w:tcBorders>
          </w:tcPr>
          <w:p w14:paraId="1B23F3A7">
            <w:pPr>
              <w:shd w:val="clear" w:color="auto" w:fill="auto"/>
              <w:spacing w:before="114" w:line="360" w:lineRule="auto"/>
              <w:ind w:firstLine="188" w:firstLineChars="100"/>
              <w:jc w:val="both"/>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pacing w:val="-11"/>
                <w:sz w:val="21"/>
                <w:szCs w:val="21"/>
                <w:highlight w:val="none"/>
              </w:rPr>
              <w:t>投标人在提交用于评审的证书、证件、证明原件的，投标人应自</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11"/>
                <w:sz w:val="21"/>
                <w:szCs w:val="21"/>
                <w:highlight w:val="none"/>
              </w:rPr>
              <w:t>行将所需原件密封于文件袋（箱）中，并自行准</w:t>
            </w:r>
            <w:r>
              <w:rPr>
                <w:rFonts w:hint="eastAsia" w:ascii="宋体" w:hAnsi="宋体" w:eastAsia="宋体" w:cs="宋体"/>
                <w:color w:val="auto"/>
                <w:spacing w:val="-12"/>
                <w:sz w:val="21"/>
                <w:szCs w:val="21"/>
                <w:highlight w:val="none"/>
              </w:rPr>
              <w:t>备两张“原件一览表</w:t>
            </w:r>
            <w:r>
              <w:rPr>
                <w:rFonts w:hint="eastAsia" w:ascii="宋体" w:hAnsi="宋体" w:eastAsia="宋体" w:cs="宋体"/>
                <w:color w:val="auto"/>
                <w:spacing w:val="-90"/>
                <w:sz w:val="21"/>
                <w:szCs w:val="21"/>
                <w:highlight w:val="none"/>
              </w:rPr>
              <w:t xml:space="preserve"> </w:t>
            </w:r>
            <w:r>
              <w:rPr>
                <w:rFonts w:hint="eastAsia" w:ascii="宋体" w:hAnsi="宋体" w:eastAsia="宋体" w:cs="宋体"/>
                <w:color w:val="auto"/>
                <w:spacing w:val="-12"/>
                <w:sz w:val="21"/>
                <w:szCs w:val="21"/>
                <w:highlight w:val="none"/>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0"/>
                <w:sz w:val="21"/>
                <w:szCs w:val="21"/>
                <w:highlight w:val="none"/>
              </w:rPr>
              <w:t>(详见格式</w:t>
            </w:r>
            <w:r>
              <w:rPr>
                <w:rFonts w:hint="eastAsia" w:ascii="宋体" w:hAnsi="宋体" w:eastAsia="宋体" w:cs="宋体"/>
                <w:color w:val="auto"/>
                <w:spacing w:val="-10"/>
                <w:sz w:val="21"/>
                <w:szCs w:val="21"/>
                <w:highlight w:val="none"/>
                <w:shd w:val="clear" w:color="auto" w:fill="FFFFFF"/>
              </w:rPr>
              <w:t>十</w:t>
            </w:r>
            <w:r>
              <w:rPr>
                <w:rFonts w:hint="eastAsia" w:ascii="宋体" w:hAnsi="宋体" w:eastAsia="宋体" w:cs="宋体"/>
                <w:color w:val="auto"/>
                <w:spacing w:val="-10"/>
                <w:sz w:val="21"/>
                <w:szCs w:val="21"/>
                <w:highlight w:val="none"/>
                <w:shd w:val="clear" w:color="auto" w:fill="FFFFFF"/>
                <w:lang w:eastAsia="zh-CN"/>
              </w:rPr>
              <w:t>五</w:t>
            </w:r>
            <w:r>
              <w:rPr>
                <w:rFonts w:hint="eastAsia" w:ascii="宋体" w:hAnsi="宋体" w:eastAsia="宋体" w:cs="宋体"/>
                <w:color w:val="auto"/>
                <w:spacing w:val="-10"/>
                <w:sz w:val="21"/>
                <w:szCs w:val="21"/>
                <w:highlight w:val="none"/>
                <w:shd w:val="clear" w:color="auto" w:fill="FFFFFF"/>
              </w:rPr>
              <w:t>，</w:t>
            </w:r>
            <w:r>
              <w:rPr>
                <w:rFonts w:hint="eastAsia" w:ascii="宋体" w:hAnsi="宋体" w:eastAsia="宋体" w:cs="宋体"/>
                <w:color w:val="auto"/>
                <w:spacing w:val="-10"/>
                <w:sz w:val="21"/>
                <w:szCs w:val="21"/>
                <w:highlight w:val="none"/>
              </w:rPr>
              <w:t>投标人须自行填写，表格可扩展)，一张贴于文件袋（箱</w:t>
            </w:r>
            <w:r>
              <w:rPr>
                <w:rFonts w:hint="eastAsia" w:ascii="宋体" w:hAnsi="宋体" w:eastAsia="宋体" w:cs="宋体"/>
                <w:color w:val="auto"/>
                <w:spacing w:val="-14"/>
                <w:sz w:val="21"/>
                <w:szCs w:val="21"/>
                <w:highlight w:val="none"/>
              </w:rPr>
              <w:t>），</w:t>
            </w:r>
            <w:r>
              <w:rPr>
                <w:rFonts w:hint="eastAsia" w:ascii="宋体" w:hAnsi="宋体" w:eastAsia="宋体" w:cs="宋体"/>
                <w:color w:val="auto"/>
                <w:spacing w:val="-10"/>
                <w:sz w:val="21"/>
                <w:szCs w:val="21"/>
                <w:highlight w:val="none"/>
              </w:rPr>
              <w:t>一份在递交文件袋（箱）时由招标代理机构、投标人签字后交招标代理机构。招标代理机构仅代签收，不对文</w:t>
            </w:r>
            <w:r>
              <w:rPr>
                <w:rFonts w:hint="eastAsia" w:ascii="宋体" w:hAnsi="宋体" w:eastAsia="宋体" w:cs="宋体"/>
                <w:color w:val="auto"/>
                <w:spacing w:val="-11"/>
                <w:sz w:val="21"/>
                <w:szCs w:val="21"/>
                <w:highlight w:val="none"/>
              </w:rPr>
              <w:t>件袋（箱）中资料</w:t>
            </w:r>
            <w:r>
              <w:rPr>
                <w:rFonts w:hint="eastAsia" w:ascii="宋体" w:hAnsi="宋体" w:eastAsia="宋体" w:cs="宋体"/>
                <w:color w:val="auto"/>
                <w:spacing w:val="-10"/>
                <w:sz w:val="21"/>
                <w:szCs w:val="21"/>
                <w:highlight w:val="none"/>
              </w:rPr>
              <w:t>的数量、内容及真实性负责。评标结束后，招标代</w:t>
            </w:r>
            <w:r>
              <w:rPr>
                <w:rFonts w:hint="eastAsia" w:ascii="宋体" w:hAnsi="宋体" w:eastAsia="宋体" w:cs="宋体"/>
                <w:color w:val="auto"/>
                <w:spacing w:val="-11"/>
                <w:sz w:val="21"/>
                <w:szCs w:val="21"/>
                <w:highlight w:val="none"/>
              </w:rPr>
              <w:t>理机构将退回投标</w:t>
            </w:r>
            <w:r>
              <w:rPr>
                <w:rFonts w:hint="eastAsia" w:ascii="宋体" w:hAnsi="宋体" w:eastAsia="宋体" w:cs="宋体"/>
                <w:color w:val="auto"/>
                <w:spacing w:val="-10"/>
                <w:sz w:val="21"/>
                <w:szCs w:val="21"/>
                <w:highlight w:val="none"/>
              </w:rPr>
              <w:t>人的原件。若投标人未按要求提交相应证明材料原</w:t>
            </w:r>
            <w:r>
              <w:rPr>
                <w:rFonts w:hint="eastAsia" w:ascii="宋体" w:hAnsi="宋体" w:eastAsia="宋体" w:cs="宋体"/>
                <w:color w:val="auto"/>
                <w:spacing w:val="-11"/>
                <w:sz w:val="21"/>
                <w:szCs w:val="21"/>
                <w:highlight w:val="none"/>
              </w:rPr>
              <w:t>件或投标文件中证</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8"/>
                <w:sz w:val="21"/>
                <w:szCs w:val="21"/>
                <w:highlight w:val="none"/>
              </w:rPr>
              <w:t>明材料的复印件与原件不一致，评审时相应证明材料不予认可。</w:t>
            </w:r>
          </w:p>
        </w:tc>
      </w:tr>
      <w:tr w14:paraId="23A9DB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218" w:hRule="atLeast"/>
        </w:trPr>
        <w:tc>
          <w:tcPr>
            <w:tcW w:w="658" w:type="dxa"/>
            <w:tcBorders>
              <w:top w:val="single" w:color="auto" w:sz="4" w:space="0"/>
              <w:left w:val="single" w:color="auto" w:sz="4" w:space="0"/>
              <w:bottom w:val="single" w:color="auto" w:sz="4" w:space="0"/>
              <w:right w:val="single" w:color="auto" w:sz="4" w:space="0"/>
            </w:tcBorders>
            <w:vAlign w:val="center"/>
          </w:tcPr>
          <w:p w14:paraId="24DEA547">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31</w:t>
            </w:r>
          </w:p>
        </w:tc>
        <w:tc>
          <w:tcPr>
            <w:tcW w:w="1995" w:type="dxa"/>
            <w:tcBorders>
              <w:top w:val="single" w:color="auto" w:sz="4" w:space="0"/>
              <w:left w:val="single" w:color="auto" w:sz="4" w:space="0"/>
              <w:bottom w:val="single" w:color="auto" w:sz="4" w:space="0"/>
              <w:right w:val="single" w:color="auto" w:sz="4" w:space="0"/>
            </w:tcBorders>
            <w:vAlign w:val="center"/>
          </w:tcPr>
          <w:p w14:paraId="5674CEB9">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评标委员会</w:t>
            </w:r>
          </w:p>
        </w:tc>
        <w:tc>
          <w:tcPr>
            <w:tcW w:w="6534" w:type="dxa"/>
            <w:tcBorders>
              <w:top w:val="single" w:color="auto" w:sz="4" w:space="0"/>
              <w:left w:val="single" w:color="auto" w:sz="4" w:space="0"/>
              <w:bottom w:val="single" w:color="auto" w:sz="4" w:space="0"/>
              <w:right w:val="single" w:color="auto" w:sz="4" w:space="0"/>
            </w:tcBorders>
            <w:vAlign w:val="center"/>
          </w:tcPr>
          <w:p w14:paraId="3B1B7898">
            <w:pPr>
              <w:shd w:val="clear" w:color="auto" w:fill="auto"/>
              <w:wordWrap w:val="0"/>
              <w:adjustRightInd w:val="0"/>
              <w:snapToGrid w:val="0"/>
              <w:spacing w:line="400" w:lineRule="exact"/>
              <w:ind w:left="0" w:leftChars="0"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评标委员会由5人组成，其中招标人代表 0人，专家5人。专家从广东省综合评标评审专家库</w:t>
            </w:r>
            <w:r>
              <w:rPr>
                <w:rFonts w:hint="eastAsia" w:ascii="宋体" w:hAnsi="宋体" w:eastAsia="宋体" w:cs="宋体"/>
                <w:snapToGrid w:val="0"/>
                <w:color w:val="auto"/>
                <w:kern w:val="0"/>
                <w:sz w:val="21"/>
                <w:szCs w:val="21"/>
                <w:highlight w:val="none"/>
                <w:lang w:val="en-US" w:eastAsia="zh-CN"/>
              </w:rPr>
              <w:t>--韶关区域</w:t>
            </w:r>
            <w:r>
              <w:rPr>
                <w:rFonts w:hint="eastAsia" w:ascii="宋体" w:hAnsi="宋体" w:eastAsia="宋体" w:cs="宋体"/>
                <w:snapToGrid w:val="0"/>
                <w:color w:val="auto"/>
                <w:kern w:val="0"/>
                <w:sz w:val="21"/>
                <w:szCs w:val="21"/>
                <w:highlight w:val="none"/>
              </w:rPr>
              <w:t>中随机抽取，其中技术类专家3人，经济类专家2人。</w:t>
            </w:r>
          </w:p>
        </w:tc>
      </w:tr>
      <w:tr w14:paraId="74242D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5" w:hRule="atLeast"/>
        </w:trPr>
        <w:tc>
          <w:tcPr>
            <w:tcW w:w="658" w:type="dxa"/>
            <w:tcBorders>
              <w:top w:val="single" w:color="auto" w:sz="4" w:space="0"/>
              <w:left w:val="single" w:color="auto" w:sz="4" w:space="0"/>
              <w:bottom w:val="single" w:color="auto" w:sz="4" w:space="0"/>
              <w:right w:val="single" w:color="auto" w:sz="4" w:space="0"/>
            </w:tcBorders>
            <w:vAlign w:val="center"/>
          </w:tcPr>
          <w:p w14:paraId="417B78E0">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32</w:t>
            </w:r>
          </w:p>
        </w:tc>
        <w:tc>
          <w:tcPr>
            <w:tcW w:w="1995" w:type="dxa"/>
            <w:tcBorders>
              <w:top w:val="single" w:color="auto" w:sz="4" w:space="0"/>
              <w:left w:val="single" w:color="auto" w:sz="4" w:space="0"/>
              <w:bottom w:val="single" w:color="auto" w:sz="4" w:space="0"/>
              <w:right w:val="single" w:color="auto" w:sz="4" w:space="0"/>
            </w:tcBorders>
            <w:vAlign w:val="center"/>
          </w:tcPr>
          <w:p w14:paraId="0B676A24">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招标人</w:t>
            </w:r>
          </w:p>
          <w:p w14:paraId="6FF1A9C1">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联系方式</w:t>
            </w:r>
          </w:p>
        </w:tc>
        <w:tc>
          <w:tcPr>
            <w:tcW w:w="6534" w:type="dxa"/>
            <w:tcBorders>
              <w:top w:val="single" w:color="auto" w:sz="4" w:space="0"/>
              <w:left w:val="single" w:color="auto" w:sz="4" w:space="0"/>
              <w:bottom w:val="single" w:color="auto" w:sz="4" w:space="0"/>
              <w:right w:val="single" w:color="auto" w:sz="4" w:space="0"/>
            </w:tcBorders>
            <w:vAlign w:val="center"/>
          </w:tcPr>
          <w:p w14:paraId="1406B415">
            <w:pPr>
              <w:wordWrap w:val="0"/>
              <w:bidi w:val="0"/>
              <w:adjustRightInd w:val="0"/>
              <w:snapToGrid w:val="0"/>
              <w:spacing w:line="360" w:lineRule="auto"/>
              <w:jc w:val="lef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color w:val="auto"/>
                <w:sz w:val="22"/>
                <w:szCs w:val="18"/>
                <w:highlight w:val="none"/>
                <w:lang w:val="en-US" w:eastAsia="zh-CN"/>
              </w:rPr>
              <w:t>单</w:t>
            </w:r>
            <w:r>
              <w:rPr>
                <w:rFonts w:hint="eastAsia" w:ascii="宋体" w:hAnsi="宋体" w:eastAsia="宋体" w:cs="宋体"/>
                <w:snapToGrid w:val="0"/>
                <w:color w:val="auto"/>
                <w:kern w:val="0"/>
                <w:sz w:val="22"/>
                <w:szCs w:val="22"/>
                <w:highlight w:val="none"/>
                <w:lang w:val="en-US" w:eastAsia="zh-CN"/>
              </w:rPr>
              <w:t>位名称：</w:t>
            </w:r>
            <w:r>
              <w:rPr>
                <w:rFonts w:hint="eastAsia" w:ascii="宋体" w:hAnsi="宋体" w:eastAsia="宋体" w:cs="宋体"/>
                <w:snapToGrid w:val="0"/>
                <w:color w:val="auto"/>
                <w:kern w:val="0"/>
                <w:sz w:val="22"/>
                <w:szCs w:val="22"/>
                <w:highlight w:val="none"/>
                <w:lang w:val="en-US" w:eastAsia="zh-CN"/>
              </w:rPr>
              <w:tab/>
            </w:r>
            <w:r>
              <w:rPr>
                <w:rFonts w:hint="eastAsia" w:ascii="宋体" w:hAnsi="宋体" w:eastAsia="宋体" w:cs="宋体"/>
                <w:i w:val="0"/>
                <w:iCs w:val="0"/>
                <w:caps w:val="0"/>
                <w:snapToGrid w:val="0"/>
                <w:color w:val="auto"/>
                <w:spacing w:val="0"/>
                <w:kern w:val="0"/>
                <w:sz w:val="22"/>
                <w:szCs w:val="22"/>
                <w:highlight w:val="none"/>
                <w:shd w:val="clear" w:fill="auto"/>
                <w:lang w:eastAsia="zh-CN"/>
              </w:rPr>
              <w:t>南雄市油山镇人民政府</w:t>
            </w:r>
          </w:p>
          <w:p w14:paraId="60062E70">
            <w:pPr>
              <w:wordWrap w:val="0"/>
              <w:bidi w:val="0"/>
              <w:adjustRightInd w:val="0"/>
              <w:snapToGrid w:val="0"/>
              <w:spacing w:line="360" w:lineRule="auto"/>
              <w:jc w:val="left"/>
              <w:rPr>
                <w:rFonts w:hint="eastAsia" w:ascii="宋体" w:hAnsi="宋体" w:eastAsia="宋体" w:cs="宋体"/>
                <w:color w:val="auto"/>
                <w:sz w:val="22"/>
                <w:szCs w:val="18"/>
                <w:highlight w:val="none"/>
                <w:lang w:val="en-US" w:eastAsia="zh-CN"/>
              </w:rPr>
            </w:pPr>
            <w:r>
              <w:rPr>
                <w:rFonts w:hint="eastAsia" w:ascii="宋体" w:hAnsi="宋体" w:eastAsia="宋体" w:cs="宋体"/>
                <w:snapToGrid w:val="0"/>
                <w:color w:val="auto"/>
                <w:kern w:val="0"/>
                <w:sz w:val="22"/>
                <w:szCs w:val="22"/>
                <w:highlight w:val="none"/>
                <w:lang w:val="en-US" w:eastAsia="zh-CN"/>
              </w:rPr>
              <w:t>办公地址：</w:t>
            </w:r>
            <w:r>
              <w:rPr>
                <w:rFonts w:hint="eastAsia" w:ascii="宋体" w:hAnsi="宋体" w:eastAsia="宋体" w:cs="宋体"/>
                <w:i w:val="0"/>
                <w:iCs w:val="0"/>
                <w:caps w:val="0"/>
                <w:snapToGrid w:val="0"/>
                <w:color w:val="auto"/>
                <w:spacing w:val="0"/>
                <w:kern w:val="0"/>
                <w:sz w:val="22"/>
                <w:szCs w:val="22"/>
                <w:highlight w:val="none"/>
                <w:shd w:val="clear" w:fill="auto"/>
                <w:lang w:eastAsia="zh-CN"/>
              </w:rPr>
              <w:t>南雄市油山镇塘新路5号</w:t>
            </w:r>
            <w:r>
              <w:rPr>
                <w:rFonts w:hint="eastAsia" w:ascii="宋体" w:hAnsi="宋体" w:eastAsia="宋体" w:cs="宋体"/>
                <w:i w:val="0"/>
                <w:iCs w:val="0"/>
                <w:caps w:val="0"/>
                <w:snapToGrid w:val="0"/>
                <w:color w:val="auto"/>
                <w:spacing w:val="0"/>
                <w:kern w:val="0"/>
                <w:sz w:val="22"/>
                <w:szCs w:val="22"/>
                <w:highlight w:val="none"/>
                <w:shd w:val="clear" w:fill="auto"/>
                <w:lang w:val="en-US" w:eastAsia="zh-CN"/>
              </w:rPr>
              <w:t>镇政府大楼</w:t>
            </w:r>
            <w:r>
              <w:rPr>
                <w:rFonts w:hint="eastAsia" w:ascii="宋体" w:hAnsi="宋体" w:eastAsia="宋体" w:cs="宋体"/>
                <w:snapToGrid w:val="0"/>
                <w:color w:val="auto"/>
                <w:kern w:val="0"/>
                <w:sz w:val="22"/>
                <w:szCs w:val="22"/>
                <w:highlight w:val="none"/>
                <w:lang w:val="en-US" w:eastAsia="zh-CN"/>
              </w:rPr>
              <w:t xml:space="preserve"> </w:t>
            </w:r>
          </w:p>
          <w:p w14:paraId="07BF7240">
            <w:pPr>
              <w:bidi w:val="0"/>
              <w:spacing w:line="360" w:lineRule="auto"/>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联系人（部门）：练工</w:t>
            </w:r>
          </w:p>
          <w:p w14:paraId="328922C5">
            <w:pPr>
              <w:bidi w:val="0"/>
              <w:spacing w:line="360" w:lineRule="auto"/>
              <w:rPr>
                <w:rFonts w:hint="eastAsia" w:ascii="宋体" w:hAnsi="宋体" w:eastAsia="宋体" w:cs="宋体"/>
                <w:b/>
                <w:bCs/>
                <w:snapToGrid w:val="0"/>
                <w:color w:val="auto"/>
                <w:kern w:val="0"/>
                <w:sz w:val="20"/>
                <w:szCs w:val="20"/>
                <w:highlight w:val="none"/>
                <w:lang w:val="en-US" w:eastAsia="zh-CN"/>
              </w:rPr>
            </w:pPr>
            <w:r>
              <w:rPr>
                <w:rFonts w:hint="eastAsia" w:ascii="宋体" w:hAnsi="宋体" w:eastAsia="宋体" w:cs="宋体"/>
                <w:color w:val="auto"/>
                <w:sz w:val="22"/>
                <w:szCs w:val="18"/>
                <w:highlight w:val="none"/>
                <w:lang w:val="en-US" w:eastAsia="zh-CN"/>
              </w:rPr>
              <w:t>联系电话：</w:t>
            </w:r>
            <w:r>
              <w:rPr>
                <w:rFonts w:hint="eastAsia" w:hAnsi="宋体" w:cs="宋体"/>
                <w:color w:val="auto"/>
                <w:sz w:val="22"/>
                <w:szCs w:val="18"/>
                <w:highlight w:val="none"/>
                <w:lang w:val="en-US" w:eastAsia="zh-CN"/>
              </w:rPr>
              <w:t>0751-3712001</w:t>
            </w:r>
          </w:p>
        </w:tc>
      </w:tr>
      <w:tr w14:paraId="495A3C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679" w:hRule="atLeast"/>
        </w:trPr>
        <w:tc>
          <w:tcPr>
            <w:tcW w:w="658" w:type="dxa"/>
            <w:tcBorders>
              <w:top w:val="single" w:color="auto" w:sz="4" w:space="0"/>
              <w:left w:val="single" w:color="auto" w:sz="4" w:space="0"/>
              <w:bottom w:val="single" w:color="auto" w:sz="4" w:space="0"/>
              <w:right w:val="single" w:color="auto" w:sz="4" w:space="0"/>
            </w:tcBorders>
            <w:vAlign w:val="center"/>
          </w:tcPr>
          <w:p w14:paraId="54098D96">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33</w:t>
            </w:r>
          </w:p>
        </w:tc>
        <w:tc>
          <w:tcPr>
            <w:tcW w:w="1995" w:type="dxa"/>
            <w:tcBorders>
              <w:top w:val="single" w:color="auto" w:sz="4" w:space="0"/>
              <w:left w:val="single" w:color="auto" w:sz="4" w:space="0"/>
              <w:bottom w:val="single" w:color="auto" w:sz="4" w:space="0"/>
              <w:right w:val="single" w:color="auto" w:sz="4" w:space="0"/>
            </w:tcBorders>
            <w:vAlign w:val="center"/>
          </w:tcPr>
          <w:p w14:paraId="1167A6AD">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招标代理机构</w:t>
            </w:r>
          </w:p>
          <w:p w14:paraId="5C95733F">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联系方式</w:t>
            </w:r>
          </w:p>
        </w:tc>
        <w:tc>
          <w:tcPr>
            <w:tcW w:w="6534" w:type="dxa"/>
            <w:tcBorders>
              <w:top w:val="single" w:color="auto" w:sz="4" w:space="0"/>
              <w:left w:val="single" w:color="auto" w:sz="4" w:space="0"/>
              <w:bottom w:val="single" w:color="auto" w:sz="4" w:space="0"/>
              <w:right w:val="single" w:color="auto" w:sz="4" w:space="0"/>
            </w:tcBorders>
            <w:vAlign w:val="center"/>
          </w:tcPr>
          <w:p w14:paraId="7F131388">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单位名称：</w:t>
            </w:r>
            <w:r>
              <w:rPr>
                <w:rFonts w:hint="eastAsia" w:ascii="宋体" w:hAnsi="宋体" w:eastAsia="宋体" w:cs="宋体"/>
                <w:snapToGrid w:val="0"/>
                <w:color w:val="auto"/>
                <w:kern w:val="0"/>
                <w:sz w:val="22"/>
                <w:szCs w:val="22"/>
                <w:highlight w:val="none"/>
                <w:lang w:eastAsia="zh-CN"/>
              </w:rPr>
              <w:t>广东象龙国际项目管理有限公司</w:t>
            </w:r>
          </w:p>
          <w:p w14:paraId="4EBB7BBA">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办公地址：</w:t>
            </w:r>
            <w:r>
              <w:rPr>
                <w:rFonts w:hint="eastAsia" w:ascii="宋体" w:hAnsi="宋体" w:eastAsia="宋体" w:cs="宋体"/>
                <w:snapToGrid w:val="0"/>
                <w:color w:val="auto"/>
                <w:kern w:val="0"/>
                <w:sz w:val="22"/>
                <w:szCs w:val="22"/>
                <w:highlight w:val="none"/>
                <w:lang w:val="en-US" w:eastAsia="zh-CN"/>
              </w:rPr>
              <w:t>韶关市武江区莞韶城一期黄沙坪创新园第9栋商务楼 303 房</w:t>
            </w:r>
          </w:p>
          <w:p w14:paraId="7AD182DE">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w:t>
            </w:r>
            <w:r>
              <w:rPr>
                <w:rFonts w:hint="eastAsia" w:ascii="宋体" w:hAnsi="宋体" w:eastAsia="宋体" w:cs="宋体"/>
                <w:snapToGrid w:val="0"/>
                <w:color w:val="auto"/>
                <w:kern w:val="0"/>
                <w:sz w:val="22"/>
                <w:szCs w:val="22"/>
                <w:highlight w:val="none"/>
                <w:lang w:val="en-US" w:eastAsia="zh-CN"/>
              </w:rPr>
              <w:t>郑工</w:t>
            </w:r>
          </w:p>
          <w:p w14:paraId="58004B11">
            <w:pPr>
              <w:bidi w:val="0"/>
              <w:spacing w:line="360" w:lineRule="auto"/>
              <w:rPr>
                <w:rFonts w:hint="eastAsia" w:ascii="宋体" w:hAnsi="宋体" w:eastAsia="宋体" w:cs="宋体"/>
                <w:snapToGrid w:val="0"/>
                <w:color w:val="auto"/>
                <w:kern w:val="0"/>
                <w:sz w:val="20"/>
                <w:szCs w:val="20"/>
                <w:highlight w:val="none"/>
                <w:lang w:val="en-US"/>
              </w:rPr>
            </w:pPr>
            <w:r>
              <w:rPr>
                <w:rFonts w:hint="eastAsia" w:ascii="宋体" w:hAnsi="宋体" w:eastAsia="宋体" w:cs="宋体"/>
                <w:snapToGrid w:val="0"/>
                <w:color w:val="auto"/>
                <w:kern w:val="0"/>
                <w:sz w:val="22"/>
                <w:szCs w:val="22"/>
                <w:highlight w:val="none"/>
              </w:rPr>
              <w:t>联系电话：</w:t>
            </w:r>
            <w:r>
              <w:rPr>
                <w:rFonts w:hint="eastAsia" w:ascii="宋体" w:hAnsi="宋体" w:eastAsia="宋体" w:cs="宋体"/>
                <w:snapToGrid w:val="0"/>
                <w:color w:val="auto"/>
                <w:kern w:val="0"/>
                <w:sz w:val="22"/>
                <w:szCs w:val="22"/>
                <w:highlight w:val="none"/>
                <w:lang w:val="en-US" w:eastAsia="zh-CN"/>
              </w:rPr>
              <w:t>0751-8962686</w:t>
            </w:r>
          </w:p>
        </w:tc>
      </w:tr>
      <w:tr w14:paraId="63E422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0" w:hRule="atLeast"/>
        </w:trPr>
        <w:tc>
          <w:tcPr>
            <w:tcW w:w="658" w:type="dxa"/>
            <w:tcBorders>
              <w:top w:val="single" w:color="auto" w:sz="4" w:space="0"/>
              <w:left w:val="single" w:color="auto" w:sz="4" w:space="0"/>
              <w:bottom w:val="single" w:color="auto" w:sz="4" w:space="0"/>
              <w:right w:val="single" w:color="auto" w:sz="4" w:space="0"/>
            </w:tcBorders>
            <w:vAlign w:val="center"/>
          </w:tcPr>
          <w:p w14:paraId="2ED353F9">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34</w:t>
            </w:r>
          </w:p>
        </w:tc>
        <w:tc>
          <w:tcPr>
            <w:tcW w:w="1995" w:type="dxa"/>
            <w:tcBorders>
              <w:top w:val="single" w:color="auto" w:sz="4" w:space="0"/>
              <w:left w:val="single" w:color="auto" w:sz="4" w:space="0"/>
              <w:bottom w:val="single" w:color="auto" w:sz="4" w:space="0"/>
              <w:right w:val="single" w:color="auto" w:sz="4" w:space="0"/>
            </w:tcBorders>
            <w:vAlign w:val="center"/>
          </w:tcPr>
          <w:p w14:paraId="70387781">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交易场所</w:t>
            </w:r>
          </w:p>
          <w:p w14:paraId="38718F05">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联系方式</w:t>
            </w:r>
          </w:p>
        </w:tc>
        <w:tc>
          <w:tcPr>
            <w:tcW w:w="6534" w:type="dxa"/>
            <w:tcBorders>
              <w:top w:val="single" w:color="auto" w:sz="4" w:space="0"/>
              <w:left w:val="single" w:color="auto" w:sz="4" w:space="0"/>
              <w:bottom w:val="single" w:color="auto" w:sz="4" w:space="0"/>
              <w:right w:val="single" w:color="auto" w:sz="4" w:space="0"/>
            </w:tcBorders>
            <w:vAlign w:val="center"/>
          </w:tcPr>
          <w:p w14:paraId="359A9583">
            <w:pPr>
              <w:bidi w:val="0"/>
              <w:spacing w:line="360" w:lineRule="auto"/>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单位名称：韶关市公共资源交易中心</w:t>
            </w:r>
          </w:p>
          <w:p w14:paraId="0CF88EAF">
            <w:pPr>
              <w:bidi w:val="0"/>
              <w:spacing w:line="360" w:lineRule="auto"/>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办公地址：南雄市雄东路1号大润发四楼韶关市公共资源交易中心南雄分中心（公共服务中心内）</w:t>
            </w:r>
          </w:p>
          <w:p w14:paraId="58DF5D43">
            <w:pPr>
              <w:bidi w:val="0"/>
              <w:spacing w:line="360" w:lineRule="auto"/>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联系人（部门）：工程交易股</w:t>
            </w:r>
          </w:p>
          <w:p w14:paraId="1C48E8FC">
            <w:pPr>
              <w:bidi w:val="0"/>
              <w:spacing w:line="360" w:lineRule="auto"/>
              <w:rPr>
                <w:rFonts w:hint="eastAsia" w:ascii="宋体" w:hAnsi="宋体" w:eastAsia="宋体" w:cs="宋体"/>
                <w:snapToGrid w:val="0"/>
                <w:color w:val="auto"/>
                <w:kern w:val="0"/>
                <w:sz w:val="20"/>
                <w:szCs w:val="20"/>
                <w:highlight w:val="none"/>
              </w:rPr>
            </w:pPr>
            <w:r>
              <w:rPr>
                <w:rFonts w:hint="eastAsia" w:ascii="宋体" w:hAnsi="宋体" w:eastAsia="宋体" w:cs="宋体"/>
                <w:color w:val="auto"/>
                <w:sz w:val="22"/>
                <w:szCs w:val="18"/>
                <w:highlight w:val="none"/>
              </w:rPr>
              <w:t>联系电话：0751-3860729</w:t>
            </w:r>
          </w:p>
        </w:tc>
      </w:tr>
      <w:tr w14:paraId="4092E6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0" w:hRule="atLeast"/>
        </w:trPr>
        <w:tc>
          <w:tcPr>
            <w:tcW w:w="658" w:type="dxa"/>
            <w:tcBorders>
              <w:top w:val="single" w:color="auto" w:sz="4" w:space="0"/>
              <w:left w:val="single" w:color="auto" w:sz="4" w:space="0"/>
              <w:bottom w:val="single" w:color="auto" w:sz="4" w:space="0"/>
              <w:right w:val="single" w:color="auto" w:sz="4" w:space="0"/>
            </w:tcBorders>
            <w:vAlign w:val="center"/>
          </w:tcPr>
          <w:p w14:paraId="6003C42E">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35</w:t>
            </w:r>
          </w:p>
        </w:tc>
        <w:tc>
          <w:tcPr>
            <w:tcW w:w="1995" w:type="dxa"/>
            <w:tcBorders>
              <w:top w:val="single" w:color="auto" w:sz="4" w:space="0"/>
              <w:left w:val="single" w:color="auto" w:sz="4" w:space="0"/>
              <w:bottom w:val="single" w:color="auto" w:sz="4" w:space="0"/>
              <w:right w:val="single" w:color="auto" w:sz="4" w:space="0"/>
            </w:tcBorders>
            <w:vAlign w:val="center"/>
          </w:tcPr>
          <w:p w14:paraId="6E545F7C">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行政监督部门</w:t>
            </w:r>
          </w:p>
          <w:p w14:paraId="0F5B6216">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联系方式</w:t>
            </w:r>
          </w:p>
        </w:tc>
        <w:tc>
          <w:tcPr>
            <w:tcW w:w="6534" w:type="dxa"/>
            <w:tcBorders>
              <w:top w:val="single" w:color="auto" w:sz="4" w:space="0"/>
              <w:left w:val="single" w:color="auto" w:sz="4" w:space="0"/>
              <w:bottom w:val="single" w:color="auto" w:sz="4" w:space="0"/>
              <w:right w:val="single" w:color="auto" w:sz="4" w:space="0"/>
            </w:tcBorders>
            <w:vAlign w:val="center"/>
          </w:tcPr>
          <w:p w14:paraId="4E00CEB1">
            <w:pPr>
              <w:bidi w:val="0"/>
              <w:spacing w:line="360" w:lineRule="auto"/>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rPr>
              <w:t>单位名称：</w:t>
            </w:r>
            <w:r>
              <w:rPr>
                <w:rFonts w:hint="eastAsia" w:ascii="宋体" w:hAnsi="宋体" w:eastAsia="宋体" w:cs="宋体"/>
                <w:i w:val="0"/>
                <w:iCs w:val="0"/>
                <w:caps w:val="0"/>
                <w:snapToGrid w:val="0"/>
                <w:color w:val="auto"/>
                <w:spacing w:val="0"/>
                <w:kern w:val="0"/>
                <w:sz w:val="22"/>
                <w:szCs w:val="22"/>
                <w:highlight w:val="none"/>
                <w:shd w:val="clear" w:fill="auto"/>
                <w:lang w:val="en-US" w:eastAsia="zh-CN"/>
              </w:rPr>
              <w:t>南雄市农业农村局</w:t>
            </w:r>
          </w:p>
          <w:p w14:paraId="1FBB67DC">
            <w:pPr>
              <w:bidi w:val="0"/>
              <w:spacing w:line="360" w:lineRule="auto"/>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办公地址：</w:t>
            </w:r>
            <w:r>
              <w:rPr>
                <w:rFonts w:hint="eastAsia" w:ascii="宋体" w:hAnsi="宋体" w:eastAsia="宋体" w:cs="宋体"/>
                <w:i w:val="0"/>
                <w:iCs w:val="0"/>
                <w:caps w:val="0"/>
                <w:snapToGrid w:val="0"/>
                <w:color w:val="auto"/>
                <w:spacing w:val="0"/>
                <w:kern w:val="0"/>
                <w:sz w:val="22"/>
                <w:szCs w:val="22"/>
                <w:highlight w:val="none"/>
                <w:shd w:val="clear" w:fill="auto"/>
              </w:rPr>
              <w:t>南雄市雄州街道沿江西路98号</w:t>
            </w:r>
          </w:p>
          <w:p w14:paraId="44428A7E">
            <w:pPr>
              <w:bidi w:val="0"/>
              <w:spacing w:line="360" w:lineRule="auto"/>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rPr>
              <w:t>联系人（部门）：政策法规与改革发展股</w:t>
            </w:r>
          </w:p>
          <w:p w14:paraId="53F4FC63">
            <w:pPr>
              <w:bidi w:val="0"/>
              <w:spacing w:line="360" w:lineRule="auto"/>
              <w:rPr>
                <w:rFonts w:hint="eastAsia" w:ascii="宋体" w:hAnsi="宋体" w:eastAsia="宋体" w:cs="宋体"/>
                <w:snapToGrid w:val="0"/>
                <w:color w:val="auto"/>
                <w:kern w:val="0"/>
                <w:sz w:val="20"/>
                <w:szCs w:val="20"/>
                <w:highlight w:val="none"/>
              </w:rPr>
            </w:pPr>
            <w:r>
              <w:rPr>
                <w:rFonts w:hint="eastAsia" w:ascii="宋体" w:hAnsi="宋体" w:eastAsia="宋体" w:cs="宋体"/>
                <w:color w:val="auto"/>
                <w:sz w:val="22"/>
                <w:szCs w:val="18"/>
                <w:highlight w:val="none"/>
              </w:rPr>
              <w:t>联系电话：0751-6929131</w:t>
            </w:r>
          </w:p>
        </w:tc>
      </w:tr>
      <w:bookmarkEnd w:id="28"/>
      <w:tr w14:paraId="3493BC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75" w:hRule="atLeast"/>
        </w:trPr>
        <w:tc>
          <w:tcPr>
            <w:tcW w:w="658" w:type="dxa"/>
            <w:tcBorders>
              <w:top w:val="single" w:color="auto" w:sz="4" w:space="0"/>
              <w:left w:val="single" w:color="auto" w:sz="4" w:space="0"/>
              <w:bottom w:val="single" w:color="auto" w:sz="4" w:space="0"/>
              <w:right w:val="single" w:color="auto" w:sz="4" w:space="0"/>
            </w:tcBorders>
            <w:vAlign w:val="center"/>
          </w:tcPr>
          <w:p w14:paraId="4CAE0E92">
            <w:pPr>
              <w:shd w:val="clear" w:color="auto" w:fill="auto"/>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36</w:t>
            </w:r>
          </w:p>
        </w:tc>
        <w:tc>
          <w:tcPr>
            <w:tcW w:w="1995" w:type="dxa"/>
            <w:tcBorders>
              <w:top w:val="single" w:color="auto" w:sz="4" w:space="0"/>
              <w:left w:val="single" w:color="auto" w:sz="4" w:space="0"/>
              <w:bottom w:val="single" w:color="auto" w:sz="4" w:space="0"/>
              <w:right w:val="single" w:color="auto" w:sz="4" w:space="0"/>
            </w:tcBorders>
            <w:vAlign w:val="center"/>
          </w:tcPr>
          <w:p w14:paraId="63B7F5A0">
            <w:pPr>
              <w:shd w:val="clear" w:color="auto" w:fill="auto"/>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术语</w:t>
            </w:r>
          </w:p>
        </w:tc>
        <w:tc>
          <w:tcPr>
            <w:tcW w:w="6534" w:type="dxa"/>
            <w:tcBorders>
              <w:top w:val="single" w:color="auto" w:sz="4" w:space="0"/>
              <w:left w:val="single" w:color="auto" w:sz="4" w:space="0"/>
              <w:bottom w:val="single" w:color="auto" w:sz="4" w:space="0"/>
              <w:right w:val="single" w:color="auto" w:sz="4" w:space="0"/>
            </w:tcBorders>
            <w:vAlign w:val="center"/>
          </w:tcPr>
          <w:p w14:paraId="39636A9D">
            <w:pPr>
              <w:shd w:val="clear" w:color="auto" w:fill="auto"/>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6065C031">
            <w:pPr>
              <w:shd w:val="clear" w:color="auto" w:fill="auto"/>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2．“相关服务”是指监理人受委托人的委托，按照合同约定，在勘察、设计、保修等阶段提供的服务活动。</w:t>
            </w:r>
          </w:p>
        </w:tc>
      </w:tr>
    </w:tbl>
    <w:p w14:paraId="5DA313E4">
      <w:pPr>
        <w:pStyle w:val="11"/>
        <w:shd w:val="clear" w:color="auto" w:fill="auto"/>
        <w:wordWrap w:val="0"/>
        <w:autoSpaceDE/>
        <w:autoSpaceDN/>
        <w:snapToGrid w:val="0"/>
        <w:spacing w:before="260" w:after="260" w:line="360" w:lineRule="exact"/>
        <w:jc w:val="both"/>
        <w:rPr>
          <w:rFonts w:hint="eastAsia" w:ascii="宋体" w:hAnsi="宋体" w:eastAsia="宋体" w:cs="宋体"/>
          <w:b/>
          <w:snapToGrid w:val="0"/>
          <w:color w:val="auto"/>
          <w:highlight w:val="none"/>
        </w:rPr>
        <w:sectPr>
          <w:footerReference r:id="rId7" w:type="default"/>
          <w:endnotePr>
            <w:numFmt w:val="decimal"/>
          </w:endnotePr>
          <w:pgSz w:w="11906" w:h="16838"/>
          <w:pgMar w:top="1701" w:right="1531" w:bottom="1417" w:left="1531" w:header="850" w:footer="992" w:gutter="0"/>
          <w:pgNumType w:start="1"/>
          <w:cols w:space="720" w:num="1"/>
          <w:rtlGutter w:val="0"/>
          <w:docGrid w:linePitch="327" w:charSpace="0"/>
        </w:sectPr>
      </w:pPr>
    </w:p>
    <w:p w14:paraId="7518086D">
      <w:pPr>
        <w:pStyle w:val="11"/>
        <w:shd w:val="clear" w:color="auto" w:fill="auto"/>
        <w:wordWrap w:val="0"/>
        <w:autoSpaceDE/>
        <w:autoSpaceDN/>
        <w:snapToGrid w:val="0"/>
        <w:spacing w:after="260" w:line="440" w:lineRule="exact"/>
        <w:jc w:val="both"/>
        <w:rPr>
          <w:rFonts w:hint="eastAsia" w:ascii="宋体" w:hAnsi="宋体" w:eastAsia="宋体" w:cs="宋体"/>
          <w:snapToGrid w:val="0"/>
          <w:color w:val="auto"/>
          <w:highlight w:val="none"/>
        </w:rPr>
      </w:pPr>
      <w:bookmarkStart w:id="29" w:name="_Toc28370"/>
      <w:bookmarkStart w:id="30" w:name="_Toc31292"/>
      <w:bookmarkStart w:id="31" w:name="_Toc2241"/>
      <w:bookmarkStart w:id="32" w:name="_Toc26113"/>
      <w:bookmarkStart w:id="33" w:name="_Toc16241"/>
      <w:bookmarkStart w:id="34" w:name="_Toc712"/>
      <w:bookmarkStart w:id="35" w:name="_Toc16005"/>
      <w:bookmarkStart w:id="36" w:name="_Toc25588"/>
      <w:bookmarkStart w:id="37" w:name="_Toc17242"/>
      <w:bookmarkStart w:id="38" w:name="_Toc5405"/>
      <w:bookmarkStart w:id="39" w:name="_Toc29182"/>
      <w:r>
        <w:rPr>
          <w:rFonts w:hint="eastAsia" w:ascii="宋体" w:hAnsi="宋体" w:eastAsia="宋体" w:cs="宋体"/>
          <w:b/>
          <w:snapToGrid w:val="0"/>
          <w:color w:val="auto"/>
          <w:highlight w:val="none"/>
        </w:rPr>
        <w:t>第二节 重要事项时间地点一览表</w:t>
      </w:r>
      <w:bookmarkEnd w:id="29"/>
      <w:bookmarkEnd w:id="30"/>
      <w:bookmarkEnd w:id="31"/>
      <w:bookmarkEnd w:id="32"/>
      <w:bookmarkEnd w:id="33"/>
      <w:bookmarkEnd w:id="34"/>
      <w:bookmarkEnd w:id="35"/>
      <w:bookmarkEnd w:id="36"/>
      <w:bookmarkEnd w:id="37"/>
      <w:bookmarkEnd w:id="38"/>
      <w:bookmarkEnd w:id="39"/>
    </w:p>
    <w:tbl>
      <w:tblPr>
        <w:tblStyle w:val="31"/>
        <w:tblpPr w:leftFromText="180" w:rightFromText="180" w:vertAnchor="text" w:horzAnchor="page" w:tblpX="1295" w:tblpY="8"/>
        <w:tblOverlap w:val="never"/>
        <w:tblW w:w="9239"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30"/>
        <w:gridCol w:w="1325"/>
        <w:gridCol w:w="7484"/>
      </w:tblGrid>
      <w:tr w14:paraId="4E258BD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0"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0C93BCE2">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1</w:t>
            </w:r>
          </w:p>
        </w:tc>
        <w:tc>
          <w:tcPr>
            <w:tcW w:w="1325" w:type="dxa"/>
            <w:tcBorders>
              <w:top w:val="single" w:color="080000" w:sz="4" w:space="0"/>
              <w:left w:val="single" w:color="080000" w:sz="4" w:space="0"/>
              <w:bottom w:val="single" w:color="080000" w:sz="4" w:space="0"/>
              <w:right w:val="single" w:color="080000" w:sz="4" w:space="0"/>
            </w:tcBorders>
            <w:vAlign w:val="center"/>
          </w:tcPr>
          <w:p w14:paraId="1662341B">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招标公告</w:t>
            </w:r>
          </w:p>
          <w:p w14:paraId="4029AF92">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发布时间 </w:t>
            </w:r>
          </w:p>
        </w:tc>
        <w:tc>
          <w:tcPr>
            <w:tcW w:w="7484" w:type="dxa"/>
            <w:tcBorders>
              <w:top w:val="single" w:color="080000" w:sz="4" w:space="0"/>
              <w:left w:val="single" w:color="080000" w:sz="4" w:space="0"/>
              <w:bottom w:val="single" w:color="080000" w:sz="4" w:space="0"/>
              <w:right w:val="single" w:color="080000" w:sz="4" w:space="0"/>
            </w:tcBorders>
            <w:vAlign w:val="center"/>
          </w:tcPr>
          <w:p w14:paraId="7B4D172F">
            <w:pPr>
              <w:pStyle w:val="50"/>
              <w:widowControl/>
              <w:snapToGrid w:val="0"/>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20</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20</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时</w:t>
            </w:r>
            <w:r>
              <w:rPr>
                <w:rFonts w:hint="eastAsia" w:ascii="宋体" w:hAnsi="宋体" w:eastAsia="宋体" w:cs="宋体"/>
                <w:color w:val="auto"/>
                <w:kern w:val="0"/>
                <w:sz w:val="21"/>
                <w:szCs w:val="21"/>
                <w:highlight w:val="none"/>
                <w:u w:val="none"/>
              </w:rPr>
              <w:t xml:space="preserve"> </w:t>
            </w:r>
            <w:r>
              <w:rPr>
                <w:rFonts w:hint="eastAsia" w:ascii="宋体" w:hAnsi="宋体" w:eastAsia="宋体" w:cs="宋体"/>
                <w:color w:val="auto"/>
                <w:kern w:val="0"/>
                <w:sz w:val="21"/>
                <w:szCs w:val="21"/>
                <w:highlight w:val="none"/>
                <w:u w:val="none"/>
                <w:lang w:val="en-US" w:eastAsia="zh-CN"/>
              </w:rPr>
              <w:t>00</w:t>
            </w:r>
            <w:r>
              <w:rPr>
                <w:rFonts w:hint="eastAsia" w:ascii="宋体" w:hAnsi="宋体" w:eastAsia="宋体" w:cs="宋体"/>
                <w:color w:val="auto"/>
                <w:kern w:val="0"/>
                <w:sz w:val="21"/>
                <w:szCs w:val="21"/>
                <w:highlight w:val="none"/>
                <w:u w:val="none"/>
              </w:rPr>
              <w:t xml:space="preserve"> </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 xml:space="preserve"> </w:t>
            </w:r>
          </w:p>
        </w:tc>
      </w:tr>
      <w:tr w14:paraId="005D461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4"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6CDB774C">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2</w:t>
            </w:r>
          </w:p>
        </w:tc>
        <w:tc>
          <w:tcPr>
            <w:tcW w:w="1325" w:type="dxa"/>
            <w:tcBorders>
              <w:top w:val="single" w:color="080000" w:sz="4" w:space="0"/>
              <w:left w:val="single" w:color="080000" w:sz="4" w:space="0"/>
              <w:bottom w:val="single" w:color="080000" w:sz="4" w:space="0"/>
              <w:right w:val="single" w:color="080000" w:sz="4" w:space="0"/>
            </w:tcBorders>
            <w:vAlign w:val="center"/>
          </w:tcPr>
          <w:p w14:paraId="60B4E913">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获取招标文件截止时间 </w:t>
            </w:r>
          </w:p>
        </w:tc>
        <w:tc>
          <w:tcPr>
            <w:tcW w:w="7484" w:type="dxa"/>
            <w:tcBorders>
              <w:top w:val="single" w:color="080000" w:sz="4" w:space="0"/>
              <w:left w:val="single" w:color="080000" w:sz="4" w:space="0"/>
              <w:bottom w:val="single" w:color="080000" w:sz="4" w:space="0"/>
              <w:right w:val="single" w:color="080000" w:sz="4" w:space="0"/>
            </w:tcBorders>
            <w:vAlign w:val="center"/>
          </w:tcPr>
          <w:p w14:paraId="25865B1E">
            <w:pPr>
              <w:pStyle w:val="50"/>
              <w:widowControl/>
              <w:snapToGrid w:val="0"/>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14</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eastAsia="宋体" w:cs="宋体"/>
                <w:color w:val="auto"/>
                <w:kern w:val="0"/>
                <w:sz w:val="21"/>
                <w:szCs w:val="21"/>
                <w:highlight w:val="none"/>
                <w:u w:val="none"/>
              </w:rPr>
              <w:t xml:space="preserve"> </w:t>
            </w:r>
            <w:r>
              <w:rPr>
                <w:rFonts w:hint="eastAsia" w:ascii="宋体" w:hAnsi="宋体" w:eastAsia="宋体" w:cs="宋体"/>
                <w:color w:val="auto"/>
                <w:kern w:val="0"/>
                <w:sz w:val="21"/>
                <w:szCs w:val="21"/>
                <w:highlight w:val="none"/>
                <w:u w:val="none"/>
                <w:lang w:val="en-US" w:eastAsia="zh-CN"/>
              </w:rPr>
              <w:t>00</w:t>
            </w:r>
            <w:r>
              <w:rPr>
                <w:rFonts w:hint="eastAsia" w:ascii="宋体" w:hAnsi="宋体" w:eastAsia="宋体" w:cs="宋体"/>
                <w:color w:val="auto"/>
                <w:kern w:val="0"/>
                <w:sz w:val="21"/>
                <w:szCs w:val="21"/>
                <w:highlight w:val="none"/>
                <w:u w:val="none"/>
              </w:rPr>
              <w:t xml:space="preserve"> </w:t>
            </w:r>
            <w:r>
              <w:rPr>
                <w:rFonts w:hint="eastAsia" w:ascii="宋体" w:hAnsi="宋体" w:eastAsia="宋体" w:cs="宋体"/>
                <w:color w:val="auto"/>
                <w:kern w:val="0"/>
                <w:sz w:val="21"/>
                <w:szCs w:val="21"/>
                <w:highlight w:val="none"/>
              </w:rPr>
              <w:t>分</w:t>
            </w:r>
          </w:p>
        </w:tc>
      </w:tr>
      <w:tr w14:paraId="63DAAD8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53"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50661AE0">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3</w:t>
            </w:r>
          </w:p>
        </w:tc>
        <w:tc>
          <w:tcPr>
            <w:tcW w:w="1325" w:type="dxa"/>
            <w:tcBorders>
              <w:top w:val="single" w:color="080000" w:sz="4" w:space="0"/>
              <w:left w:val="single" w:color="080000" w:sz="4" w:space="0"/>
              <w:bottom w:val="single" w:color="080000" w:sz="4" w:space="0"/>
              <w:right w:val="single" w:color="080000" w:sz="4" w:space="0"/>
            </w:tcBorders>
            <w:vAlign w:val="center"/>
          </w:tcPr>
          <w:p w14:paraId="48DAC1CA">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网上提问</w:t>
            </w:r>
          </w:p>
          <w:p w14:paraId="760A4508">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截止时间 </w:t>
            </w:r>
          </w:p>
        </w:tc>
        <w:tc>
          <w:tcPr>
            <w:tcW w:w="7484" w:type="dxa"/>
            <w:tcBorders>
              <w:top w:val="single" w:color="080000" w:sz="4" w:space="0"/>
              <w:left w:val="single" w:color="080000" w:sz="4" w:space="0"/>
              <w:bottom w:val="single" w:color="080000" w:sz="4" w:space="0"/>
              <w:right w:val="single" w:color="080000" w:sz="4" w:space="0"/>
            </w:tcBorders>
            <w:vAlign w:val="center"/>
          </w:tcPr>
          <w:p w14:paraId="0AA13DB4">
            <w:pPr>
              <w:pStyle w:val="50"/>
              <w:wordWrap w:val="0"/>
              <w:adjustRightInd w:val="0"/>
              <w:snapToGrid w:val="0"/>
              <w:spacing w:line="400" w:lineRule="exact"/>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cs="宋体"/>
                <w:color w:val="auto"/>
                <w:kern w:val="0"/>
                <w:sz w:val="21"/>
                <w:szCs w:val="21"/>
                <w:highlight w:val="none"/>
                <w:u w:val="none"/>
                <w:lang w:val="en-US" w:eastAsia="zh-CN"/>
              </w:rPr>
              <w:t>9</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eastAsia="宋体" w:cs="宋体"/>
                <w:color w:val="auto"/>
                <w:kern w:val="0"/>
                <w:sz w:val="21"/>
                <w:szCs w:val="21"/>
                <w:highlight w:val="none"/>
                <w:u w:val="none"/>
              </w:rPr>
              <w:t>月</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cs="宋体"/>
                <w:color w:val="auto"/>
                <w:kern w:val="0"/>
                <w:sz w:val="21"/>
                <w:szCs w:val="21"/>
                <w:highlight w:val="none"/>
                <w:u w:val="none"/>
                <w:lang w:val="en-US" w:eastAsia="zh-CN"/>
              </w:rPr>
              <w:t>29</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eastAsia="宋体" w:cs="宋体"/>
                <w:color w:val="auto"/>
                <w:kern w:val="0"/>
                <w:sz w:val="21"/>
                <w:szCs w:val="21"/>
                <w:highlight w:val="none"/>
                <w:u w:val="none"/>
              </w:rPr>
              <w:t xml:space="preserve">日 </w:t>
            </w:r>
            <w:r>
              <w:rPr>
                <w:rFonts w:hint="eastAsia" w:ascii="宋体" w:hAnsi="宋体" w:eastAsia="宋体" w:cs="宋体"/>
                <w:color w:val="auto"/>
                <w:kern w:val="0"/>
                <w:sz w:val="21"/>
                <w:szCs w:val="21"/>
                <w:highlight w:val="none"/>
                <w:u w:val="none"/>
                <w:lang w:val="en-US" w:eastAsia="zh-CN"/>
              </w:rPr>
              <w:t xml:space="preserve">16  </w:t>
            </w:r>
            <w:r>
              <w:rPr>
                <w:rFonts w:hint="eastAsia" w:ascii="宋体" w:hAnsi="宋体" w:eastAsia="宋体" w:cs="宋体"/>
                <w:color w:val="auto"/>
                <w:kern w:val="0"/>
                <w:sz w:val="21"/>
                <w:szCs w:val="21"/>
                <w:highlight w:val="none"/>
                <w:u w:val="none"/>
              </w:rPr>
              <w:t xml:space="preserve">时 </w:t>
            </w:r>
            <w:r>
              <w:rPr>
                <w:rFonts w:hint="eastAsia" w:ascii="宋体" w:hAnsi="宋体" w:eastAsia="宋体" w:cs="宋体"/>
                <w:color w:val="auto"/>
                <w:kern w:val="0"/>
                <w:sz w:val="21"/>
                <w:szCs w:val="21"/>
                <w:highlight w:val="none"/>
                <w:u w:val="none"/>
                <w:lang w:val="en-US" w:eastAsia="zh-CN"/>
              </w:rPr>
              <w:t xml:space="preserve">00 </w:t>
            </w:r>
            <w:r>
              <w:rPr>
                <w:rFonts w:hint="eastAsia" w:ascii="宋体" w:hAnsi="宋体" w:eastAsia="宋体" w:cs="宋体"/>
                <w:color w:val="auto"/>
                <w:kern w:val="0"/>
                <w:sz w:val="21"/>
                <w:szCs w:val="21"/>
                <w:highlight w:val="none"/>
                <w:u w:val="none"/>
              </w:rPr>
              <w:t>分</w:t>
            </w:r>
          </w:p>
        </w:tc>
      </w:tr>
      <w:tr w14:paraId="766712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13"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52F69A64">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4</w:t>
            </w:r>
          </w:p>
        </w:tc>
        <w:tc>
          <w:tcPr>
            <w:tcW w:w="1325" w:type="dxa"/>
            <w:tcBorders>
              <w:top w:val="single" w:color="080000" w:sz="4" w:space="0"/>
              <w:left w:val="single" w:color="080000" w:sz="4" w:space="0"/>
              <w:bottom w:val="single" w:color="080000" w:sz="4" w:space="0"/>
              <w:right w:val="single" w:color="080000" w:sz="4" w:space="0"/>
            </w:tcBorders>
            <w:vAlign w:val="center"/>
          </w:tcPr>
          <w:p w14:paraId="395F8277">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网上答疑</w:t>
            </w:r>
          </w:p>
          <w:p w14:paraId="6248F5DB">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时间</w:t>
            </w:r>
          </w:p>
        </w:tc>
        <w:tc>
          <w:tcPr>
            <w:tcW w:w="7484" w:type="dxa"/>
            <w:tcBorders>
              <w:top w:val="single" w:color="080000" w:sz="4" w:space="0"/>
              <w:left w:val="single" w:color="080000" w:sz="4" w:space="0"/>
              <w:bottom w:val="single" w:color="080000" w:sz="4" w:space="0"/>
              <w:right w:val="single" w:color="080000" w:sz="4" w:space="0"/>
            </w:tcBorders>
            <w:vAlign w:val="center"/>
          </w:tcPr>
          <w:p w14:paraId="40A21A1D">
            <w:pPr>
              <w:pStyle w:val="50"/>
              <w:widowControl/>
              <w:snapToGrid w:val="0"/>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cs="宋体"/>
                <w:color w:val="auto"/>
                <w:kern w:val="0"/>
                <w:sz w:val="21"/>
                <w:szCs w:val="21"/>
                <w:highlight w:val="none"/>
                <w:u w:val="none"/>
                <w:lang w:val="en-US" w:eastAsia="zh-CN"/>
              </w:rPr>
              <w:t>9</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eastAsia="宋体" w:cs="宋体"/>
                <w:color w:val="auto"/>
                <w:kern w:val="0"/>
                <w:sz w:val="21"/>
                <w:szCs w:val="21"/>
                <w:highlight w:val="none"/>
                <w:u w:val="none"/>
              </w:rPr>
              <w:t>月</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cs="宋体"/>
                <w:color w:val="auto"/>
                <w:kern w:val="0"/>
                <w:sz w:val="21"/>
                <w:szCs w:val="21"/>
                <w:highlight w:val="none"/>
                <w:u w:val="none"/>
                <w:lang w:val="en-US" w:eastAsia="zh-CN"/>
              </w:rPr>
              <w:t>29</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eastAsia="宋体" w:cs="宋体"/>
                <w:color w:val="auto"/>
                <w:kern w:val="0"/>
                <w:sz w:val="21"/>
                <w:szCs w:val="21"/>
                <w:highlight w:val="none"/>
                <w:u w:val="none"/>
              </w:rPr>
              <w:t>日 16 时 30 分至</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eastAsia="宋体" w:cs="宋体"/>
                <w:color w:val="auto"/>
                <w:kern w:val="0"/>
                <w:sz w:val="21"/>
                <w:szCs w:val="21"/>
                <w:highlight w:val="none"/>
                <w:u w:val="none"/>
              </w:rPr>
              <w:t>月</w:t>
            </w:r>
            <w:r>
              <w:rPr>
                <w:rFonts w:hint="eastAsia" w:ascii="宋体" w:hAnsi="宋体" w:eastAsia="宋体" w:cs="宋体"/>
                <w:color w:val="auto"/>
                <w:kern w:val="0"/>
                <w:sz w:val="21"/>
                <w:szCs w:val="21"/>
                <w:highlight w:val="none"/>
                <w:u w:val="none"/>
                <w:lang w:val="en-US" w:eastAsia="zh-CN"/>
              </w:rPr>
              <w:t xml:space="preserve"> </w:t>
            </w:r>
            <w:r>
              <w:rPr>
                <w:rFonts w:hint="eastAsia" w:ascii="宋体" w:hAnsi="宋体" w:cs="宋体"/>
                <w:color w:val="auto"/>
                <w:kern w:val="0"/>
                <w:sz w:val="21"/>
                <w:szCs w:val="21"/>
                <w:highlight w:val="none"/>
                <w:u w:val="none"/>
                <w:lang w:val="en-US" w:eastAsia="zh-CN"/>
              </w:rPr>
              <w:t xml:space="preserve">2 </w:t>
            </w:r>
            <w:r>
              <w:rPr>
                <w:rFonts w:hint="eastAsia" w:ascii="宋体" w:hAnsi="宋体" w:eastAsia="宋体" w:cs="宋体"/>
                <w:color w:val="auto"/>
                <w:kern w:val="0"/>
                <w:sz w:val="21"/>
                <w:szCs w:val="21"/>
                <w:highlight w:val="none"/>
                <w:u w:val="none"/>
              </w:rPr>
              <w:t>日 16 时 00分</w:t>
            </w:r>
          </w:p>
        </w:tc>
      </w:tr>
      <w:tr w14:paraId="46198C8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24"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659BB1E8">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5</w:t>
            </w:r>
          </w:p>
        </w:tc>
        <w:tc>
          <w:tcPr>
            <w:tcW w:w="1325" w:type="dxa"/>
            <w:tcBorders>
              <w:top w:val="single" w:color="080000" w:sz="4" w:space="0"/>
              <w:left w:val="single" w:color="080000" w:sz="4" w:space="0"/>
              <w:bottom w:val="single" w:color="080000" w:sz="4" w:space="0"/>
              <w:right w:val="single" w:color="080000" w:sz="4" w:space="0"/>
            </w:tcBorders>
            <w:vAlign w:val="center"/>
          </w:tcPr>
          <w:p w14:paraId="1EF3E220">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投标保证缴</w:t>
            </w:r>
          </w:p>
          <w:p w14:paraId="7D495D9E">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纳截止时间</w:t>
            </w:r>
          </w:p>
        </w:tc>
        <w:tc>
          <w:tcPr>
            <w:tcW w:w="7484" w:type="dxa"/>
            <w:tcBorders>
              <w:top w:val="single" w:color="080000" w:sz="4" w:space="0"/>
              <w:left w:val="single" w:color="080000" w:sz="4" w:space="0"/>
              <w:bottom w:val="single" w:color="080000" w:sz="4" w:space="0"/>
              <w:right w:val="single" w:color="080000" w:sz="4" w:space="0"/>
            </w:tcBorders>
            <w:vAlign w:val="center"/>
          </w:tcPr>
          <w:p w14:paraId="3332CCB2">
            <w:pPr>
              <w:pStyle w:val="50"/>
              <w:widowControl/>
              <w:snapToGrid w:val="0"/>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投标保证金到账截止时间：</w:t>
            </w:r>
            <w:r>
              <w:rPr>
                <w:rFonts w:hint="eastAsia" w:ascii="宋体" w:hAnsi="宋体" w:eastAsia="宋体" w:cs="宋体"/>
                <w:color w:val="auto"/>
                <w:kern w:val="0"/>
                <w:sz w:val="21"/>
                <w:szCs w:val="21"/>
                <w:highlight w:val="none"/>
                <w:u w:val="none"/>
                <w:lang w:val="en-US" w:eastAsia="zh-CN"/>
              </w:rPr>
              <w:t xml:space="preserve">2026年 </w:t>
            </w:r>
            <w:r>
              <w:rPr>
                <w:rFonts w:hint="eastAsia" w:ascii="宋体" w:hAnsi="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lang w:val="en-US" w:eastAsia="zh-CN"/>
              </w:rPr>
              <w:t xml:space="preserve"> 月 </w:t>
            </w:r>
            <w:r>
              <w:rPr>
                <w:rFonts w:hint="eastAsia" w:ascii="宋体" w:hAnsi="宋体" w:cs="宋体"/>
                <w:color w:val="auto"/>
                <w:kern w:val="0"/>
                <w:sz w:val="21"/>
                <w:szCs w:val="21"/>
                <w:highlight w:val="none"/>
                <w:u w:val="none"/>
                <w:lang w:val="en-US" w:eastAsia="zh-CN"/>
              </w:rPr>
              <w:t>13</w:t>
            </w:r>
            <w:r>
              <w:rPr>
                <w:rFonts w:hint="eastAsia" w:ascii="宋体" w:hAnsi="宋体" w:eastAsia="宋体" w:cs="宋体"/>
                <w:color w:val="auto"/>
                <w:kern w:val="0"/>
                <w:sz w:val="21"/>
                <w:szCs w:val="21"/>
                <w:highlight w:val="none"/>
                <w:u w:val="none"/>
                <w:lang w:val="en-US" w:eastAsia="zh-CN"/>
              </w:rPr>
              <w:t xml:space="preserve"> 日10时 00 分</w:t>
            </w:r>
            <w:r>
              <w:rPr>
                <w:rFonts w:hint="eastAsia" w:ascii="宋体" w:hAnsi="宋体" w:eastAsia="宋体" w:cs="宋体"/>
                <w:color w:val="auto"/>
                <w:kern w:val="0"/>
                <w:sz w:val="21"/>
                <w:szCs w:val="21"/>
                <w:highlight w:val="none"/>
              </w:rPr>
              <w:t>；</w:t>
            </w:r>
          </w:p>
          <w:p w14:paraId="626E2E94">
            <w:pPr>
              <w:pStyle w:val="50"/>
              <w:widowControl/>
              <w:snapToGrid w:val="0"/>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投标保证担保上传截止时间：</w:t>
            </w:r>
            <w:r>
              <w:rPr>
                <w:rFonts w:hint="eastAsia" w:ascii="宋体" w:hAnsi="宋体" w:eastAsia="宋体" w:cs="宋体"/>
                <w:color w:val="auto"/>
                <w:kern w:val="0"/>
                <w:sz w:val="21"/>
                <w:szCs w:val="21"/>
                <w:highlight w:val="none"/>
                <w:u w:val="none"/>
                <w:lang w:val="en-US" w:eastAsia="zh-CN"/>
              </w:rPr>
              <w:t>2026年 10 月 13 日10时 00 分</w:t>
            </w:r>
            <w:r>
              <w:rPr>
                <w:rFonts w:hint="eastAsia" w:ascii="宋体" w:hAnsi="宋体" w:eastAsia="宋体" w:cs="宋体"/>
                <w:color w:val="auto"/>
                <w:kern w:val="0"/>
                <w:sz w:val="21"/>
                <w:szCs w:val="21"/>
                <w:highlight w:val="none"/>
              </w:rPr>
              <w:t>；</w:t>
            </w:r>
          </w:p>
          <w:p w14:paraId="68581F07">
            <w:pPr>
              <w:pStyle w:val="50"/>
              <w:widowControl/>
              <w:snapToGrid w:val="0"/>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投标保证保险投保截止时间：</w:t>
            </w:r>
            <w:r>
              <w:rPr>
                <w:rFonts w:hint="eastAsia" w:ascii="宋体" w:hAnsi="宋体" w:eastAsia="宋体" w:cs="宋体"/>
                <w:color w:val="auto"/>
                <w:kern w:val="0"/>
                <w:sz w:val="21"/>
                <w:szCs w:val="21"/>
                <w:highlight w:val="none"/>
                <w:u w:val="none"/>
                <w:lang w:val="en-US" w:eastAsia="zh-CN"/>
              </w:rPr>
              <w:t>2026年 10 月 13 日10时 00 分</w:t>
            </w:r>
            <w:r>
              <w:rPr>
                <w:rFonts w:hint="eastAsia" w:ascii="宋体" w:hAnsi="宋体" w:eastAsia="宋体" w:cs="宋体"/>
                <w:color w:val="auto"/>
                <w:kern w:val="0"/>
                <w:sz w:val="21"/>
                <w:szCs w:val="21"/>
                <w:highlight w:val="none"/>
              </w:rPr>
              <w:t>。</w:t>
            </w:r>
          </w:p>
        </w:tc>
      </w:tr>
      <w:tr w14:paraId="66BC805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85"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4DA68798">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6</w:t>
            </w:r>
          </w:p>
        </w:tc>
        <w:tc>
          <w:tcPr>
            <w:tcW w:w="1325" w:type="dxa"/>
            <w:tcBorders>
              <w:top w:val="single" w:color="080000" w:sz="4" w:space="0"/>
              <w:left w:val="single" w:color="080000" w:sz="4" w:space="0"/>
              <w:bottom w:val="single" w:color="080000" w:sz="4" w:space="0"/>
              <w:right w:val="single" w:color="080000" w:sz="4" w:space="0"/>
            </w:tcBorders>
            <w:vAlign w:val="center"/>
          </w:tcPr>
          <w:p w14:paraId="516979EE">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电子投标</w:t>
            </w:r>
          </w:p>
          <w:p w14:paraId="373ADBC5">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截止时间 </w:t>
            </w:r>
          </w:p>
        </w:tc>
        <w:tc>
          <w:tcPr>
            <w:tcW w:w="7484" w:type="dxa"/>
            <w:tcBorders>
              <w:top w:val="single" w:color="080000" w:sz="4" w:space="0"/>
              <w:left w:val="single" w:color="080000" w:sz="4" w:space="0"/>
              <w:bottom w:val="single" w:color="080000" w:sz="4" w:space="0"/>
              <w:right w:val="single" w:color="080000" w:sz="4" w:space="0"/>
            </w:tcBorders>
            <w:vAlign w:val="center"/>
          </w:tcPr>
          <w:p w14:paraId="3C9C37B9">
            <w:pPr>
              <w:pStyle w:val="50"/>
              <w:widowControl/>
              <w:snapToGrid w:val="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 </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14</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eastAsia="宋体" w:cs="宋体"/>
                <w:color w:val="auto"/>
                <w:kern w:val="0"/>
                <w:sz w:val="21"/>
                <w:szCs w:val="21"/>
                <w:highlight w:val="none"/>
                <w:u w:val="none"/>
              </w:rPr>
              <w:t xml:space="preserve"> </w:t>
            </w:r>
            <w:r>
              <w:rPr>
                <w:rFonts w:hint="eastAsia" w:ascii="宋体" w:hAnsi="宋体" w:eastAsia="宋体" w:cs="宋体"/>
                <w:color w:val="auto"/>
                <w:kern w:val="0"/>
                <w:sz w:val="21"/>
                <w:szCs w:val="21"/>
                <w:highlight w:val="none"/>
                <w:u w:val="none"/>
                <w:lang w:val="en-US" w:eastAsia="zh-CN"/>
              </w:rPr>
              <w:t>00</w:t>
            </w:r>
            <w:r>
              <w:rPr>
                <w:rFonts w:hint="eastAsia" w:ascii="宋体" w:hAnsi="宋体" w:eastAsia="宋体" w:cs="宋体"/>
                <w:color w:val="auto"/>
                <w:kern w:val="0"/>
                <w:sz w:val="21"/>
                <w:szCs w:val="21"/>
                <w:highlight w:val="none"/>
                <w:u w:val="none"/>
              </w:rPr>
              <w:t xml:space="preserve"> </w:t>
            </w:r>
            <w:r>
              <w:rPr>
                <w:rFonts w:hint="eastAsia" w:ascii="宋体" w:hAnsi="宋体" w:eastAsia="宋体" w:cs="宋体"/>
                <w:color w:val="auto"/>
                <w:kern w:val="0"/>
                <w:sz w:val="21"/>
                <w:szCs w:val="21"/>
                <w:highlight w:val="none"/>
              </w:rPr>
              <w:t>分</w:t>
            </w:r>
          </w:p>
        </w:tc>
      </w:tr>
      <w:tr w14:paraId="7767EE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53"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6D871F0D">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7</w:t>
            </w:r>
          </w:p>
        </w:tc>
        <w:tc>
          <w:tcPr>
            <w:tcW w:w="1325" w:type="dxa"/>
            <w:tcBorders>
              <w:top w:val="single" w:color="080000" w:sz="4" w:space="0"/>
              <w:left w:val="single" w:color="080000" w:sz="4" w:space="0"/>
              <w:bottom w:val="single" w:color="080000" w:sz="4" w:space="0"/>
              <w:right w:val="single" w:color="080000" w:sz="4" w:space="0"/>
            </w:tcBorders>
            <w:vAlign w:val="center"/>
          </w:tcPr>
          <w:p w14:paraId="591BFF43">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投标相关资料（如有）</w:t>
            </w:r>
          </w:p>
          <w:p w14:paraId="4112CB8E">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递交时间</w:t>
            </w:r>
          </w:p>
        </w:tc>
        <w:tc>
          <w:tcPr>
            <w:tcW w:w="7484" w:type="dxa"/>
            <w:tcBorders>
              <w:top w:val="single" w:color="080000" w:sz="4" w:space="0"/>
              <w:left w:val="single" w:color="080000" w:sz="4" w:space="0"/>
              <w:bottom w:val="single" w:color="080000" w:sz="4" w:space="0"/>
              <w:right w:val="single" w:color="080000" w:sz="4" w:space="0"/>
            </w:tcBorders>
            <w:vAlign w:val="center"/>
          </w:tcPr>
          <w:p w14:paraId="288752EF">
            <w:pPr>
              <w:pStyle w:val="50"/>
              <w:widowControl/>
              <w:snapToGrid w:val="0"/>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14</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时</w:t>
            </w:r>
            <w:r>
              <w:rPr>
                <w:rFonts w:hint="eastAsia" w:ascii="宋体" w:hAnsi="宋体" w:eastAsia="宋体" w:cs="宋体"/>
                <w:color w:val="auto"/>
                <w:kern w:val="0"/>
                <w:sz w:val="21"/>
                <w:szCs w:val="21"/>
                <w:highlight w:val="none"/>
                <w:lang w:val="en-US" w:eastAsia="zh-CN"/>
              </w:rPr>
              <w:t>30</w:t>
            </w:r>
            <w:r>
              <w:rPr>
                <w:rFonts w:hint="eastAsia" w:ascii="宋体" w:hAnsi="宋体" w:eastAsia="宋体" w:cs="宋体"/>
                <w:color w:val="auto"/>
                <w:kern w:val="0"/>
                <w:sz w:val="21"/>
                <w:szCs w:val="21"/>
                <w:highlight w:val="none"/>
              </w:rPr>
              <w:t>分至</w:t>
            </w:r>
            <w:r>
              <w:rPr>
                <w:rFonts w:hint="eastAsia" w:ascii="宋体" w:hAnsi="宋体" w:eastAsia="宋体" w:cs="宋体"/>
                <w:color w:val="auto"/>
                <w:kern w:val="0"/>
                <w:sz w:val="21"/>
                <w:szCs w:val="21"/>
                <w:highlight w:val="none"/>
                <w:u w:val="none"/>
                <w:lang w:val="en-US" w:eastAsia="zh-CN"/>
              </w:rPr>
              <w:t>2026年 10 月 14 日10时 00 分</w:t>
            </w:r>
          </w:p>
        </w:tc>
      </w:tr>
      <w:tr w14:paraId="53258C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28"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42C96BFF">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8</w:t>
            </w:r>
          </w:p>
        </w:tc>
        <w:tc>
          <w:tcPr>
            <w:tcW w:w="1325" w:type="dxa"/>
            <w:tcBorders>
              <w:top w:val="single" w:color="080000" w:sz="4" w:space="0"/>
              <w:left w:val="single" w:color="080000" w:sz="4" w:space="0"/>
              <w:bottom w:val="single" w:color="080000" w:sz="4" w:space="0"/>
              <w:right w:val="single" w:color="080000" w:sz="4" w:space="0"/>
            </w:tcBorders>
            <w:vAlign w:val="center"/>
          </w:tcPr>
          <w:p w14:paraId="31B7D6CF">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投标相关资料（如有）</w:t>
            </w:r>
          </w:p>
          <w:p w14:paraId="768EC3F0">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递交地点</w:t>
            </w:r>
          </w:p>
        </w:tc>
        <w:tc>
          <w:tcPr>
            <w:tcW w:w="7484" w:type="dxa"/>
            <w:tcBorders>
              <w:top w:val="single" w:color="080000" w:sz="4" w:space="0"/>
              <w:left w:val="single" w:color="080000" w:sz="4" w:space="0"/>
              <w:bottom w:val="single" w:color="080000" w:sz="4" w:space="0"/>
              <w:right w:val="single" w:color="080000" w:sz="4" w:space="0"/>
            </w:tcBorders>
            <w:vAlign w:val="center"/>
          </w:tcPr>
          <w:p w14:paraId="313D14DF">
            <w:pPr>
              <w:pStyle w:val="50"/>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递交场所：韶关市公共资源交易中心南雄分中心</w:t>
            </w:r>
          </w:p>
          <w:p w14:paraId="04857895">
            <w:pPr>
              <w:pStyle w:val="50"/>
              <w:wordWrap w:val="0"/>
              <w:adjustRightInd w:val="0"/>
              <w:snapToGrid w:val="0"/>
              <w:spacing w:line="400" w:lineRule="exact"/>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rPr>
              <w:t>地址：南雄市雄东路1号(大润发)四楼韶关市公共资源交易中心南雄分中心(南雄市公共服务中心内)。</w:t>
            </w:r>
          </w:p>
        </w:tc>
      </w:tr>
      <w:tr w14:paraId="26A96A0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90"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49706119">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9</w:t>
            </w:r>
          </w:p>
        </w:tc>
        <w:tc>
          <w:tcPr>
            <w:tcW w:w="1325" w:type="dxa"/>
            <w:tcBorders>
              <w:top w:val="single" w:color="080000" w:sz="4" w:space="0"/>
              <w:left w:val="single" w:color="080000" w:sz="4" w:space="0"/>
              <w:bottom w:val="single" w:color="080000" w:sz="4" w:space="0"/>
              <w:right w:val="single" w:color="080000" w:sz="4" w:space="0"/>
            </w:tcBorders>
            <w:vAlign w:val="center"/>
          </w:tcPr>
          <w:p w14:paraId="7A49E5FC">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开标时间 </w:t>
            </w:r>
          </w:p>
        </w:tc>
        <w:tc>
          <w:tcPr>
            <w:tcW w:w="7484" w:type="dxa"/>
            <w:tcBorders>
              <w:top w:val="single" w:color="080000" w:sz="4" w:space="0"/>
              <w:left w:val="single" w:color="080000" w:sz="4" w:space="0"/>
              <w:bottom w:val="single" w:color="080000" w:sz="4" w:space="0"/>
              <w:right w:val="single" w:color="080000" w:sz="4" w:space="0"/>
            </w:tcBorders>
            <w:vAlign w:val="center"/>
          </w:tcPr>
          <w:p w14:paraId="0A283461">
            <w:pPr>
              <w:pStyle w:val="50"/>
              <w:wordWrap w:val="0"/>
              <w:adjustRightInd w:val="0"/>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 </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none"/>
                <w:lang w:val="en-US" w:eastAsia="zh-CN"/>
              </w:rPr>
              <w:t>2026年 10 月 14 日10时 00 分</w:t>
            </w:r>
          </w:p>
        </w:tc>
      </w:tr>
      <w:tr w14:paraId="4CF2CA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31" w:hRule="exact"/>
        </w:trPr>
        <w:tc>
          <w:tcPr>
            <w:tcW w:w="430" w:type="dxa"/>
            <w:tcBorders>
              <w:top w:val="single" w:color="080000" w:sz="4" w:space="0"/>
              <w:left w:val="single" w:color="080000" w:sz="4" w:space="0"/>
              <w:bottom w:val="single" w:color="080000" w:sz="4" w:space="0"/>
              <w:right w:val="single" w:color="080000" w:sz="4" w:space="0"/>
            </w:tcBorders>
            <w:vAlign w:val="center"/>
          </w:tcPr>
          <w:p w14:paraId="5D81C897">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10</w:t>
            </w:r>
          </w:p>
        </w:tc>
        <w:tc>
          <w:tcPr>
            <w:tcW w:w="1325" w:type="dxa"/>
            <w:tcBorders>
              <w:top w:val="single" w:color="080000" w:sz="4" w:space="0"/>
              <w:left w:val="single" w:color="080000" w:sz="4" w:space="0"/>
              <w:bottom w:val="single" w:color="080000" w:sz="4" w:space="0"/>
              <w:right w:val="single" w:color="080000" w:sz="4" w:space="0"/>
            </w:tcBorders>
            <w:vAlign w:val="center"/>
          </w:tcPr>
          <w:p w14:paraId="201B7788">
            <w:pPr>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开标地点 </w:t>
            </w:r>
          </w:p>
        </w:tc>
        <w:tc>
          <w:tcPr>
            <w:tcW w:w="7484" w:type="dxa"/>
            <w:tcBorders>
              <w:top w:val="single" w:color="080000" w:sz="4" w:space="0"/>
              <w:left w:val="single" w:color="080000" w:sz="4" w:space="0"/>
              <w:bottom w:val="single" w:color="080000" w:sz="4" w:space="0"/>
              <w:right w:val="single" w:color="080000" w:sz="4" w:space="0"/>
            </w:tcBorders>
            <w:vAlign w:val="center"/>
          </w:tcPr>
          <w:p w14:paraId="4C67D7A8">
            <w:pPr>
              <w:pStyle w:val="50"/>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开标场所：韶关市公共资源交易中心南雄分中心</w:t>
            </w:r>
          </w:p>
          <w:p w14:paraId="2BB75C06">
            <w:pPr>
              <w:pStyle w:val="50"/>
              <w:wordWrap w:val="0"/>
              <w:adjustRightInd w:val="0"/>
              <w:snapToGrid w:val="0"/>
              <w:spacing w:line="400" w:lineRule="exact"/>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地址：：南雄市雄东路1号大润发四楼韶关市公共资源交易中心南雄分中心（公共服务中心内）</w:t>
            </w:r>
          </w:p>
        </w:tc>
      </w:tr>
      <w:tr w14:paraId="2DD8596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3" w:hRule="exact"/>
        </w:trPr>
        <w:tc>
          <w:tcPr>
            <w:tcW w:w="1755" w:type="dxa"/>
            <w:gridSpan w:val="2"/>
            <w:tcBorders>
              <w:top w:val="single" w:color="080000" w:sz="4" w:space="0"/>
              <w:left w:val="single" w:color="080000" w:sz="4" w:space="0"/>
              <w:bottom w:val="single" w:color="080000" w:sz="4" w:space="0"/>
              <w:right w:val="single" w:color="080000" w:sz="4" w:space="0"/>
            </w:tcBorders>
            <w:vAlign w:val="center"/>
          </w:tcPr>
          <w:p w14:paraId="47E88853">
            <w:pPr>
              <w:pStyle w:val="50"/>
              <w:wordWrap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备注</w:t>
            </w:r>
          </w:p>
        </w:tc>
        <w:tc>
          <w:tcPr>
            <w:tcW w:w="7484" w:type="dxa"/>
            <w:tcBorders>
              <w:top w:val="single" w:color="080000" w:sz="4" w:space="0"/>
              <w:left w:val="single" w:color="080000" w:sz="4" w:space="0"/>
              <w:bottom w:val="single" w:color="080000" w:sz="4" w:space="0"/>
              <w:right w:val="single" w:color="080000" w:sz="4" w:space="0"/>
            </w:tcBorders>
            <w:vAlign w:val="center"/>
          </w:tcPr>
          <w:p w14:paraId="10DF6689">
            <w:pPr>
              <w:pStyle w:val="50"/>
              <w:tabs>
                <w:tab w:val="left" w:pos="1890"/>
              </w:tabs>
              <w:wordWrap w:val="0"/>
              <w:adjustRightInd w:val="0"/>
              <w:snapToGrid w:val="0"/>
              <w:spacing w:line="400" w:lineRule="exact"/>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i w:val="0"/>
                <w:caps w:val="0"/>
                <w:color w:val="auto"/>
                <w:spacing w:val="0"/>
                <w:kern w:val="0"/>
                <w:sz w:val="21"/>
                <w:szCs w:val="21"/>
                <w:highlight w:val="none"/>
                <w:lang w:val="en-US" w:eastAsia="zh-CN" w:bidi="ar-SA"/>
              </w:rPr>
              <w:t>投标人应按有关计划时间安排办理企业CA认证、企业入库等，投标人自行下载招标文件、资料文件及招标答疑书等。若由于投标人自身原因未能及时取得上述资料的，由此发生的任何责任由投标人自负。</w:t>
            </w:r>
          </w:p>
        </w:tc>
      </w:tr>
    </w:tbl>
    <w:p w14:paraId="3859EE76">
      <w:pPr>
        <w:pStyle w:val="50"/>
        <w:widowControl/>
        <w:shd w:val="clear" w:color="auto" w:fill="auto"/>
        <w:snapToGrid w:val="0"/>
        <w:spacing w:line="360" w:lineRule="auto"/>
        <w:ind w:left="0" w:leftChars="0" w:right="0" w:rightChars="0" w:firstLine="0" w:firstLineChars="0"/>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备注：投标人应按有关计划时间安排办理企业CA认证、企业入库等，</w:t>
      </w:r>
      <w:r>
        <w:rPr>
          <w:rFonts w:hint="eastAsia" w:ascii="宋体" w:hAnsi="宋体" w:eastAsia="宋体" w:cs="宋体"/>
          <w:color w:val="auto"/>
          <w:kern w:val="0"/>
          <w:sz w:val="20"/>
          <w:szCs w:val="20"/>
          <w:highlight w:val="none"/>
          <w:lang w:val="en-US" w:eastAsia="zh-CN"/>
        </w:rPr>
        <w:t>完成相关手续</w:t>
      </w:r>
      <w:r>
        <w:rPr>
          <w:rFonts w:hint="eastAsia" w:ascii="宋体" w:hAnsi="宋体" w:eastAsia="宋体" w:cs="宋体"/>
          <w:color w:val="auto"/>
          <w:kern w:val="0"/>
          <w:sz w:val="20"/>
          <w:szCs w:val="20"/>
          <w:highlight w:val="none"/>
        </w:rPr>
        <w:t>后自行下载招标文件、资料文件及招标答疑书等。若由于投标人自身原因未能及时取得上述资料的，由此发生的任何责任由投标人自负。</w:t>
      </w:r>
    </w:p>
    <w:p w14:paraId="369730DC">
      <w:pPr>
        <w:pStyle w:val="10"/>
        <w:shd w:val="clear" w:color="auto" w:fill="auto"/>
        <w:tabs>
          <w:tab w:val="left" w:pos="885"/>
        </w:tabs>
        <w:wordWrap w:val="0"/>
        <w:autoSpaceDE/>
        <w:autoSpaceDN/>
        <w:snapToGrid w:val="0"/>
        <w:spacing w:line="440" w:lineRule="exact"/>
        <w:ind w:left="885" w:hanging="885"/>
        <w:jc w:val="center"/>
        <w:rPr>
          <w:rFonts w:hint="eastAsia" w:ascii="宋体" w:hAnsi="宋体" w:eastAsia="宋体" w:cs="宋体"/>
          <w:snapToGrid w:val="0"/>
          <w:color w:val="auto"/>
          <w:sz w:val="24"/>
          <w:highlight w:val="none"/>
        </w:rPr>
        <w:sectPr>
          <w:endnotePr>
            <w:numFmt w:val="decimal"/>
          </w:endnotePr>
          <w:pgSz w:w="11906" w:h="16838"/>
          <w:pgMar w:top="1701" w:right="1531" w:bottom="1417" w:left="1531" w:header="850" w:footer="992" w:gutter="0"/>
          <w:cols w:space="720" w:num="1"/>
          <w:rtlGutter w:val="0"/>
          <w:docGrid w:linePitch="327" w:charSpace="0"/>
        </w:sectPr>
      </w:pPr>
    </w:p>
    <w:p w14:paraId="3273C185">
      <w:pPr>
        <w:pStyle w:val="11"/>
        <w:shd w:val="clear" w:color="auto" w:fill="auto"/>
        <w:wordWrap w:val="0"/>
        <w:autoSpaceDE/>
        <w:autoSpaceDN/>
        <w:snapToGrid w:val="0"/>
        <w:spacing w:before="260" w:after="260" w:line="440" w:lineRule="exact"/>
        <w:jc w:val="both"/>
        <w:rPr>
          <w:rFonts w:hint="eastAsia" w:ascii="宋体" w:hAnsi="宋体" w:eastAsia="宋体" w:cs="宋体"/>
          <w:snapToGrid w:val="0"/>
          <w:color w:val="auto"/>
          <w:kern w:val="0"/>
          <w:szCs w:val="28"/>
          <w:highlight w:val="none"/>
          <w:u w:val="single"/>
        </w:rPr>
      </w:pPr>
      <w:bookmarkStart w:id="40" w:name="_Hlt87793819"/>
      <w:bookmarkEnd w:id="40"/>
      <w:bookmarkStart w:id="41" w:name="_Toc16803"/>
      <w:bookmarkStart w:id="42" w:name="_Hlt69698705"/>
      <w:bookmarkStart w:id="43" w:name="_Toc32301"/>
      <w:bookmarkStart w:id="44" w:name="_Toc13835"/>
      <w:bookmarkStart w:id="45" w:name="_Toc14119"/>
      <w:bookmarkStart w:id="46" w:name="_Toc54"/>
      <w:bookmarkStart w:id="47" w:name="_Toc1048"/>
      <w:bookmarkStart w:id="48" w:name="_Toc17679"/>
      <w:bookmarkStart w:id="49" w:name="_Toc22644"/>
      <w:bookmarkStart w:id="50" w:name="_Toc32269"/>
      <w:bookmarkStart w:id="51" w:name="_Toc29843"/>
      <w:bookmarkStart w:id="52" w:name="_Hlt69698754"/>
      <w:bookmarkStart w:id="53" w:name="_Toc21610"/>
      <w:bookmarkStart w:id="54" w:name="_Toc24601"/>
      <w:r>
        <w:rPr>
          <w:rFonts w:hint="eastAsia" w:ascii="宋体" w:hAnsi="宋体" w:eastAsia="宋体" w:cs="宋体"/>
          <w:b/>
          <w:snapToGrid w:val="0"/>
          <w:color w:val="auto"/>
          <w:highlight w:val="none"/>
        </w:rPr>
        <w:t>第三节 投标人须知</w:t>
      </w:r>
      <w:bookmarkEnd w:id="41"/>
      <w:bookmarkStart w:id="55" w:name="_Hlt69669159"/>
      <w:bookmarkEnd w:id="55"/>
      <w:r>
        <w:rPr>
          <w:rFonts w:hint="eastAsia" w:ascii="宋体" w:hAnsi="宋体" w:eastAsia="宋体" w:cs="宋体"/>
          <w:b/>
          <w:snapToGrid w:val="0"/>
          <w:color w:val="auto"/>
          <w:highlight w:val="none"/>
        </w:rPr>
        <w:t>正文</w:t>
      </w:r>
      <w:bookmarkEnd w:id="42"/>
      <w:bookmarkEnd w:id="43"/>
      <w:bookmarkEnd w:id="44"/>
      <w:bookmarkEnd w:id="45"/>
      <w:bookmarkEnd w:id="46"/>
      <w:bookmarkEnd w:id="47"/>
      <w:bookmarkEnd w:id="48"/>
      <w:bookmarkEnd w:id="49"/>
      <w:bookmarkEnd w:id="50"/>
      <w:bookmarkEnd w:id="51"/>
      <w:bookmarkEnd w:id="52"/>
      <w:bookmarkEnd w:id="53"/>
      <w:bookmarkEnd w:id="54"/>
    </w:p>
    <w:p w14:paraId="0A24AE86">
      <w:pPr>
        <w:keepNext w:val="0"/>
        <w:keepLines w:val="0"/>
        <w:widowControl/>
        <w:suppressLineNumbers w:val="0"/>
        <w:spacing w:line="360" w:lineRule="auto"/>
        <w:ind w:right="-295" w:rightChars="-123" w:firstLine="480" w:firstLineChars="200"/>
        <w:jc w:val="left"/>
        <w:rPr>
          <w:rFonts w:hint="eastAsia" w:ascii="宋体" w:hAnsi="宋体" w:eastAsia="宋体" w:cs="宋体"/>
          <w:color w:val="auto"/>
          <w:sz w:val="36"/>
          <w:szCs w:val="36"/>
          <w:highlight w:val="none"/>
        </w:rPr>
      </w:pPr>
      <w:bookmarkStart w:id="56" w:name="_Toc8024"/>
      <w:bookmarkStart w:id="57" w:name="_Toc28791"/>
      <w:bookmarkStart w:id="58" w:name="_Toc22150"/>
      <w:bookmarkStart w:id="59" w:name="_Toc3349"/>
      <w:bookmarkStart w:id="60" w:name="_Toc27860"/>
      <w:bookmarkStart w:id="61" w:name="_Toc26179"/>
      <w:bookmarkStart w:id="62" w:name="_Toc13092"/>
      <w:bookmarkStart w:id="63" w:name="_Toc14853"/>
      <w:bookmarkStart w:id="64" w:name="_Toc8455"/>
      <w:bookmarkStart w:id="65" w:name="_Toc26736"/>
      <w:r>
        <w:rPr>
          <w:rFonts w:hint="eastAsia" w:ascii="宋体" w:hAnsi="宋体" w:eastAsia="宋体" w:cs="宋体"/>
          <w:i w:val="0"/>
          <w:iCs w:val="0"/>
          <w:caps w:val="0"/>
          <w:color w:val="auto"/>
          <w:spacing w:val="0"/>
          <w:sz w:val="24"/>
          <w:szCs w:val="24"/>
          <w:highlight w:val="none"/>
          <w:u w:val="single"/>
          <w:shd w:val="clear" w:fill="auto"/>
        </w:rPr>
        <w:t>南雄市“银杏染秋”乡村振兴示范带建设项目</w:t>
      </w:r>
      <w:r>
        <w:rPr>
          <w:rFonts w:hint="eastAsia" w:ascii="宋体" w:hAnsi="宋体" w:eastAsia="宋体" w:cs="宋体"/>
          <w:snapToGrid w:val="0"/>
          <w:color w:val="auto"/>
          <w:kern w:val="0"/>
          <w:sz w:val="24"/>
          <w:szCs w:val="24"/>
          <w:highlight w:val="none"/>
        </w:rPr>
        <w:t>经</w:t>
      </w:r>
      <w:r>
        <w:rPr>
          <w:rFonts w:hint="eastAsia" w:hAnsi="宋体" w:eastAsia="宋体" w:cs="宋体"/>
          <w:color w:val="auto"/>
          <w:sz w:val="24"/>
          <w:szCs w:val="24"/>
          <w:highlight w:val="none"/>
          <w:u w:val="single"/>
          <w:lang w:val="en-US" w:eastAsia="zh-CN"/>
        </w:rPr>
        <w:t>南雄市发展和改革局</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u w:val="single"/>
          <w:lang w:eastAsia="zh-CN"/>
        </w:rPr>
        <w:t>《</w:t>
      </w:r>
      <w:r>
        <w:rPr>
          <w:rFonts w:hint="eastAsia" w:hAnsi="宋体" w:eastAsia="宋体" w:cs="宋体"/>
          <w:color w:val="auto"/>
          <w:sz w:val="24"/>
          <w:szCs w:val="24"/>
          <w:highlight w:val="none"/>
          <w:u w:val="single"/>
          <w:lang w:val="en-US" w:eastAsia="zh-CN"/>
        </w:rPr>
        <w:t>关于南雄市“银杏染秋”乡村振兴示范带建设项目可行性研究报告的批复</w:t>
      </w:r>
      <w:r>
        <w:rPr>
          <w:rFonts w:hint="eastAsia" w:ascii="宋体" w:hAnsi="宋体" w:eastAsia="宋体" w:cs="宋体"/>
          <w:color w:val="auto"/>
          <w:sz w:val="24"/>
          <w:szCs w:val="24"/>
          <w:highlight w:val="none"/>
          <w:u w:val="single"/>
          <w:lang w:eastAsia="zh-CN"/>
        </w:rPr>
        <w:t>》</w:t>
      </w:r>
      <w:r>
        <w:rPr>
          <w:rFonts w:hint="eastAsia" w:hAnsi="宋体" w:eastAsia="宋体" w:cs="宋体"/>
          <w:color w:val="auto"/>
          <w:sz w:val="24"/>
          <w:szCs w:val="24"/>
          <w:highlight w:val="none"/>
          <w:u w:val="single"/>
          <w:lang w:eastAsia="zh-CN"/>
        </w:rPr>
        <w:t>（雄发改投审[2024]106号）、《关于同意调整南雄市“银杏染秋”乡村振兴示范带建设项目可行性研究报告的批复》（雄发改投审[2026]95号）、《关于南雄市"银杏染秋”乡村振兴示范带建设项目-油山镇典型村建设项目初步设计概算的批复》（雄发改投审[2026]116号）</w:t>
      </w:r>
      <w:r>
        <w:rPr>
          <w:rFonts w:hint="eastAsia" w:ascii="宋体" w:hAnsi="宋体" w:eastAsia="宋体" w:cs="宋体"/>
          <w:color w:val="auto"/>
          <w:sz w:val="24"/>
          <w:szCs w:val="24"/>
          <w:highlight w:val="none"/>
        </w:rPr>
        <w:t>批准建设，项目代码</w:t>
      </w:r>
      <w:r>
        <w:rPr>
          <w:rFonts w:hint="eastAsia" w:hAnsi="宋体" w:eastAsia="宋体" w:cs="宋体"/>
          <w:bCs/>
          <w:i w:val="0"/>
          <w:iCs w:val="0"/>
          <w:caps w:val="0"/>
          <w:snapToGrid w:val="0"/>
          <w:color w:val="auto"/>
          <w:spacing w:val="0"/>
          <w:kern w:val="0"/>
          <w:sz w:val="24"/>
          <w:szCs w:val="24"/>
          <w:highlight w:val="none"/>
          <w:u w:val="single"/>
          <w:shd w:val="clear" w:fill="auto"/>
          <w:lang w:eastAsia="zh-CN"/>
        </w:rPr>
        <w:t>2407-440282-20-01-288869</w:t>
      </w:r>
      <w:r>
        <w:rPr>
          <w:rFonts w:hint="eastAsia" w:ascii="宋体" w:hAnsi="宋体" w:eastAsia="宋体" w:cs="宋体"/>
          <w:color w:val="auto"/>
          <w:sz w:val="24"/>
          <w:szCs w:val="24"/>
          <w:highlight w:val="none"/>
        </w:rPr>
        <w:t>。本项目业主为</w:t>
      </w:r>
      <w:r>
        <w:rPr>
          <w:rFonts w:hint="eastAsia" w:hAnsi="宋体" w:eastAsia="宋体" w:cs="宋体"/>
          <w:bCs/>
          <w:i w:val="0"/>
          <w:iCs w:val="0"/>
          <w:caps w:val="0"/>
          <w:snapToGrid w:val="0"/>
          <w:color w:val="auto"/>
          <w:spacing w:val="0"/>
          <w:kern w:val="0"/>
          <w:sz w:val="24"/>
          <w:szCs w:val="24"/>
          <w:highlight w:val="none"/>
          <w:u w:val="single"/>
          <w:shd w:val="clear" w:fill="auto"/>
          <w:lang w:eastAsia="zh-CN"/>
        </w:rPr>
        <w:t>南雄市乡村振兴服务中心</w:t>
      </w:r>
      <w:r>
        <w:rPr>
          <w:rFonts w:hint="eastAsia" w:ascii="宋体" w:hAnsi="宋体" w:eastAsia="宋体" w:cs="宋体"/>
          <w:color w:val="auto"/>
          <w:sz w:val="24"/>
          <w:szCs w:val="24"/>
          <w:highlight w:val="none"/>
        </w:rPr>
        <w:t>，</w:t>
      </w:r>
      <w:r>
        <w:rPr>
          <w:rFonts w:hint="eastAsia" w:ascii="宋体" w:hAnsi="宋体" w:eastAsia="宋体" w:cs="宋体"/>
          <w:b w:val="0"/>
          <w:bCs/>
          <w:snapToGrid w:val="0"/>
          <w:color w:val="auto"/>
          <w:kern w:val="0"/>
          <w:sz w:val="24"/>
          <w:szCs w:val="24"/>
          <w:highlight w:val="none"/>
          <w:lang w:val="en-US" w:eastAsia="zh-CN" w:bidi="ar-SA"/>
        </w:rPr>
        <w:t>项目建设所需资金</w:t>
      </w:r>
      <w:r>
        <w:rPr>
          <w:rFonts w:hint="eastAsia" w:hAnsi="宋体" w:eastAsia="宋体" w:cs="宋体"/>
          <w:bCs/>
          <w:snapToGrid w:val="0"/>
          <w:color w:val="auto"/>
          <w:kern w:val="0"/>
          <w:sz w:val="24"/>
          <w:szCs w:val="24"/>
          <w:highlight w:val="none"/>
          <w:u w:val="single"/>
          <w:lang w:val="en-US" w:eastAsia="zh-CN"/>
        </w:rPr>
        <w:t>上级财政资金</w:t>
      </w:r>
      <w:r>
        <w:rPr>
          <w:rFonts w:hint="eastAsia" w:ascii="宋体" w:hAnsi="宋体" w:eastAsia="宋体" w:cs="宋体"/>
          <w:color w:val="auto"/>
          <w:sz w:val="24"/>
          <w:szCs w:val="24"/>
          <w:highlight w:val="none"/>
        </w:rPr>
        <w:t>，出资比例为</w:t>
      </w:r>
      <w:r>
        <w:rPr>
          <w:rFonts w:hint="eastAsia" w:ascii="宋体" w:hAnsi="宋体" w:eastAsia="宋体" w:cs="宋体"/>
          <w:color w:val="auto"/>
          <w:sz w:val="24"/>
          <w:szCs w:val="24"/>
          <w:highlight w:val="none"/>
          <w:u w:val="single"/>
        </w:rPr>
        <w:t>100%</w:t>
      </w:r>
      <w:r>
        <w:rPr>
          <w:rFonts w:hint="eastAsia" w:ascii="宋体" w:hAnsi="宋体" w:eastAsia="宋体" w:cs="宋体"/>
          <w:color w:val="auto"/>
          <w:sz w:val="24"/>
          <w:szCs w:val="24"/>
          <w:highlight w:val="none"/>
        </w:rPr>
        <w:t>，招标人为</w:t>
      </w:r>
      <w:r>
        <w:rPr>
          <w:rFonts w:hint="eastAsia" w:hAnsi="宋体" w:eastAsia="宋体" w:cs="宋体"/>
          <w:bCs/>
          <w:i w:val="0"/>
          <w:iCs w:val="0"/>
          <w:caps w:val="0"/>
          <w:snapToGrid w:val="0"/>
          <w:color w:val="auto"/>
          <w:spacing w:val="0"/>
          <w:kern w:val="0"/>
          <w:sz w:val="24"/>
          <w:szCs w:val="24"/>
          <w:highlight w:val="none"/>
          <w:u w:val="single"/>
          <w:shd w:val="clear"/>
          <w:lang w:eastAsia="zh-CN"/>
        </w:rPr>
        <w:t>南雄市油山镇人民政府</w:t>
      </w:r>
      <w:r>
        <w:rPr>
          <w:rFonts w:hint="eastAsia" w:ascii="宋体" w:hAnsi="宋体" w:eastAsia="宋体" w:cs="宋体"/>
          <w:color w:val="auto"/>
          <w:sz w:val="24"/>
          <w:szCs w:val="24"/>
          <w:highlight w:val="none"/>
        </w:rPr>
        <w:t>，招标代理机构为</w:t>
      </w:r>
      <w:r>
        <w:rPr>
          <w:rFonts w:hint="eastAsia" w:hAnsi="宋体" w:eastAsia="宋体" w:cs="宋体"/>
          <w:color w:val="auto"/>
          <w:sz w:val="24"/>
          <w:szCs w:val="24"/>
          <w:highlight w:val="none"/>
          <w:u w:val="single"/>
          <w:lang w:eastAsia="zh-CN"/>
        </w:rPr>
        <w:t>广东象龙国际项目管理有限公司</w:t>
      </w:r>
      <w:r>
        <w:rPr>
          <w:rFonts w:hint="eastAsia" w:ascii="宋体" w:hAnsi="宋体" w:eastAsia="宋体" w:cs="宋体"/>
          <w:color w:val="auto"/>
          <w:sz w:val="24"/>
          <w:szCs w:val="24"/>
          <w:highlight w:val="none"/>
        </w:rPr>
        <w:t>。</w:t>
      </w:r>
      <w:r>
        <w:rPr>
          <w:rFonts w:hint="eastAsia" w:ascii="宋体" w:hAnsi="宋体" w:eastAsia="宋体" w:cs="宋体"/>
          <w:snapToGrid w:val="0"/>
          <w:color w:val="auto"/>
          <w:kern w:val="0"/>
          <w:sz w:val="24"/>
          <w:szCs w:val="24"/>
          <w:highlight w:val="none"/>
        </w:rPr>
        <w:t>项目已具备招标条件，现对该项目的</w:t>
      </w:r>
      <w:r>
        <w:rPr>
          <w:rFonts w:hint="eastAsia" w:ascii="宋体" w:hAnsi="宋体" w:eastAsia="宋体" w:cs="宋体"/>
          <w:snapToGrid w:val="0"/>
          <w:color w:val="auto"/>
          <w:kern w:val="0"/>
          <w:sz w:val="24"/>
          <w:szCs w:val="24"/>
          <w:highlight w:val="none"/>
          <w:u w:val="single"/>
          <w:lang w:val="en-US" w:eastAsia="zh-CN"/>
        </w:rPr>
        <w:t>油山镇典型村建设项目监理</w:t>
      </w:r>
      <w:r>
        <w:rPr>
          <w:rFonts w:hint="eastAsia" w:ascii="宋体" w:hAnsi="宋体" w:eastAsia="宋体" w:cs="宋体"/>
          <w:snapToGrid w:val="0"/>
          <w:color w:val="auto"/>
          <w:kern w:val="0"/>
          <w:sz w:val="24"/>
          <w:szCs w:val="24"/>
          <w:highlight w:val="none"/>
        </w:rPr>
        <w:t>进行公开招标。</w:t>
      </w:r>
    </w:p>
    <w:p w14:paraId="748FB6E2">
      <w:pPr>
        <w:pStyle w:val="50"/>
        <w:shd w:val="clear" w:color="auto" w:fill="auto"/>
        <w:wordWrap w:val="0"/>
        <w:adjustRightInd w:val="0"/>
        <w:snapToGrid w:val="0"/>
        <w:spacing w:line="440" w:lineRule="exact"/>
        <w:ind w:firstLine="480"/>
        <w:jc w:val="left"/>
        <w:outlineLvl w:val="2"/>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1．项目概况、招标范围和标段划分、投标费用</w:t>
      </w:r>
      <w:bookmarkEnd w:id="56"/>
      <w:bookmarkEnd w:id="57"/>
      <w:bookmarkEnd w:id="58"/>
      <w:bookmarkEnd w:id="59"/>
      <w:bookmarkEnd w:id="60"/>
      <w:bookmarkEnd w:id="61"/>
      <w:bookmarkEnd w:id="62"/>
      <w:bookmarkEnd w:id="63"/>
      <w:bookmarkEnd w:id="64"/>
      <w:bookmarkEnd w:id="65"/>
    </w:p>
    <w:p w14:paraId="1FB138F1">
      <w:pPr>
        <w:pStyle w:val="50"/>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w:t>
      </w:r>
      <w:r>
        <w:rPr>
          <w:rFonts w:hint="eastAsia" w:ascii="宋体" w:hAnsi="宋体" w:eastAsia="宋体" w:cs="宋体"/>
          <w:snapToGrid w:val="0"/>
          <w:color w:val="auto"/>
          <w:kern w:val="0"/>
          <w:sz w:val="24"/>
          <w:highlight w:val="none"/>
        </w:rPr>
        <w:t xml:space="preserve"> 项目概况</w:t>
      </w:r>
    </w:p>
    <w:p w14:paraId="318A51B9">
      <w:pPr>
        <w:pStyle w:val="50"/>
        <w:keepNext w:val="0"/>
        <w:keepLines w:val="0"/>
        <w:pageBreakBefore w:val="0"/>
        <w:widowControl w:val="0"/>
        <w:shd w:val="clear" w:color="auto" w:fill="auto"/>
        <w:kinsoku/>
        <w:wordWrap w:val="0"/>
        <w:overflowPunct/>
        <w:topLinePunct w:val="0"/>
        <w:autoSpaceDE/>
        <w:autoSpaceDN/>
        <w:bidi w:val="0"/>
        <w:adjustRightInd w:val="0"/>
        <w:snapToGrid w:val="0"/>
        <w:spacing w:line="440" w:lineRule="exact"/>
        <w:ind w:firstLine="482"/>
        <w:jc w:val="left"/>
        <w:textAlignment w:val="auto"/>
        <w:rPr>
          <w:rFonts w:hint="eastAsia" w:ascii="宋体" w:hAnsi="宋体" w:eastAsia="宋体" w:cs="宋体"/>
          <w:snapToGrid w:val="0"/>
          <w:color w:val="auto"/>
          <w:kern w:val="0"/>
          <w:sz w:val="24"/>
          <w:highlight w:val="none"/>
          <w:u w:val="single"/>
          <w:lang w:eastAsia="zh-CN"/>
        </w:rPr>
      </w:pPr>
      <w:r>
        <w:rPr>
          <w:rFonts w:hint="eastAsia" w:ascii="宋体" w:hAnsi="宋体" w:eastAsia="宋体" w:cs="宋体"/>
          <w:b/>
          <w:bCs/>
          <w:snapToGrid w:val="0"/>
          <w:color w:val="auto"/>
          <w:kern w:val="0"/>
          <w:sz w:val="24"/>
          <w:highlight w:val="none"/>
        </w:rPr>
        <w:t>1.1.1</w:t>
      </w:r>
      <w:r>
        <w:rPr>
          <w:rFonts w:hint="eastAsia" w:ascii="宋体" w:hAnsi="宋体" w:eastAsia="宋体" w:cs="宋体"/>
          <w:snapToGrid w:val="0"/>
          <w:color w:val="auto"/>
          <w:kern w:val="0"/>
          <w:sz w:val="24"/>
          <w:highlight w:val="none"/>
        </w:rPr>
        <w:t xml:space="preserve"> 建设地点：</w:t>
      </w:r>
      <w:r>
        <w:rPr>
          <w:rFonts w:hint="eastAsia" w:ascii="宋体" w:hAnsi="宋体" w:eastAsia="宋体" w:cs="宋体"/>
          <w:snapToGrid w:val="0"/>
          <w:color w:val="auto"/>
          <w:kern w:val="0"/>
          <w:sz w:val="24"/>
          <w:highlight w:val="none"/>
          <w:u w:val="single"/>
          <w:lang w:val="en-US" w:eastAsia="zh-CN"/>
        </w:rPr>
        <w:t>南雄市油山镇</w:t>
      </w:r>
      <w:r>
        <w:rPr>
          <w:rFonts w:hint="eastAsia" w:ascii="宋体" w:hAnsi="宋体" w:eastAsia="宋体" w:cs="宋体"/>
          <w:snapToGrid w:val="0"/>
          <w:color w:val="auto"/>
          <w:kern w:val="0"/>
          <w:sz w:val="24"/>
          <w:highlight w:val="none"/>
          <w:u w:val="none"/>
          <w:lang w:val="en-US" w:eastAsia="zh-CN"/>
        </w:rPr>
        <w:t>。</w:t>
      </w:r>
    </w:p>
    <w:p w14:paraId="26722F25">
      <w:pPr>
        <w:keepNext w:val="0"/>
        <w:keepLines w:val="0"/>
        <w:pageBreakBefore w:val="0"/>
        <w:widowControl/>
        <w:suppressLineNumbers w:val="0"/>
        <w:shd w:val="clear" w:color="auto" w:fill="auto"/>
        <w:kinsoku/>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highlight w:val="none"/>
          <w:u w:val="single"/>
          <w:lang w:val="en-US" w:eastAsia="zh-CN"/>
        </w:rPr>
      </w:pPr>
      <w:r>
        <w:rPr>
          <w:rFonts w:hint="eastAsia" w:ascii="宋体" w:hAnsi="宋体" w:eastAsia="宋体" w:cs="宋体"/>
          <w:b/>
          <w:bCs/>
          <w:snapToGrid w:val="0"/>
          <w:color w:val="auto"/>
          <w:kern w:val="0"/>
          <w:sz w:val="24"/>
          <w:highlight w:val="none"/>
        </w:rPr>
        <w:t>1.1.2</w:t>
      </w:r>
      <w:r>
        <w:rPr>
          <w:rFonts w:hint="eastAsia" w:ascii="宋体" w:hAnsi="宋体" w:eastAsia="宋体" w:cs="宋体"/>
          <w:snapToGrid w:val="0"/>
          <w:color w:val="auto"/>
          <w:kern w:val="0"/>
          <w:sz w:val="24"/>
          <w:highlight w:val="none"/>
        </w:rPr>
        <w:t xml:space="preserve"> 建设内容和规模：</w:t>
      </w:r>
      <w:r>
        <w:rPr>
          <w:rFonts w:hint="eastAsia" w:ascii="宋体" w:hAnsi="宋体" w:eastAsia="宋体" w:cs="宋体"/>
          <w:snapToGrid w:val="0"/>
          <w:color w:val="auto"/>
          <w:kern w:val="0"/>
          <w:sz w:val="24"/>
          <w:highlight w:val="none"/>
          <w:u w:val="single"/>
          <w:lang w:val="en-US" w:eastAsia="zh-CN"/>
        </w:rPr>
        <w:t>实施农房风貌提升改造约5000平方米，路面硬化约9500平方米，道路黑体化约500平方米，建设休闲场所约1000平方米，修建挡墙约3000立方米，修建水沟、暗沟、涵管约670米，建设“四小园”约375米，修建挡土墙、围墙约150米，建设防护栏杆约450米，改建文体广场2个，新建停车场2个，整治池塘3个，进行绿化等。</w:t>
      </w:r>
    </w:p>
    <w:p w14:paraId="786080DF">
      <w:pPr>
        <w:pStyle w:val="50"/>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jc w:val="left"/>
        <w:textAlignment w:val="auto"/>
        <w:rPr>
          <w:rFonts w:hint="eastAsia" w:ascii="宋体" w:hAnsi="宋体" w:eastAsia="宋体" w:cs="宋体"/>
          <w:b/>
          <w:bCs/>
          <w:snapToGrid w:val="0"/>
          <w:color w:val="auto"/>
          <w:kern w:val="0"/>
          <w:sz w:val="24"/>
          <w:highlight w:val="none"/>
          <w:u w:val="single"/>
          <w:lang w:eastAsia="zh-CN"/>
        </w:rPr>
      </w:pPr>
      <w:r>
        <w:rPr>
          <w:rFonts w:hint="eastAsia" w:ascii="宋体" w:hAnsi="宋体" w:eastAsia="宋体" w:cs="宋体"/>
          <w:b/>
          <w:bCs/>
          <w:snapToGrid w:val="0"/>
          <w:color w:val="auto"/>
          <w:kern w:val="0"/>
          <w:sz w:val="24"/>
          <w:highlight w:val="none"/>
        </w:rPr>
        <w:t>1.1.3</w:t>
      </w:r>
      <w:r>
        <w:rPr>
          <w:rFonts w:hint="eastAsia" w:ascii="宋体" w:hAnsi="宋体" w:eastAsia="宋体" w:cs="宋体"/>
          <w:snapToGrid w:val="0"/>
          <w:color w:val="auto"/>
          <w:kern w:val="0"/>
          <w:sz w:val="24"/>
          <w:highlight w:val="none"/>
        </w:rPr>
        <w:t xml:space="preserve"> </w:t>
      </w:r>
      <w:r>
        <w:rPr>
          <w:rFonts w:hint="eastAsia" w:ascii="宋体" w:hAnsi="宋体" w:eastAsia="宋体" w:cs="宋体"/>
          <w:snapToGrid w:val="0"/>
          <w:color w:val="auto"/>
          <w:kern w:val="0"/>
          <w:sz w:val="24"/>
          <w:highlight w:val="none"/>
          <w:lang w:val="en-US" w:eastAsia="zh-CN"/>
        </w:rPr>
        <w:t>本项目投资概算为485.91万元，其中建安费用424.49万元，工程建设其他费用40.19万元，预备费21.23万元。</w:t>
      </w:r>
    </w:p>
    <w:p w14:paraId="0E9CAF1D">
      <w:pPr>
        <w:pStyle w:val="50"/>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jc w:val="left"/>
        <w:textAlignment w:val="auto"/>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 </w:t>
      </w:r>
      <w:r>
        <w:rPr>
          <w:rFonts w:hint="eastAsia" w:ascii="宋体" w:hAnsi="宋体" w:eastAsia="宋体" w:cs="宋体"/>
          <w:snapToGrid w:val="0"/>
          <w:color w:val="auto"/>
          <w:kern w:val="0"/>
          <w:sz w:val="24"/>
          <w:highlight w:val="none"/>
        </w:rPr>
        <w:t>招标范围和标段划分</w:t>
      </w:r>
    </w:p>
    <w:p w14:paraId="7154CA5D">
      <w:pPr>
        <w:pStyle w:val="50"/>
        <w:shd w:val="clear" w:color="auto" w:fill="auto"/>
        <w:wordWrap w:val="0"/>
        <w:adjustRightInd w:val="0"/>
        <w:snapToGrid w:val="0"/>
        <w:spacing w:line="440" w:lineRule="atLeas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1.2.1</w:t>
      </w:r>
      <w:r>
        <w:rPr>
          <w:rFonts w:hint="eastAsia" w:ascii="宋体" w:hAnsi="宋体" w:eastAsia="宋体" w:cs="宋体"/>
          <w:snapToGrid w:val="0"/>
          <w:color w:val="auto"/>
          <w:kern w:val="0"/>
          <w:sz w:val="24"/>
          <w:highlight w:val="none"/>
        </w:rPr>
        <w:t xml:space="preserve"> 招标范围</w:t>
      </w:r>
    </w:p>
    <w:p w14:paraId="7A278FDB">
      <w:pPr>
        <w:pStyle w:val="50"/>
        <w:shd w:val="clear" w:color="auto" w:fill="auto"/>
        <w:wordWrap w:val="0"/>
        <w:adjustRightInd w:val="0"/>
        <w:snapToGrid w:val="0"/>
        <w:spacing w:line="440" w:lineRule="atLeast"/>
        <w:ind w:firstLine="480"/>
        <w:jc w:val="left"/>
        <w:rPr>
          <w:rFonts w:hint="eastAsia" w:ascii="宋体" w:hAnsi="宋体" w:eastAsia="宋体" w:cs="宋体"/>
          <w:snapToGrid w:val="0"/>
          <w:color w:val="auto"/>
          <w:kern w:val="0"/>
          <w:sz w:val="24"/>
          <w:szCs w:val="20"/>
          <w:highlight w:val="none"/>
          <w:u w:val="single"/>
          <w:lang w:val="en-US" w:eastAsia="zh-CN" w:bidi="ar-SA"/>
        </w:rPr>
      </w:pPr>
      <w:r>
        <w:rPr>
          <w:rFonts w:hint="eastAsia" w:ascii="宋体" w:hAnsi="宋体" w:eastAsia="宋体" w:cs="宋体"/>
          <w:snapToGrid w:val="0"/>
          <w:color w:val="auto"/>
          <w:kern w:val="0"/>
          <w:sz w:val="24"/>
          <w:highlight w:val="none"/>
          <w:lang w:val="en-US" w:eastAsia="zh-CN"/>
        </w:rPr>
        <w:t>监理</w:t>
      </w:r>
      <w:r>
        <w:rPr>
          <w:rFonts w:hint="eastAsia" w:ascii="宋体" w:hAnsi="宋体" w:eastAsia="宋体" w:cs="宋体"/>
          <w:snapToGrid w:val="0"/>
          <w:color w:val="auto"/>
          <w:kern w:val="0"/>
          <w:sz w:val="24"/>
          <w:highlight w:val="none"/>
          <w:lang w:eastAsia="zh-CN"/>
        </w:rPr>
        <w:t>：</w:t>
      </w:r>
      <w:bookmarkStart w:id="66" w:name="_Toc20944"/>
      <w:r>
        <w:rPr>
          <w:rFonts w:hint="eastAsia" w:ascii="宋体" w:hAnsi="宋体" w:eastAsia="宋体" w:cs="宋体"/>
          <w:snapToGrid w:val="0"/>
          <w:color w:val="auto"/>
          <w:kern w:val="0"/>
          <w:sz w:val="24"/>
          <w:szCs w:val="20"/>
          <w:highlight w:val="none"/>
          <w:u w:val="single"/>
          <w:lang w:val="en-US" w:eastAsia="zh-CN" w:bidi="ar-SA"/>
        </w:rPr>
        <w:t>项目建设施工阶段监理（含施工准备阶段、施工阶段、工程竣工结算阶段和保修阶段监理）</w:t>
      </w:r>
    </w:p>
    <w:p w14:paraId="3FA1CA9B">
      <w:pPr>
        <w:shd w:val="clear" w:color="auto" w:fill="auto"/>
        <w:wordWrap w:val="0"/>
        <w:adjustRightInd w:val="0"/>
        <w:snapToGrid w:val="0"/>
        <w:spacing w:line="440" w:lineRule="exact"/>
        <w:ind w:firstLine="480"/>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highlight w:val="none"/>
        </w:rPr>
        <w:t>1.2.2</w:t>
      </w:r>
      <w:r>
        <w:rPr>
          <w:rFonts w:hint="eastAsia" w:ascii="宋体" w:hAnsi="宋体" w:eastAsia="宋体" w:cs="宋体"/>
          <w:snapToGrid w:val="0"/>
          <w:color w:val="auto"/>
          <w:kern w:val="0"/>
          <w:highlight w:val="none"/>
        </w:rPr>
        <w:t xml:space="preserve"> 标段划分：</w:t>
      </w:r>
      <w:r>
        <w:rPr>
          <w:rFonts w:hint="eastAsia" w:ascii="宋体" w:hAnsi="宋体" w:eastAsia="宋体" w:cs="宋体"/>
          <w:snapToGrid w:val="0"/>
          <w:color w:val="auto"/>
          <w:kern w:val="0"/>
          <w:highlight w:val="none"/>
          <w:u w:val="single"/>
        </w:rPr>
        <w:t>本招标项目不划分标段。</w:t>
      </w:r>
      <w:bookmarkEnd w:id="66"/>
    </w:p>
    <w:p w14:paraId="44167BD6">
      <w:pPr>
        <w:shd w:val="clear" w:color="auto" w:fill="auto"/>
        <w:wordWrap w:val="0"/>
        <w:adjustRightInd w:val="0"/>
        <w:snapToGrid w:val="0"/>
        <w:spacing w:line="440" w:lineRule="exact"/>
        <w:ind w:firstLine="532" w:firstLineChars="221"/>
        <w:rPr>
          <w:rFonts w:hint="eastAsia" w:ascii="宋体" w:hAnsi="宋体" w:eastAsia="宋体" w:cs="宋体"/>
          <w:snapToGrid w:val="0"/>
          <w:color w:val="auto"/>
          <w:kern w:val="0"/>
          <w:highlight w:val="none"/>
          <w:u w:val="single"/>
        </w:rPr>
      </w:pPr>
      <w:r>
        <w:rPr>
          <w:rFonts w:hint="eastAsia" w:ascii="宋体" w:hAnsi="宋体" w:eastAsia="宋体" w:cs="宋体"/>
          <w:b/>
          <w:bCs/>
          <w:snapToGrid w:val="0"/>
          <w:color w:val="auto"/>
          <w:kern w:val="0"/>
          <w:szCs w:val="24"/>
          <w:highlight w:val="none"/>
        </w:rPr>
        <w:t>1.3</w:t>
      </w:r>
      <w:r>
        <w:rPr>
          <w:rFonts w:hint="eastAsia" w:ascii="宋体" w:hAnsi="宋体" w:eastAsia="宋体" w:cs="宋体"/>
          <w:snapToGrid w:val="0"/>
          <w:color w:val="auto"/>
          <w:kern w:val="0"/>
          <w:szCs w:val="24"/>
          <w:highlight w:val="none"/>
        </w:rPr>
        <w:t xml:space="preserve"> 投标费用</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u w:val="single"/>
        </w:rPr>
        <w:t>投标人应承担所有准备和参加投标的相关费用，不论投标结果如何，招标人均无义务和责任承担这些费用。</w:t>
      </w:r>
    </w:p>
    <w:p w14:paraId="19540218">
      <w:pPr>
        <w:shd w:val="clear" w:color="auto" w:fill="auto"/>
        <w:spacing w:before="22" w:line="360" w:lineRule="auto"/>
        <w:ind w:left="496"/>
        <w:rPr>
          <w:rFonts w:hint="eastAsia" w:ascii="宋体" w:hAnsi="宋体" w:eastAsia="宋体" w:cs="宋体"/>
          <w:snapToGrid w:val="0"/>
          <w:color w:val="auto"/>
          <w:kern w:val="0"/>
          <w:highlight w:val="none"/>
          <w:u w:val="single"/>
        </w:rPr>
      </w:pPr>
      <w:r>
        <w:rPr>
          <w:rFonts w:hint="eastAsia" w:ascii="宋体" w:hAnsi="宋体" w:eastAsia="宋体" w:cs="宋体"/>
          <w:b/>
          <w:bCs/>
          <w:color w:val="auto"/>
          <w:spacing w:val="-6"/>
          <w:sz w:val="24"/>
          <w:szCs w:val="24"/>
          <w:highlight w:val="none"/>
        </w:rPr>
        <w:t xml:space="preserve">1.4  </w:t>
      </w:r>
      <w:r>
        <w:rPr>
          <w:rFonts w:hint="eastAsia" w:ascii="宋体" w:hAnsi="宋体" w:eastAsia="宋体" w:cs="宋体"/>
          <w:color w:val="auto"/>
          <w:spacing w:val="-6"/>
          <w:sz w:val="24"/>
          <w:szCs w:val="24"/>
          <w:highlight w:val="none"/>
        </w:rPr>
        <w:t>招标代理费用：</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82"/>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w:t>
      </w:r>
      <w:r>
        <w:rPr>
          <w:rFonts w:hint="eastAsia" w:ascii="宋体" w:hAnsi="宋体" w:eastAsia="宋体" w:cs="宋体"/>
          <w:color w:val="auto"/>
          <w:spacing w:val="6"/>
          <w:sz w:val="24"/>
          <w:szCs w:val="24"/>
          <w:highlight w:val="none"/>
        </w:rPr>
        <w:t>项目业主</w:t>
      </w:r>
      <w:r>
        <w:rPr>
          <w:rFonts w:hint="eastAsia" w:ascii="宋体" w:hAnsi="宋体" w:eastAsia="宋体" w:cs="宋体"/>
          <w:color w:val="auto"/>
          <w:spacing w:val="-6"/>
          <w:sz w:val="24"/>
          <w:szCs w:val="24"/>
          <w:highlight w:val="none"/>
          <w:shd w:val="clear" w:color="auto" w:fill="FFFFFF"/>
        </w:rPr>
        <w:t>支</w:t>
      </w:r>
      <w:r>
        <w:rPr>
          <w:rFonts w:hint="eastAsia" w:ascii="宋体" w:hAnsi="宋体" w:eastAsia="宋体" w:cs="宋体"/>
          <w:color w:val="auto"/>
          <w:spacing w:val="-6"/>
          <w:sz w:val="24"/>
          <w:szCs w:val="24"/>
          <w:highlight w:val="none"/>
        </w:rPr>
        <w:t>付</w:t>
      </w:r>
      <w:r>
        <w:rPr>
          <w:rFonts w:hint="eastAsia" w:ascii="宋体" w:hAnsi="宋体" w:eastAsia="宋体" w:cs="宋体"/>
          <w:color w:val="auto"/>
          <w:position w:val="-6"/>
          <w:sz w:val="24"/>
          <w:szCs w:val="24"/>
          <w:highlight w:val="none"/>
          <w:shd w:val="clear" w:color="auto" w:fill="FFFFFF"/>
          <w:lang w:eastAsia="zh-CN"/>
        </w:rPr>
        <w:t xml:space="preserve"> </w:t>
      </w:r>
      <w:r>
        <w:rPr>
          <w:rFonts w:hint="eastAsia" w:ascii="宋体" w:hAnsi="宋体" w:eastAsia="宋体" w:cs="宋体"/>
          <w:color w:val="auto"/>
          <w:spacing w:val="-6"/>
          <w:sz w:val="24"/>
          <w:szCs w:val="24"/>
          <w:highlight w:val="none"/>
          <w:shd w:val="clear" w:color="auto" w:fill="FFFFFF"/>
          <w:lang w:eastAsia="zh-CN"/>
        </w:rPr>
        <w:t>☑</w:t>
      </w:r>
      <w:r>
        <w:rPr>
          <w:rFonts w:hint="eastAsia" w:ascii="宋体" w:hAnsi="宋体" w:eastAsia="宋体" w:cs="宋体"/>
          <w:color w:val="auto"/>
          <w:spacing w:val="-81"/>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由中标人支付。</w:t>
      </w:r>
    </w:p>
    <w:p w14:paraId="7E337B38">
      <w:pPr>
        <w:shd w:val="clear" w:color="auto" w:fill="auto"/>
        <w:wordWrap w:val="0"/>
        <w:adjustRightInd w:val="0"/>
        <w:snapToGrid w:val="0"/>
        <w:spacing w:line="440" w:lineRule="exact"/>
        <w:ind w:firstLine="530" w:firstLineChars="221"/>
        <w:rPr>
          <w:rFonts w:hint="eastAsia" w:ascii="宋体" w:hAnsi="宋体" w:eastAsia="宋体" w:cs="宋体"/>
          <w:snapToGrid w:val="0"/>
          <w:color w:val="auto"/>
          <w:kern w:val="0"/>
          <w:highlight w:val="none"/>
        </w:rPr>
      </w:pPr>
    </w:p>
    <w:p w14:paraId="78F213FB">
      <w:pPr>
        <w:pStyle w:val="50"/>
        <w:shd w:val="clear" w:color="auto" w:fill="auto"/>
        <w:ind w:firstLine="482" w:firstLineChars="200"/>
        <w:jc w:val="left"/>
        <w:outlineLvl w:val="2"/>
        <w:rPr>
          <w:rFonts w:hint="eastAsia" w:ascii="宋体" w:hAnsi="宋体" w:eastAsia="宋体" w:cs="宋体"/>
          <w:b/>
          <w:bCs/>
          <w:snapToGrid w:val="0"/>
          <w:color w:val="auto"/>
          <w:kern w:val="0"/>
          <w:sz w:val="24"/>
          <w:highlight w:val="none"/>
        </w:rPr>
      </w:pPr>
      <w:bookmarkStart w:id="67" w:name="_Toc10258"/>
      <w:bookmarkStart w:id="68" w:name="_Toc385"/>
      <w:bookmarkStart w:id="69" w:name="_Toc10624"/>
      <w:bookmarkStart w:id="70" w:name="_Toc3407"/>
      <w:bookmarkStart w:id="71" w:name="_Toc18493"/>
      <w:bookmarkStart w:id="72" w:name="_Toc25237"/>
      <w:bookmarkStart w:id="73" w:name="_Toc21201"/>
      <w:bookmarkStart w:id="74" w:name="_Toc4482"/>
      <w:bookmarkStart w:id="75" w:name="_Toc32501"/>
      <w:bookmarkStart w:id="76" w:name="_Toc6851"/>
      <w:bookmarkStart w:id="77" w:name="_Toc21652"/>
      <w:r>
        <w:rPr>
          <w:rFonts w:hint="eastAsia" w:ascii="宋体" w:hAnsi="宋体" w:eastAsia="宋体" w:cs="宋体"/>
          <w:b/>
          <w:bCs/>
          <w:snapToGrid w:val="0"/>
          <w:color w:val="auto"/>
          <w:kern w:val="0"/>
          <w:sz w:val="24"/>
          <w:highlight w:val="none"/>
        </w:rPr>
        <w:t>2．投标人资格要求</w:t>
      </w:r>
      <w:bookmarkEnd w:id="67"/>
      <w:bookmarkEnd w:id="68"/>
      <w:bookmarkEnd w:id="69"/>
      <w:bookmarkEnd w:id="70"/>
      <w:bookmarkEnd w:id="71"/>
      <w:bookmarkEnd w:id="72"/>
      <w:bookmarkEnd w:id="73"/>
      <w:bookmarkEnd w:id="74"/>
      <w:bookmarkEnd w:id="75"/>
      <w:bookmarkEnd w:id="76"/>
      <w:bookmarkEnd w:id="77"/>
      <w:bookmarkStart w:id="78" w:name="_Hlt74496495"/>
      <w:bookmarkEnd w:id="78"/>
    </w:p>
    <w:p w14:paraId="10BEA936">
      <w:pPr>
        <w:pStyle w:val="50"/>
        <w:keepNext w:val="0"/>
        <w:keepLines w:val="0"/>
        <w:pageBreakBefore w:val="0"/>
        <w:widowControl w:val="0"/>
        <w:shd w:val="clear" w:color="auto" w:fill="auto"/>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2.1</w:t>
      </w:r>
      <w:r>
        <w:rPr>
          <w:rFonts w:hint="eastAsia" w:ascii="宋体" w:hAnsi="宋体" w:eastAsia="宋体" w:cs="宋体"/>
          <w:snapToGrid w:val="0"/>
          <w:color w:val="auto"/>
          <w:kern w:val="0"/>
          <w:sz w:val="24"/>
          <w:highlight w:val="none"/>
        </w:rPr>
        <w:t xml:space="preserve"> 本次招标</w:t>
      </w:r>
      <w:r>
        <w:rPr>
          <w:rFonts w:hint="eastAsia" w:ascii="宋体" w:hAnsi="宋体" w:eastAsia="宋体" w:cs="宋体"/>
          <w:snapToGrid w:val="0"/>
          <w:color w:val="auto"/>
          <w:kern w:val="0"/>
          <w:sz w:val="24"/>
          <w:highlight w:val="none"/>
          <w:u w:val="single"/>
        </w:rPr>
        <w:t>不接受</w:t>
      </w:r>
      <w:r>
        <w:rPr>
          <w:rFonts w:hint="eastAsia" w:ascii="宋体" w:hAnsi="宋体" w:eastAsia="宋体" w:cs="宋体"/>
          <w:snapToGrid w:val="0"/>
          <w:color w:val="auto"/>
          <w:kern w:val="0"/>
          <w:sz w:val="24"/>
          <w:highlight w:val="none"/>
        </w:rPr>
        <w:t>联合体投标。</w:t>
      </w:r>
    </w:p>
    <w:p w14:paraId="7DFED179">
      <w:pPr>
        <w:pStyle w:val="50"/>
        <w:keepNext w:val="0"/>
        <w:keepLines w:val="0"/>
        <w:pageBreakBefore w:val="0"/>
        <w:widowControl w:val="0"/>
        <w:shd w:val="clear" w:color="auto" w:fill="auto"/>
        <w:kinsoku/>
        <w:wordWrap w:val="0"/>
        <w:overflowPunct/>
        <w:topLinePunct w:val="0"/>
        <w:autoSpaceDE/>
        <w:autoSpaceDN/>
        <w:bidi w:val="0"/>
        <w:adjustRightInd w:val="0"/>
        <w:snapToGrid w:val="0"/>
        <w:spacing w:line="4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2.2</w:t>
      </w:r>
      <w:r>
        <w:rPr>
          <w:rFonts w:hint="eastAsia" w:ascii="宋体" w:hAnsi="宋体" w:eastAsia="宋体" w:cs="宋体"/>
          <w:snapToGrid w:val="0"/>
          <w:color w:val="auto"/>
          <w:kern w:val="0"/>
          <w:sz w:val="24"/>
          <w:highlight w:val="none"/>
        </w:rPr>
        <w:t xml:space="preserve"> 资格资质要求</w:t>
      </w:r>
    </w:p>
    <w:p w14:paraId="2965C12E">
      <w:pPr>
        <w:pStyle w:val="50"/>
        <w:keepNext w:val="0"/>
        <w:keepLines w:val="0"/>
        <w:pageBreakBefore w:val="0"/>
        <w:widowControl w:val="0"/>
        <w:shd w:val="clear" w:color="auto" w:fill="auto"/>
        <w:kinsoku/>
        <w:wordWrap w:val="0"/>
        <w:overflowPunct/>
        <w:topLinePunct w:val="0"/>
        <w:autoSpaceDE/>
        <w:autoSpaceDN/>
        <w:bidi w:val="0"/>
        <w:adjustRightInd w:val="0"/>
        <w:snapToGrid w:val="0"/>
        <w:spacing w:line="4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2.2.1</w:t>
      </w:r>
      <w:r>
        <w:rPr>
          <w:rFonts w:hint="eastAsia" w:ascii="宋体" w:hAnsi="宋体" w:eastAsia="宋体" w:cs="宋体"/>
          <w:snapToGrid w:val="0"/>
          <w:color w:val="auto"/>
          <w:kern w:val="0"/>
          <w:sz w:val="24"/>
          <w:highlight w:val="none"/>
        </w:rPr>
        <w:t xml:space="preserve"> 投标人须具备独立法人资格，按国家法律经营。</w:t>
      </w:r>
    </w:p>
    <w:p w14:paraId="33FFFCEE">
      <w:pPr>
        <w:keepNext w:val="0"/>
        <w:keepLines w:val="0"/>
        <w:pageBreakBefore w:val="0"/>
        <w:widowControl w:val="0"/>
        <w:shd w:val="clear" w:color="auto" w:fill="auto"/>
        <w:kinsoku/>
        <w:overflowPunct/>
        <w:topLinePunct w:val="0"/>
        <w:autoSpaceDE/>
        <w:autoSpaceDN/>
        <w:bidi w:val="0"/>
        <w:spacing w:before="0" w:after="0" w:line="440" w:lineRule="exact"/>
        <w:ind w:firstLine="482" w:firstLineChars="200"/>
        <w:textAlignment w:val="auto"/>
        <w:outlineLvl w:val="9"/>
        <w:rPr>
          <w:rFonts w:hint="eastAsia" w:ascii="宋体" w:hAnsi="宋体" w:eastAsia="宋体" w:cs="宋体"/>
          <w:color w:val="auto"/>
          <w:szCs w:val="24"/>
          <w:highlight w:val="none"/>
          <w:u w:val="single"/>
          <w:lang w:eastAsia="zh-CN"/>
        </w:rPr>
      </w:pPr>
      <w:r>
        <w:rPr>
          <w:rFonts w:hint="eastAsia" w:ascii="宋体" w:hAnsi="宋体" w:eastAsia="宋体" w:cs="宋体"/>
          <w:b/>
          <w:bCs/>
          <w:snapToGrid w:val="0"/>
          <w:color w:val="auto"/>
          <w:kern w:val="0"/>
          <w:sz w:val="24"/>
          <w:highlight w:val="none"/>
        </w:rPr>
        <w:t>2.2.2</w:t>
      </w:r>
      <w:r>
        <w:rPr>
          <w:rFonts w:hint="eastAsia" w:ascii="宋体" w:hAnsi="宋体" w:eastAsia="宋体" w:cs="宋体"/>
          <w:snapToGrid w:val="0"/>
          <w:color w:val="auto"/>
          <w:kern w:val="0"/>
          <w:sz w:val="24"/>
          <w:highlight w:val="none"/>
        </w:rPr>
        <w:t xml:space="preserve"> 投标人须具备以下资质：</w:t>
      </w:r>
      <w:r>
        <w:rPr>
          <w:rFonts w:hint="eastAsia" w:ascii="宋体" w:hAnsi="宋体" w:eastAsia="宋体" w:cs="宋体"/>
          <w:color w:val="auto"/>
          <w:szCs w:val="24"/>
          <w:highlight w:val="none"/>
          <w:u w:val="single"/>
          <w:lang w:eastAsia="zh-CN"/>
        </w:rPr>
        <w:t>工程监理综合资质或市政公用工程专业监理乙级以上（含乙级）资质。</w:t>
      </w:r>
    </w:p>
    <w:p w14:paraId="7DCC1431">
      <w:pPr>
        <w:pStyle w:val="50"/>
        <w:shd w:val="clear" w:color="auto" w:fill="auto"/>
        <w:wordWrap w:val="0"/>
        <w:adjustRightInd w:val="0"/>
        <w:snapToGrid w:val="0"/>
        <w:spacing w:line="440" w:lineRule="exact"/>
        <w:ind w:firstLine="480"/>
        <w:jc w:val="left"/>
        <w:rPr>
          <w:rFonts w:hint="eastAsia" w:ascii="宋体" w:hAnsi="宋体" w:eastAsia="宋体" w:cs="宋体"/>
          <w:b w:val="0"/>
          <w:bCs w:val="0"/>
          <w:snapToGrid w:val="0"/>
          <w:color w:val="auto"/>
          <w:kern w:val="0"/>
          <w:sz w:val="24"/>
          <w:highlight w:val="none"/>
        </w:rPr>
      </w:pPr>
      <w:r>
        <w:rPr>
          <w:rFonts w:hint="eastAsia" w:ascii="宋体" w:hAnsi="宋体" w:eastAsia="宋体" w:cs="宋体"/>
          <w:b/>
          <w:bCs/>
          <w:snapToGrid w:val="0"/>
          <w:color w:val="auto"/>
          <w:kern w:val="0"/>
          <w:sz w:val="24"/>
          <w:highlight w:val="none"/>
        </w:rPr>
        <w:t>2.2.3</w:t>
      </w:r>
      <w:r>
        <w:rPr>
          <w:rFonts w:hint="eastAsia" w:ascii="宋体" w:hAnsi="宋体" w:eastAsia="宋体" w:cs="宋体"/>
          <w:b w:val="0"/>
          <w:bCs w:val="0"/>
          <w:snapToGrid w:val="0"/>
          <w:color w:val="auto"/>
          <w:kern w:val="0"/>
          <w:sz w:val="24"/>
          <w:highlight w:val="none"/>
        </w:rPr>
        <w:t xml:space="preserve"> 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37549CD5">
      <w:pPr>
        <w:pStyle w:val="50"/>
        <w:shd w:val="clear" w:color="auto" w:fill="auto"/>
        <w:wordWrap w:val="0"/>
        <w:adjustRightInd w:val="0"/>
        <w:snapToGrid w:val="0"/>
        <w:spacing w:line="440" w:lineRule="exact"/>
        <w:ind w:firstLine="480"/>
        <w:jc w:val="left"/>
        <w:rPr>
          <w:rFonts w:hint="eastAsia" w:ascii="宋体" w:hAnsi="宋体" w:eastAsia="宋体" w:cs="宋体"/>
          <w:b w:val="0"/>
          <w:bCs w:val="0"/>
          <w:snapToGrid w:val="0"/>
          <w:color w:val="auto"/>
          <w:kern w:val="0"/>
          <w:sz w:val="24"/>
          <w:highlight w:val="none"/>
        </w:rPr>
      </w:pPr>
      <w:r>
        <w:rPr>
          <w:rFonts w:hint="eastAsia" w:ascii="宋体" w:hAnsi="宋体" w:eastAsia="宋体" w:cs="宋体"/>
          <w:b/>
          <w:bCs/>
          <w:snapToGrid w:val="0"/>
          <w:color w:val="auto"/>
          <w:kern w:val="0"/>
          <w:sz w:val="24"/>
          <w:highlight w:val="none"/>
        </w:rPr>
        <w:t>2.3</w:t>
      </w:r>
      <w:r>
        <w:rPr>
          <w:rFonts w:hint="eastAsia" w:ascii="宋体" w:hAnsi="宋体" w:eastAsia="宋体" w:cs="宋体"/>
          <w:b w:val="0"/>
          <w:bCs w:val="0"/>
          <w:snapToGrid w:val="0"/>
          <w:color w:val="auto"/>
          <w:kern w:val="0"/>
          <w:sz w:val="24"/>
          <w:highlight w:val="none"/>
        </w:rPr>
        <w:t xml:space="preserve"> 相关人员要求</w:t>
      </w:r>
    </w:p>
    <w:p w14:paraId="710AE82B">
      <w:pPr>
        <w:pStyle w:val="50"/>
        <w:shd w:val="clear" w:color="auto" w:fill="auto"/>
        <w:wordWrap w:val="0"/>
        <w:adjustRightInd w:val="0"/>
        <w:snapToGrid w:val="0"/>
        <w:spacing w:line="440" w:lineRule="exact"/>
        <w:ind w:firstLine="480"/>
        <w:jc w:val="left"/>
        <w:rPr>
          <w:rFonts w:hint="eastAsia" w:ascii="宋体" w:hAnsi="宋体" w:eastAsia="宋体" w:cs="宋体"/>
          <w:b w:val="0"/>
          <w:bCs w:val="0"/>
          <w:snapToGrid w:val="0"/>
          <w:color w:val="auto"/>
          <w:kern w:val="0"/>
          <w:sz w:val="24"/>
          <w:highlight w:val="none"/>
        </w:rPr>
      </w:pPr>
      <w:r>
        <w:rPr>
          <w:rFonts w:hint="eastAsia" w:ascii="宋体" w:hAnsi="宋体" w:eastAsia="宋体" w:cs="宋体"/>
          <w:b/>
          <w:bCs/>
          <w:snapToGrid w:val="0"/>
          <w:color w:val="auto"/>
          <w:kern w:val="0"/>
          <w:sz w:val="24"/>
          <w:highlight w:val="none"/>
        </w:rPr>
        <w:t>2.3.1</w:t>
      </w:r>
      <w:r>
        <w:rPr>
          <w:rFonts w:hint="eastAsia" w:ascii="宋体" w:hAnsi="宋体" w:eastAsia="宋体" w:cs="宋体"/>
          <w:b w:val="0"/>
          <w:bCs w:val="0"/>
          <w:snapToGrid w:val="0"/>
          <w:color w:val="auto"/>
          <w:kern w:val="0"/>
          <w:sz w:val="24"/>
          <w:highlight w:val="none"/>
        </w:rPr>
        <w:t xml:space="preserve"> 拟派总监理工程师为市政公用工程专业注册监理工程师，应持有国家住建部印发的有效注册证书，其担任总监理工程师职务的其他在施（包括已中标未开工、已开工未竣工）建设工程项目不得超过 2 个。</w:t>
      </w:r>
    </w:p>
    <w:p w14:paraId="3CE310B9">
      <w:pPr>
        <w:pStyle w:val="50"/>
        <w:shd w:val="clear" w:color="auto" w:fill="auto"/>
        <w:wordWrap w:val="0"/>
        <w:adjustRightInd w:val="0"/>
        <w:snapToGrid w:val="0"/>
        <w:spacing w:line="440" w:lineRule="exact"/>
        <w:ind w:firstLine="480"/>
        <w:jc w:val="left"/>
        <w:rPr>
          <w:rFonts w:hint="eastAsia" w:ascii="宋体" w:hAnsi="宋体" w:eastAsia="宋体" w:cs="宋体"/>
          <w:b w:val="0"/>
          <w:bCs w:val="0"/>
          <w:snapToGrid w:val="0"/>
          <w:color w:val="auto"/>
          <w:kern w:val="0"/>
          <w:sz w:val="24"/>
          <w:highlight w:val="none"/>
        </w:rPr>
      </w:pPr>
      <w:r>
        <w:rPr>
          <w:rFonts w:hint="eastAsia" w:ascii="宋体" w:hAnsi="宋体" w:eastAsia="宋体" w:cs="宋体"/>
          <w:b w:val="0"/>
          <w:bCs w:val="0"/>
          <w:snapToGrid w:val="0"/>
          <w:color w:val="auto"/>
          <w:kern w:val="0"/>
          <w:sz w:val="24"/>
          <w:highlight w:val="none"/>
        </w:rPr>
        <w:t>拟派总监理工程师现阶段有担任其他在施建设工程项目总监理工程师职务的，须得到任职项目建设单位书面同意后方可担任本招标项目总监理工程师。</w:t>
      </w:r>
    </w:p>
    <w:p w14:paraId="660AC696">
      <w:pPr>
        <w:pStyle w:val="50"/>
        <w:shd w:val="clear" w:color="auto" w:fill="auto"/>
        <w:wordWrap w:val="0"/>
        <w:adjustRightInd w:val="0"/>
        <w:snapToGrid w:val="0"/>
        <w:spacing w:line="440" w:lineRule="exact"/>
        <w:ind w:firstLine="480"/>
        <w:jc w:val="left"/>
        <w:rPr>
          <w:rFonts w:hint="eastAsia" w:ascii="宋体" w:hAnsi="宋体" w:eastAsia="宋体" w:cs="宋体"/>
          <w:b w:val="0"/>
          <w:bCs w:val="0"/>
          <w:snapToGrid w:val="0"/>
          <w:color w:val="auto"/>
          <w:kern w:val="0"/>
          <w:sz w:val="24"/>
          <w:highlight w:val="none"/>
        </w:rPr>
      </w:pPr>
      <w:r>
        <w:rPr>
          <w:rFonts w:hint="eastAsia" w:ascii="宋体" w:hAnsi="宋体" w:eastAsia="宋体" w:cs="宋体"/>
          <w:b/>
          <w:bCs/>
          <w:snapToGrid w:val="0"/>
          <w:color w:val="auto"/>
          <w:kern w:val="0"/>
          <w:sz w:val="24"/>
          <w:highlight w:val="none"/>
        </w:rPr>
        <w:t>2.3.2</w:t>
      </w:r>
      <w:r>
        <w:rPr>
          <w:rFonts w:hint="eastAsia" w:ascii="宋体" w:hAnsi="宋体" w:eastAsia="宋体" w:cs="宋体"/>
          <w:b w:val="0"/>
          <w:bCs w:val="0"/>
          <w:snapToGrid w:val="0"/>
          <w:color w:val="auto"/>
          <w:kern w:val="0"/>
          <w:sz w:val="24"/>
          <w:highlight w:val="none"/>
        </w:rPr>
        <w:t xml:space="preserve"> 投标人与其拟派往本项目监理机构的所有人员之间必须具备合法、唯一的劳动聘用关系。拟派人员中具备注册执业资格的，其注册单位须与投标人保持一致。</w:t>
      </w:r>
    </w:p>
    <w:p w14:paraId="5179FBC6">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2.4</w:t>
      </w:r>
      <w:r>
        <w:rPr>
          <w:rFonts w:hint="eastAsia" w:ascii="宋体" w:hAnsi="宋体" w:eastAsia="宋体" w:cs="宋体"/>
          <w:snapToGrid w:val="0"/>
          <w:color w:val="auto"/>
          <w:kern w:val="0"/>
          <w:sz w:val="24"/>
          <w:highlight w:val="none"/>
        </w:rPr>
        <w:t xml:space="preserve"> 禁止投标条款</w:t>
      </w:r>
    </w:p>
    <w:p w14:paraId="5FD8EF1C">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2.4.1</w:t>
      </w:r>
      <w:r>
        <w:rPr>
          <w:rFonts w:hint="eastAsia" w:ascii="宋体" w:hAnsi="宋体" w:eastAsia="宋体" w:cs="宋体"/>
          <w:snapToGrid w:val="0"/>
          <w:color w:val="auto"/>
          <w:kern w:val="0"/>
          <w:sz w:val="24"/>
          <w:highlight w:val="none"/>
        </w:rPr>
        <w:t xml:space="preserve"> 投标人不得存在下列情形之一：</w:t>
      </w:r>
    </w:p>
    <w:p w14:paraId="19BBE72E">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（1）为招标人不具有独立法人资格的附属机构（单位）；</w:t>
      </w:r>
    </w:p>
    <w:p w14:paraId="50A8990E">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（2）与招标人存在利害关系且可能影响招标公正性；</w:t>
      </w:r>
    </w:p>
    <w:p w14:paraId="76A3974A">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（3）与本招标项目的其他投标人为同一个单位负责人；</w:t>
      </w:r>
    </w:p>
    <w:p w14:paraId="06C0820A">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（4）与本招标项目的其他投标人存在控股、管理关系；</w:t>
      </w:r>
    </w:p>
    <w:p w14:paraId="00AF39EA">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（5）为本招标项目的代建人；</w:t>
      </w:r>
    </w:p>
    <w:p w14:paraId="620BD1C4">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（6）为本招标项目的招标代理机构；</w:t>
      </w:r>
    </w:p>
    <w:p w14:paraId="4C4BFDEB">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（7）与本招标项目的代建人或招标代理机构同为一个法定代表人；</w:t>
      </w:r>
    </w:p>
    <w:p w14:paraId="2E2F4B6A">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（8）与本招标项目的代建人或招标代理机构存在控股或参股关系；</w:t>
      </w:r>
    </w:p>
    <w:p w14:paraId="673EEC82">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（9）与本招标项目的施工承包人以及建筑材料、建筑构配件和设备供应商有隶属关系或者其他利害关系；</w:t>
      </w:r>
    </w:p>
    <w:p w14:paraId="4520631B">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（10）被依法暂停或者取消投标资格；</w:t>
      </w:r>
    </w:p>
    <w:p w14:paraId="0B5318D6">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（11）被责令停产停业、暂扣或者吊销许可证、暂扣或者吊销执照；</w:t>
      </w:r>
    </w:p>
    <w:p w14:paraId="44C74EB9">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（12）进入清算程序，或被宣告破产，或其他丧失履约能力的情形；</w:t>
      </w:r>
    </w:p>
    <w:p w14:paraId="307C5ED3">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（13）在最近三年内发生重大监理质量或安全问题（以相关行业主管部门的行政处罚决定或司法机关出具的有关法律文书为准）；</w:t>
      </w:r>
    </w:p>
    <w:p w14:paraId="7F95D3DE">
      <w:pPr>
        <w:pStyle w:val="50"/>
        <w:shd w:val="clear" w:color="auto" w:fill="auto"/>
        <w:wordWrap w:val="0"/>
        <w:adjustRightInd w:val="0"/>
        <w:snapToGrid w:val="0"/>
        <w:spacing w:line="44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eastAsia="宋体" w:cs="宋体"/>
          <w:snapToGrid w:val="0"/>
          <w:color w:val="auto"/>
          <w:kern w:val="0"/>
          <w:sz w:val="24"/>
          <w:highlight w:val="none"/>
        </w:rPr>
        <w:t xml:space="preserve"> （14）</w:t>
      </w:r>
      <w:r>
        <w:rPr>
          <w:rFonts w:hint="eastAsia" w:ascii="宋体" w:hAnsi="宋体" w:eastAsia="宋体" w:cs="宋体"/>
          <w:snapToGrid w:val="0"/>
          <w:color w:val="auto"/>
          <w:kern w:val="0"/>
          <w:sz w:val="24"/>
          <w:highlight w:val="none"/>
          <w:lang w:eastAsia="zh-CN"/>
        </w:rPr>
        <w:t>被“信用中国”网站（https://www.creditchina.gov.cn）发布的《法人和非法人组织公共信用信息报告》列为严重失信主体名单的。</w:t>
      </w:r>
    </w:p>
    <w:p w14:paraId="6202054B">
      <w:pPr>
        <w:pStyle w:val="50"/>
        <w:shd w:val="clear" w:color="auto" w:fill="auto"/>
        <w:wordWrap w:val="0"/>
        <w:adjustRightInd w:val="0"/>
        <w:snapToGrid w:val="0"/>
        <w:spacing w:line="440" w:lineRule="exact"/>
        <w:ind w:firstLine="482" w:firstLineChars="20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2.4.2</w:t>
      </w:r>
      <w:r>
        <w:rPr>
          <w:rFonts w:hint="eastAsia" w:ascii="宋体" w:hAnsi="宋体" w:eastAsia="宋体" w:cs="宋体"/>
          <w:snapToGrid w:val="0"/>
          <w:color w:val="auto"/>
          <w:kern w:val="0"/>
          <w:sz w:val="24"/>
          <w:highlight w:val="none"/>
        </w:rPr>
        <w:t xml:space="preserve"> 招标人拒绝以下名单中的单位参加本次投标：</w:t>
      </w:r>
    </w:p>
    <w:tbl>
      <w:tblPr>
        <w:tblStyle w:val="31"/>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4061"/>
        <w:gridCol w:w="3827"/>
      </w:tblGrid>
      <w:tr w14:paraId="519B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0" w:type="dxa"/>
            <w:vAlign w:val="center"/>
          </w:tcPr>
          <w:p w14:paraId="4BF10229">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序号</w:t>
            </w:r>
          </w:p>
        </w:tc>
        <w:tc>
          <w:tcPr>
            <w:tcW w:w="4061" w:type="dxa"/>
            <w:vAlign w:val="center"/>
          </w:tcPr>
          <w:p w14:paraId="35438210">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单位名称</w:t>
            </w:r>
          </w:p>
        </w:tc>
        <w:tc>
          <w:tcPr>
            <w:tcW w:w="3827" w:type="dxa"/>
            <w:vAlign w:val="center"/>
          </w:tcPr>
          <w:p w14:paraId="3308528F">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拒绝原因</w:t>
            </w:r>
          </w:p>
        </w:tc>
      </w:tr>
      <w:tr w14:paraId="06818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0" w:type="dxa"/>
            <w:vAlign w:val="center"/>
          </w:tcPr>
          <w:p w14:paraId="58F11933">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4061" w:type="dxa"/>
            <w:vAlign w:val="center"/>
          </w:tcPr>
          <w:p w14:paraId="4FFB9A41">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南雄市油山镇人民政府</w:t>
            </w:r>
          </w:p>
        </w:tc>
        <w:tc>
          <w:tcPr>
            <w:tcW w:w="3827" w:type="dxa"/>
            <w:vAlign w:val="center"/>
          </w:tcPr>
          <w:p w14:paraId="29787959">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为本招标项目的招标人</w:t>
            </w:r>
          </w:p>
        </w:tc>
      </w:tr>
      <w:tr w14:paraId="112A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0" w:type="dxa"/>
            <w:vAlign w:val="center"/>
          </w:tcPr>
          <w:p w14:paraId="434580E7">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w:t>
            </w:r>
          </w:p>
        </w:tc>
        <w:tc>
          <w:tcPr>
            <w:tcW w:w="4061" w:type="dxa"/>
            <w:vAlign w:val="center"/>
          </w:tcPr>
          <w:p w14:paraId="51D4C551">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广东象龙国际项目管理有限公司</w:t>
            </w:r>
          </w:p>
        </w:tc>
        <w:tc>
          <w:tcPr>
            <w:tcW w:w="3827" w:type="dxa"/>
            <w:vAlign w:val="center"/>
          </w:tcPr>
          <w:p w14:paraId="31E807C2">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为本招标项目的招标代理机构</w:t>
            </w:r>
          </w:p>
        </w:tc>
      </w:tr>
      <w:tr w14:paraId="59BC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0" w:type="dxa"/>
            <w:vAlign w:val="center"/>
          </w:tcPr>
          <w:p w14:paraId="7135A3AE">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w:t>
            </w:r>
          </w:p>
        </w:tc>
        <w:tc>
          <w:tcPr>
            <w:tcW w:w="4061" w:type="dxa"/>
            <w:vAlign w:val="center"/>
          </w:tcPr>
          <w:p w14:paraId="2D5DF68B">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爱建信达工程咨询有限公司</w:t>
            </w:r>
          </w:p>
        </w:tc>
        <w:tc>
          <w:tcPr>
            <w:tcW w:w="3827" w:type="dxa"/>
            <w:vAlign w:val="center"/>
          </w:tcPr>
          <w:p w14:paraId="0B1025CD">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为本招标项目的造价咨询单位</w:t>
            </w:r>
          </w:p>
        </w:tc>
      </w:tr>
      <w:tr w14:paraId="17AE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0" w:type="dxa"/>
            <w:vAlign w:val="center"/>
          </w:tcPr>
          <w:p w14:paraId="5BBC7A4F">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w:t>
            </w:r>
          </w:p>
        </w:tc>
        <w:tc>
          <w:tcPr>
            <w:tcW w:w="4061" w:type="dxa"/>
            <w:shd w:val="clear" w:color="auto" w:fill="auto"/>
            <w:vAlign w:val="center"/>
          </w:tcPr>
          <w:p w14:paraId="23DE69FE">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中咨管理顾问有限责任公司</w:t>
            </w:r>
          </w:p>
        </w:tc>
        <w:tc>
          <w:tcPr>
            <w:tcW w:w="3827" w:type="dxa"/>
            <w:shd w:val="clear" w:color="auto" w:fill="auto"/>
            <w:vAlign w:val="center"/>
          </w:tcPr>
          <w:p w14:paraId="266612D6">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为本招标项目的可研编制单位</w:t>
            </w:r>
          </w:p>
        </w:tc>
      </w:tr>
      <w:tr w14:paraId="0270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30" w:type="dxa"/>
            <w:vAlign w:val="center"/>
          </w:tcPr>
          <w:p w14:paraId="2DE55423">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5</w:t>
            </w:r>
          </w:p>
        </w:tc>
        <w:tc>
          <w:tcPr>
            <w:tcW w:w="4061" w:type="dxa"/>
            <w:shd w:val="clear" w:color="auto" w:fill="auto"/>
            <w:vAlign w:val="center"/>
          </w:tcPr>
          <w:p w14:paraId="51F6E702">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广东省国际工程咨询有限公司</w:t>
            </w:r>
          </w:p>
        </w:tc>
        <w:tc>
          <w:tcPr>
            <w:tcW w:w="3827" w:type="dxa"/>
            <w:shd w:val="clear" w:color="auto" w:fill="auto"/>
            <w:vAlign w:val="center"/>
          </w:tcPr>
          <w:p w14:paraId="78EADCE1">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为本招标项目的可研修编单位</w:t>
            </w:r>
          </w:p>
        </w:tc>
      </w:tr>
    </w:tbl>
    <w:p w14:paraId="30576C5A">
      <w:pPr>
        <w:pStyle w:val="50"/>
        <w:shd w:val="clear" w:color="auto" w:fill="auto"/>
        <w:wordWrap w:val="0"/>
        <w:adjustRightInd w:val="0"/>
        <w:snapToGrid w:val="0"/>
        <w:spacing w:line="440" w:lineRule="exact"/>
        <w:ind w:firstLine="482" w:firstLineChars="20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2.5</w:t>
      </w:r>
      <w:r>
        <w:rPr>
          <w:rFonts w:hint="eastAsia" w:ascii="宋体" w:hAnsi="宋体" w:eastAsia="宋体" w:cs="宋体"/>
          <w:snapToGrid w:val="0"/>
          <w:color w:val="auto"/>
          <w:kern w:val="0"/>
          <w:sz w:val="24"/>
          <w:highlight w:val="none"/>
        </w:rPr>
        <w:t xml:space="preserve"> 其他要求</w:t>
      </w:r>
    </w:p>
    <w:p w14:paraId="1C322197">
      <w:pPr>
        <w:pStyle w:val="50"/>
        <w:shd w:val="clear" w:color="auto" w:fill="auto"/>
        <w:wordWrap w:val="0"/>
        <w:adjustRightInd w:val="0"/>
        <w:snapToGrid w:val="0"/>
        <w:spacing w:line="440" w:lineRule="exact"/>
        <w:ind w:firstLine="480" w:firstLineChars="200"/>
        <w:jc w:val="left"/>
        <w:rPr>
          <w:rFonts w:hint="eastAsia" w:ascii="宋体" w:hAnsi="宋体" w:eastAsia="宋体" w:cs="宋体"/>
          <w:b/>
          <w:bCs/>
          <w:snapToGrid w:val="0"/>
          <w:color w:val="auto"/>
          <w:kern w:val="0"/>
          <w:sz w:val="24"/>
          <w:highlight w:val="none"/>
        </w:rPr>
      </w:pPr>
      <w:r>
        <w:rPr>
          <w:rFonts w:hint="eastAsia" w:ascii="宋体" w:hAnsi="宋体" w:eastAsia="宋体" w:cs="宋体"/>
          <w:snapToGrid w:val="0"/>
          <w:color w:val="auto"/>
          <w:kern w:val="0"/>
          <w:sz w:val="24"/>
          <w:highlight w:val="none"/>
          <w:lang w:eastAsia="zh-CN"/>
        </w:rPr>
        <w:t>省外企业须按照《广东省住房和城乡建设厅关于取消省外建筑企业和人员进粤信息备案有关工作的通知》（粤建市﹝2015﹞52号）规定在“进粤企业和人员诚信信息登记平台”录入相关信息并通过数据规范检查。</w:t>
      </w:r>
    </w:p>
    <w:p w14:paraId="0C1FE229">
      <w:pPr>
        <w:pStyle w:val="50"/>
        <w:shd w:val="clear" w:color="auto" w:fill="auto"/>
        <w:ind w:firstLine="482"/>
        <w:jc w:val="left"/>
        <w:outlineLvl w:val="9"/>
        <w:rPr>
          <w:rFonts w:hint="eastAsia" w:ascii="宋体" w:hAnsi="宋体" w:eastAsia="宋体" w:cs="宋体"/>
          <w:b/>
          <w:bCs/>
          <w:snapToGrid w:val="0"/>
          <w:color w:val="auto"/>
          <w:kern w:val="0"/>
          <w:sz w:val="24"/>
          <w:highlight w:val="none"/>
        </w:rPr>
      </w:pPr>
      <w:bookmarkStart w:id="79" w:name="_Toc25099"/>
      <w:bookmarkStart w:id="80" w:name="_Toc29552"/>
      <w:bookmarkStart w:id="81" w:name="_Toc12728"/>
      <w:bookmarkStart w:id="82" w:name="_Toc31793"/>
      <w:bookmarkStart w:id="83" w:name="_Toc15578"/>
      <w:bookmarkStart w:id="84" w:name="_Toc31726"/>
    </w:p>
    <w:p w14:paraId="6D40D9DB">
      <w:pPr>
        <w:pStyle w:val="50"/>
        <w:shd w:val="clear" w:color="auto" w:fill="auto"/>
        <w:ind w:firstLine="482"/>
        <w:jc w:val="left"/>
        <w:outlineLvl w:val="2"/>
        <w:rPr>
          <w:rFonts w:hint="eastAsia" w:ascii="宋体" w:hAnsi="宋体" w:eastAsia="宋体" w:cs="宋体"/>
          <w:b/>
          <w:bCs/>
          <w:snapToGrid w:val="0"/>
          <w:color w:val="auto"/>
          <w:kern w:val="0"/>
          <w:sz w:val="24"/>
          <w:highlight w:val="none"/>
          <w:lang w:val="en-US" w:eastAsia="zh-CN"/>
        </w:rPr>
      </w:pPr>
      <w:bookmarkStart w:id="85" w:name="_Toc4403"/>
      <w:bookmarkStart w:id="86" w:name="_Toc24123"/>
      <w:r>
        <w:rPr>
          <w:rFonts w:hint="eastAsia" w:ascii="宋体" w:hAnsi="宋体" w:eastAsia="宋体" w:cs="宋体"/>
          <w:b/>
          <w:bCs/>
          <w:snapToGrid w:val="0"/>
          <w:color w:val="auto"/>
          <w:kern w:val="0"/>
          <w:sz w:val="24"/>
          <w:highlight w:val="none"/>
        </w:rPr>
        <w:t>3．</w:t>
      </w:r>
      <w:bookmarkEnd w:id="79"/>
      <w:bookmarkEnd w:id="80"/>
      <w:bookmarkEnd w:id="81"/>
      <w:bookmarkEnd w:id="82"/>
      <w:bookmarkEnd w:id="83"/>
      <w:bookmarkEnd w:id="84"/>
      <w:bookmarkEnd w:id="85"/>
      <w:r>
        <w:rPr>
          <w:rFonts w:hint="eastAsia" w:ascii="宋体" w:hAnsi="宋体" w:eastAsia="宋体" w:cs="宋体"/>
          <w:b/>
          <w:bCs/>
          <w:snapToGrid w:val="0"/>
          <w:color w:val="auto"/>
          <w:kern w:val="0"/>
          <w:sz w:val="24"/>
          <w:highlight w:val="none"/>
          <w:lang w:val="en-US" w:eastAsia="zh-CN"/>
        </w:rPr>
        <w:t>招标文件获取</w:t>
      </w:r>
      <w:bookmarkEnd w:id="86"/>
    </w:p>
    <w:p w14:paraId="67153B9E">
      <w:pPr>
        <w:keepNext w:val="0"/>
        <w:keepLines w:val="0"/>
        <w:pageBreakBefore w:val="0"/>
        <w:widowControl w:val="0"/>
        <w:shd w:val="clear" w:color="auto" w:fill="auto"/>
        <w:tabs>
          <w:tab w:val="left" w:pos="7020"/>
        </w:tabs>
        <w:kinsoku/>
        <w:wordWrap w:val="0"/>
        <w:overflowPunct/>
        <w:topLinePunct w:val="0"/>
        <w:autoSpaceDE/>
        <w:autoSpaceDN/>
        <w:bidi w:val="0"/>
        <w:adjustRightInd/>
        <w:snapToGrid/>
        <w:spacing w:beforeLines="50"/>
        <w:ind w:firstLine="561"/>
        <w:textAlignment w:val="auto"/>
        <w:rPr>
          <w:rFonts w:hint="eastAsia" w:ascii="宋体" w:hAnsi="宋体" w:eastAsia="宋体" w:cs="宋体"/>
          <w:b w:val="0"/>
          <w:bCs w:val="0"/>
          <w:snapToGrid w:val="0"/>
          <w:color w:val="auto"/>
          <w:kern w:val="0"/>
          <w:sz w:val="24"/>
          <w:szCs w:val="24"/>
          <w:highlight w:val="none"/>
          <w:lang w:eastAsia="zh-CN"/>
        </w:rPr>
      </w:pPr>
      <w:r>
        <w:rPr>
          <w:rFonts w:hint="eastAsia" w:ascii="宋体" w:hAnsi="宋体" w:eastAsia="宋体" w:cs="宋体"/>
          <w:b w:val="0"/>
          <w:bCs w:val="0"/>
          <w:snapToGrid w:val="0"/>
          <w:color w:val="auto"/>
          <w:kern w:val="0"/>
          <w:sz w:val="24"/>
          <w:szCs w:val="24"/>
          <w:highlight w:val="none"/>
        </w:rPr>
        <w:t xml:space="preserve">3.1 </w:t>
      </w:r>
      <w:r>
        <w:rPr>
          <w:rFonts w:hint="eastAsia" w:ascii="宋体" w:hAnsi="宋体" w:eastAsia="宋体" w:cs="宋体"/>
          <w:snapToGrid w:val="0"/>
          <w:color w:val="auto"/>
          <w:kern w:val="0"/>
          <w:sz w:val="24"/>
          <w:szCs w:val="24"/>
          <w:highlight w:val="none"/>
        </w:rPr>
        <w:t>本次招标实行全流程电子投标。本项目招标文件随招标公告一并在全国公共资源交易平台（广东省·韶关市）（https://ygp.gdzwfw.gov.cn/ggzy-portal/#/440200/index）网站发布。招标文件一经在建设工程交易系统发布，视为发售投标人，招标文件及相关附件由投标人自行在建设工程交易系统下载。请于招标文件获取期间（见本章第二节“重要事项时间地点一览表”）与招标公告发布时间一致，投标人须登录全国公共资源交易平台（广东省·韶关市）（https://ygp.gdzwfw.gov.cn/ggzy-portal/#/440200/index），使用新建设工程交易系统进行下载招标文件及相关附件，并于电子投标截止时间（见本章第二节“重要事项时间地点一览表”）前将投标文件上传到建设工程交易系统（上传后系统将自动加密）完成电子投标。投标人可登录全国公共资源交易平台（广东省·韶关市）（https://ygp.gdzwfw.gov.cn/ggzy-portal/#/440200/index），操作指南在全国公共资源交易平台（广东省·韶关市）（https://ygp.gdzwfw.gov.cn/ggzy-portal/#/440200/index），在【服务指南】栏目中下载《韶关市公共资源建设工程交易系统-投标人操作指南》，了解全流程电子投标操作流程。技术咨询电话：18819797080/0751-8379671 伍先生，业务咨询电话：0751-8633211。</w:t>
      </w:r>
    </w:p>
    <w:p w14:paraId="7A0ADA72">
      <w:pPr>
        <w:pStyle w:val="27"/>
        <w:keepNext w:val="0"/>
        <w:keepLines w:val="0"/>
        <w:pageBreakBefore w:val="0"/>
        <w:topLinePunct w:val="0"/>
        <w:bidi w:val="0"/>
        <w:spacing w:before="0" w:beforeAutospacing="0" w:after="0" w:afterAutospacing="0" w:line="500" w:lineRule="exact"/>
        <w:ind w:firstLine="482"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sz w:val="24"/>
          <w:szCs w:val="24"/>
          <w:highlight w:val="none"/>
        </w:rPr>
        <w:t>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4DFECB89">
      <w:pPr>
        <w:pStyle w:val="27"/>
        <w:keepNext w:val="0"/>
        <w:keepLines w:val="0"/>
        <w:pageBreakBefore w:val="0"/>
        <w:topLinePunct w:val="0"/>
        <w:bidi w:val="0"/>
        <w:spacing w:before="0" w:beforeAutospacing="0" w:after="0" w:afterAutospacing="0"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snapToGrid w:val="0"/>
          <w:color w:val="auto"/>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宋体" w:hAnsi="宋体" w:eastAsia="宋体" w:cs="宋体"/>
          <w:bCs/>
          <w:color w:val="auto"/>
          <w:sz w:val="24"/>
          <w:szCs w:val="24"/>
          <w:highlight w:val="none"/>
        </w:rPr>
        <w:t xml:space="preserve"> </w:t>
      </w:r>
    </w:p>
    <w:p w14:paraId="123D5B5C">
      <w:pPr>
        <w:pStyle w:val="50"/>
        <w:keepNext w:val="0"/>
        <w:keepLines w:val="0"/>
        <w:pageBreakBefore w:val="0"/>
        <w:wordWrap w:val="0"/>
        <w:topLinePunct w:val="0"/>
        <w:bidi w:val="0"/>
        <w:adjustRightInd w:val="0"/>
        <w:snapToGrid w:val="0"/>
        <w:spacing w:line="500" w:lineRule="exact"/>
        <w:ind w:firstLine="48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已入库企业的有关信息（如单位名称、基本账号、资质、人员等）发生变化的，应及时在建设工程交易系统进行相应变更。投标人未及时变更而造成的损失和后果，由投标人自行承担。</w:t>
      </w:r>
    </w:p>
    <w:p w14:paraId="1937A23D">
      <w:pPr>
        <w:pStyle w:val="50"/>
        <w:shd w:val="clear" w:color="auto" w:fill="auto"/>
        <w:ind w:firstLine="482"/>
        <w:jc w:val="left"/>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3.3 投标保证</w:t>
      </w:r>
    </w:p>
    <w:p w14:paraId="3C39261A">
      <w:pPr>
        <w:shd w:val="clear" w:color="auto" w:fill="auto"/>
        <w:tabs>
          <w:tab w:val="left" w:pos="7020"/>
        </w:tabs>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3.3.1</w:t>
      </w:r>
      <w:r>
        <w:rPr>
          <w:rFonts w:hint="eastAsia" w:ascii="宋体" w:hAnsi="宋体" w:eastAsia="宋体" w:cs="宋体"/>
          <w:snapToGrid w:val="0"/>
          <w:color w:val="auto"/>
          <w:kern w:val="0"/>
          <w:highlight w:val="none"/>
        </w:rPr>
        <w:t xml:space="preserve"> 投标人须缴纳金额为人民币</w:t>
      </w:r>
      <w:r>
        <w:rPr>
          <w:rFonts w:hint="eastAsia" w:hAnsi="宋体" w:cs="宋体"/>
          <w:snapToGrid w:val="0"/>
          <w:color w:val="auto"/>
          <w:kern w:val="0"/>
          <w:szCs w:val="24"/>
          <w:highlight w:val="none"/>
          <w:lang w:val="en-US" w:eastAsia="zh-CN"/>
        </w:rPr>
        <w:t>贰仟元整</w:t>
      </w:r>
      <w:r>
        <w:rPr>
          <w:rFonts w:hint="eastAsia" w:ascii="宋体" w:hAnsi="宋体" w:eastAsia="宋体" w:cs="宋体"/>
          <w:snapToGrid w:val="0"/>
          <w:color w:val="auto"/>
          <w:kern w:val="0"/>
          <w:szCs w:val="24"/>
          <w:highlight w:val="none"/>
          <w:lang w:val="en-US" w:eastAsia="zh-CN"/>
        </w:rPr>
        <w:t>（￥</w:t>
      </w:r>
      <w:r>
        <w:rPr>
          <w:rFonts w:hint="eastAsia" w:hAnsi="宋体" w:cs="宋体"/>
          <w:snapToGrid w:val="0"/>
          <w:color w:val="auto"/>
          <w:kern w:val="0"/>
          <w:szCs w:val="24"/>
          <w:highlight w:val="none"/>
          <w:lang w:val="en-US" w:eastAsia="zh-CN"/>
        </w:rPr>
        <w:t>2</w:t>
      </w:r>
      <w:r>
        <w:rPr>
          <w:rFonts w:hint="eastAsia" w:ascii="宋体" w:hAnsi="宋体" w:eastAsia="宋体" w:cs="宋体"/>
          <w:snapToGrid w:val="0"/>
          <w:color w:val="auto"/>
          <w:kern w:val="0"/>
          <w:szCs w:val="24"/>
          <w:highlight w:val="none"/>
          <w:lang w:val="en-US" w:eastAsia="zh-CN"/>
        </w:rPr>
        <w:t>000.00元）</w:t>
      </w:r>
      <w:r>
        <w:rPr>
          <w:rFonts w:hint="eastAsia" w:ascii="宋体" w:hAnsi="宋体" w:eastAsia="宋体" w:cs="宋体"/>
          <w:snapToGrid w:val="0"/>
          <w:color w:val="auto"/>
          <w:kern w:val="0"/>
          <w:highlight w:val="none"/>
        </w:rPr>
        <w:t xml:space="preserve">的投标保证。 </w:t>
      </w:r>
    </w:p>
    <w:p w14:paraId="57C79DC5">
      <w:pPr>
        <w:shd w:val="clear" w:color="auto" w:fill="auto"/>
        <w:tabs>
          <w:tab w:val="left" w:pos="7020"/>
        </w:tabs>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3.3.2</w:t>
      </w:r>
      <w:r>
        <w:rPr>
          <w:rFonts w:hint="eastAsia" w:ascii="宋体" w:hAnsi="宋体" w:eastAsia="宋体" w:cs="宋体"/>
          <w:snapToGrid w:val="0"/>
          <w:color w:val="auto"/>
          <w:kern w:val="0"/>
          <w:highlight w:val="none"/>
        </w:rPr>
        <w:t xml:space="preserve"> 投标保证的形式包括投标保证金、投标保证担保、投标保证保险三种，由投标人自主选择。</w:t>
      </w:r>
    </w:p>
    <w:p w14:paraId="5B5F4517">
      <w:pPr>
        <w:shd w:val="clear" w:color="auto" w:fill="auto"/>
        <w:tabs>
          <w:tab w:val="left" w:pos="7020"/>
        </w:tabs>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采用投标保证金的，投标人在建设工程交易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3DDBD968">
      <w:pPr>
        <w:shd w:val="clear" w:color="auto" w:fill="auto"/>
        <w:tabs>
          <w:tab w:val="left" w:pos="7020"/>
        </w:tabs>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采用投标保证担保的，投标人应提交有效的银行保函，银行保函的有效期不得短于投标有效期。投标人必须在投标保证担保截止时间（见本章第二节“重要事项时间地点一览表”）前，使用工程建设交易系统完成网上办理电子保函。</w:t>
      </w:r>
    </w:p>
    <w:p w14:paraId="33424622">
      <w:pPr>
        <w:shd w:val="clear" w:color="auto" w:fill="auto"/>
        <w:tabs>
          <w:tab w:val="left" w:pos="7020"/>
        </w:tabs>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w:t>
      </w:r>
      <w:r>
        <w:rPr>
          <w:rFonts w:hint="eastAsia" w:ascii="宋体" w:hAnsi="宋体" w:eastAsia="宋体" w:cs="宋体"/>
          <w:color w:val="auto"/>
          <w:sz w:val="24"/>
          <w:szCs w:val="24"/>
          <w:highlight w:val="none"/>
        </w:rPr>
        <w:t>采用投标保证保险的，投标人须在投标保证保险投保截止时间（见本章“重要事项时间地点一览表”）前，使用建设工程交易系统完成网上投保。投标人可在系统选择保险机构、录入投保信息、支付保费、</w:t>
      </w:r>
      <w:r>
        <w:rPr>
          <w:rFonts w:hint="eastAsia" w:ascii="宋体" w:hAnsi="宋体" w:eastAsia="宋体" w:cs="宋体"/>
          <w:color w:val="auto"/>
          <w:sz w:val="24"/>
          <w:szCs w:val="24"/>
          <w:highlight w:val="none"/>
          <w:lang w:val="en-US" w:eastAsia="zh-CN"/>
        </w:rPr>
        <w:t>下载</w:t>
      </w:r>
      <w:r>
        <w:rPr>
          <w:rFonts w:hint="eastAsia" w:ascii="宋体" w:hAnsi="宋体" w:eastAsia="宋体" w:cs="宋体"/>
          <w:color w:val="auto"/>
          <w:sz w:val="24"/>
          <w:szCs w:val="24"/>
          <w:highlight w:val="none"/>
        </w:rPr>
        <w:t>电子保单，电子保单的有效期不得短于投标有效期。投标人可登录</w:t>
      </w:r>
      <w:r>
        <w:rPr>
          <w:rFonts w:hint="eastAsia" w:ascii="宋体" w:hAnsi="宋体" w:eastAsia="宋体" w:cs="宋体"/>
          <w:color w:val="auto"/>
          <w:sz w:val="24"/>
          <w:szCs w:val="24"/>
          <w:highlight w:val="none"/>
          <w:lang w:eastAsia="zh-CN"/>
        </w:rPr>
        <w:t>全国公共资源交易平台（广东省·韶关市）（https://ygp.gdzwfw.gov.cn/ggzy-portal/#/440200/index）</w:t>
      </w:r>
      <w:r>
        <w:rPr>
          <w:rFonts w:hint="eastAsia" w:ascii="宋体" w:hAnsi="宋体" w:eastAsia="宋体" w:cs="宋体"/>
          <w:color w:val="auto"/>
          <w:sz w:val="24"/>
          <w:szCs w:val="24"/>
          <w:highlight w:val="none"/>
        </w:rPr>
        <w:t>查阅相应的服务指南，了解网上投保具体操作流程。逾期投保的，其投标无效。</w:t>
      </w:r>
    </w:p>
    <w:p w14:paraId="0DCEA0C5">
      <w:pPr>
        <w:shd w:val="clear" w:color="auto" w:fill="auto"/>
        <w:tabs>
          <w:tab w:val="left" w:pos="7020"/>
        </w:tabs>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3D73857F">
      <w:pPr>
        <w:shd w:val="clear" w:color="auto" w:fill="auto"/>
        <w:tabs>
          <w:tab w:val="left" w:pos="7020"/>
        </w:tabs>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3.4</w:t>
      </w:r>
      <w:r>
        <w:rPr>
          <w:rFonts w:hint="eastAsia" w:ascii="宋体" w:hAnsi="宋体" w:eastAsia="宋体" w:cs="宋体"/>
          <w:snapToGrid w:val="0"/>
          <w:color w:val="auto"/>
          <w:kern w:val="0"/>
          <w:highlight w:val="none"/>
        </w:rPr>
        <w:t xml:space="preserve"> 若投标人因自身原因未能正确完成</w:t>
      </w:r>
      <w:r>
        <w:rPr>
          <w:rFonts w:hint="eastAsia" w:ascii="宋体" w:hAnsi="宋体" w:eastAsia="宋体" w:cs="宋体"/>
          <w:snapToGrid w:val="0"/>
          <w:color w:val="auto"/>
          <w:kern w:val="0"/>
          <w:sz w:val="24"/>
          <w:szCs w:val="24"/>
          <w:highlight w:val="none"/>
        </w:rPr>
        <w:t>网上</w:t>
      </w:r>
      <w:r>
        <w:rPr>
          <w:rFonts w:hint="eastAsia" w:ascii="宋体" w:hAnsi="宋体" w:eastAsia="宋体" w:cs="宋体"/>
          <w:snapToGrid w:val="0"/>
          <w:color w:val="auto"/>
          <w:kern w:val="0"/>
          <w:sz w:val="24"/>
          <w:szCs w:val="24"/>
          <w:highlight w:val="none"/>
          <w:lang w:eastAsia="zh-CN"/>
        </w:rPr>
        <w:t>获取招标文件</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电子投标、缴纳投标保证的，其投标无效。</w:t>
      </w:r>
    </w:p>
    <w:p w14:paraId="035C234C">
      <w:pPr>
        <w:shd w:val="clear" w:color="auto" w:fill="auto"/>
        <w:tabs>
          <w:tab w:val="left" w:pos="7020"/>
        </w:tabs>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4A4574E5">
      <w:pPr>
        <w:pStyle w:val="50"/>
        <w:shd w:val="clear" w:color="auto" w:fill="auto"/>
        <w:spacing w:line="360" w:lineRule="auto"/>
        <w:ind w:firstLine="482"/>
        <w:jc w:val="left"/>
        <w:outlineLvl w:val="2"/>
        <w:rPr>
          <w:rFonts w:hint="eastAsia" w:ascii="宋体" w:hAnsi="宋体" w:eastAsia="宋体" w:cs="宋体"/>
          <w:b/>
          <w:bCs/>
          <w:snapToGrid w:val="0"/>
          <w:color w:val="auto"/>
          <w:kern w:val="0"/>
          <w:sz w:val="24"/>
          <w:highlight w:val="none"/>
        </w:rPr>
      </w:pPr>
      <w:bookmarkStart w:id="87" w:name="_Toc22716"/>
      <w:bookmarkStart w:id="88" w:name="_Toc12793"/>
      <w:bookmarkStart w:id="89" w:name="_Toc6940"/>
      <w:bookmarkStart w:id="90" w:name="_Toc12197"/>
      <w:bookmarkStart w:id="91" w:name="_Toc14270"/>
      <w:bookmarkStart w:id="92" w:name="_Toc30339"/>
      <w:bookmarkStart w:id="93" w:name="_Toc12858"/>
      <w:bookmarkStart w:id="94" w:name="_Toc16479"/>
      <w:r>
        <w:rPr>
          <w:rFonts w:hint="eastAsia" w:ascii="宋体" w:hAnsi="宋体" w:eastAsia="宋体" w:cs="宋体"/>
          <w:b/>
          <w:bCs/>
          <w:snapToGrid w:val="0"/>
          <w:color w:val="auto"/>
          <w:kern w:val="0"/>
          <w:sz w:val="24"/>
          <w:highlight w:val="none"/>
        </w:rPr>
        <w:t>4．服务期限</w:t>
      </w:r>
      <w:bookmarkEnd w:id="87"/>
      <w:bookmarkEnd w:id="88"/>
      <w:bookmarkEnd w:id="89"/>
      <w:bookmarkEnd w:id="90"/>
      <w:bookmarkEnd w:id="91"/>
      <w:bookmarkEnd w:id="92"/>
      <w:bookmarkEnd w:id="93"/>
      <w:bookmarkEnd w:id="94"/>
    </w:p>
    <w:p w14:paraId="6A156840">
      <w:pPr>
        <w:shd w:val="clear" w:color="auto" w:fill="auto"/>
        <w:tabs>
          <w:tab w:val="left" w:pos="7020"/>
        </w:tabs>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bookmarkStart w:id="95" w:name="_Toc7508"/>
      <w:r>
        <w:rPr>
          <w:rFonts w:hint="eastAsia" w:ascii="宋体" w:hAnsi="宋体" w:eastAsia="宋体" w:cs="宋体"/>
          <w:snapToGrid w:val="0"/>
          <w:color w:val="auto"/>
          <w:kern w:val="0"/>
          <w:highlight w:val="none"/>
          <w:u w:val="single"/>
        </w:rPr>
        <w:t>监理服务期从监理合同签订之日起计，至本工程缺陷责任保修期结束且本工程结算金额经政府主管部门审定且双方的责任义务履行完毕时止。</w:t>
      </w:r>
    </w:p>
    <w:p w14:paraId="1FD36155">
      <w:pPr>
        <w:shd w:val="clear" w:color="auto" w:fill="auto"/>
        <w:tabs>
          <w:tab w:val="left" w:pos="7020"/>
        </w:tabs>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5A9C1C01">
      <w:pPr>
        <w:pStyle w:val="50"/>
        <w:shd w:val="clear" w:color="auto" w:fill="auto"/>
        <w:spacing w:line="360" w:lineRule="auto"/>
        <w:ind w:firstLine="482"/>
        <w:jc w:val="left"/>
        <w:outlineLvl w:val="2"/>
        <w:rPr>
          <w:rFonts w:hint="eastAsia" w:ascii="宋体" w:hAnsi="宋体" w:eastAsia="宋体" w:cs="宋体"/>
          <w:b/>
          <w:bCs/>
          <w:snapToGrid w:val="0"/>
          <w:color w:val="auto"/>
          <w:kern w:val="0"/>
          <w:sz w:val="24"/>
          <w:highlight w:val="none"/>
        </w:rPr>
      </w:pPr>
      <w:bookmarkStart w:id="96" w:name="_Toc4831"/>
      <w:bookmarkStart w:id="97" w:name="_Toc31895"/>
      <w:bookmarkStart w:id="98" w:name="_Toc27677"/>
      <w:bookmarkStart w:id="99" w:name="_Toc31374"/>
      <w:bookmarkStart w:id="100" w:name="_Toc19377"/>
      <w:bookmarkStart w:id="101" w:name="_Toc20452"/>
      <w:bookmarkStart w:id="102" w:name="_Toc24489"/>
      <w:bookmarkStart w:id="103" w:name="_Toc5087"/>
      <w:bookmarkStart w:id="104" w:name="_Toc20710"/>
      <w:bookmarkStart w:id="105" w:name="_Toc31837"/>
      <w:r>
        <w:rPr>
          <w:rFonts w:hint="eastAsia" w:ascii="宋体" w:hAnsi="宋体" w:eastAsia="宋体" w:cs="宋体"/>
          <w:b/>
          <w:bCs/>
          <w:snapToGrid w:val="0"/>
          <w:color w:val="auto"/>
          <w:kern w:val="0"/>
          <w:sz w:val="24"/>
          <w:highlight w:val="none"/>
        </w:rPr>
        <w:t>5．</w:t>
      </w:r>
      <w:bookmarkEnd w:id="95"/>
      <w:r>
        <w:rPr>
          <w:rFonts w:hint="eastAsia" w:ascii="宋体" w:hAnsi="宋体" w:eastAsia="宋体" w:cs="宋体"/>
          <w:b/>
          <w:bCs/>
          <w:snapToGrid w:val="0"/>
          <w:color w:val="auto"/>
          <w:kern w:val="0"/>
          <w:sz w:val="24"/>
          <w:highlight w:val="none"/>
        </w:rPr>
        <w:t>服务标准</w:t>
      </w:r>
      <w:bookmarkEnd w:id="96"/>
      <w:bookmarkEnd w:id="97"/>
      <w:bookmarkEnd w:id="98"/>
      <w:bookmarkEnd w:id="99"/>
      <w:bookmarkEnd w:id="100"/>
      <w:bookmarkEnd w:id="101"/>
      <w:bookmarkEnd w:id="102"/>
      <w:bookmarkEnd w:id="103"/>
      <w:bookmarkEnd w:id="104"/>
      <w:bookmarkEnd w:id="105"/>
    </w:p>
    <w:p w14:paraId="740EF32E">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5.1</w:t>
      </w:r>
      <w:r>
        <w:rPr>
          <w:rFonts w:hint="eastAsia" w:ascii="宋体" w:hAnsi="宋体" w:eastAsia="宋体" w:cs="宋体"/>
          <w:snapToGrid w:val="0"/>
          <w:color w:val="auto"/>
          <w:kern w:val="0"/>
          <w:highlight w:val="none"/>
        </w:rPr>
        <w:t xml:space="preserve"> 工程质量必须达到</w:t>
      </w:r>
      <w:r>
        <w:rPr>
          <w:rFonts w:hint="eastAsia" w:ascii="宋体" w:hAnsi="宋体" w:eastAsia="宋体" w:cs="宋体"/>
          <w:snapToGrid w:val="0"/>
          <w:color w:val="auto"/>
          <w:kern w:val="0"/>
          <w:highlight w:val="none"/>
          <w:u w:val="single"/>
        </w:rPr>
        <w:t>合格</w:t>
      </w:r>
      <w:r>
        <w:rPr>
          <w:rFonts w:hint="eastAsia" w:ascii="宋体" w:hAnsi="宋体" w:eastAsia="宋体" w:cs="宋体"/>
          <w:snapToGrid w:val="0"/>
          <w:color w:val="auto"/>
          <w:kern w:val="0"/>
          <w:highlight w:val="none"/>
        </w:rPr>
        <w:t>标准。</w:t>
      </w:r>
    </w:p>
    <w:p w14:paraId="245AB1D6">
      <w:pPr>
        <w:shd w:val="clear" w:color="auto" w:fill="auto"/>
        <w:wordWrap w:val="0"/>
        <w:adjustRightInd w:val="0"/>
        <w:snapToGrid w:val="0"/>
        <w:spacing w:line="440" w:lineRule="exact"/>
        <w:ind w:firstLine="482" w:firstLineChars="200"/>
        <w:rPr>
          <w:rFonts w:hint="eastAsia" w:ascii="宋体" w:hAnsi="宋体" w:eastAsia="宋体" w:cs="宋体"/>
          <w:b/>
          <w:snapToGrid w:val="0"/>
          <w:color w:val="auto"/>
          <w:highlight w:val="none"/>
        </w:rPr>
      </w:pPr>
      <w:r>
        <w:rPr>
          <w:rFonts w:hint="eastAsia" w:ascii="宋体" w:hAnsi="宋体" w:eastAsia="宋体" w:cs="宋体"/>
          <w:b/>
          <w:bCs/>
          <w:snapToGrid w:val="0"/>
          <w:color w:val="auto"/>
          <w:kern w:val="0"/>
          <w:highlight w:val="none"/>
        </w:rPr>
        <w:t>5.2</w:t>
      </w:r>
      <w:r>
        <w:rPr>
          <w:rFonts w:hint="eastAsia" w:ascii="宋体" w:hAnsi="宋体" w:eastAsia="宋体" w:cs="宋体"/>
          <w:snapToGrid w:val="0"/>
          <w:color w:val="auto"/>
          <w:kern w:val="0"/>
          <w:highlight w:val="none"/>
        </w:rPr>
        <w:t xml:space="preserve"> 根据韶关市人民政府《关于加快推进全市绿色建筑发展工作的通知》（韶府办明电〔2013〕277号）有关规定，</w:t>
      </w:r>
      <w:r>
        <w:rPr>
          <w:rFonts w:hint="eastAsia" w:ascii="宋体" w:hAnsi="宋体" w:eastAsia="宋体" w:cs="宋体"/>
          <w:color w:val="auto"/>
          <w:szCs w:val="24"/>
          <w:highlight w:val="none"/>
        </w:rPr>
        <w:t>本招标项目</w:t>
      </w:r>
      <w:r>
        <w:rPr>
          <w:rFonts w:hint="eastAsia" w:ascii="宋体" w:hAnsi="宋体" w:eastAsia="宋体" w:cs="宋体"/>
          <w:color w:val="auto"/>
          <w:szCs w:val="24"/>
          <w:highlight w:val="none"/>
          <w:lang w:val="en-US" w:eastAsia="zh-CN"/>
        </w:rPr>
        <w:t>不</w:t>
      </w:r>
      <w:r>
        <w:rPr>
          <w:rFonts w:hint="eastAsia" w:ascii="宋体" w:hAnsi="宋体" w:eastAsia="宋体" w:cs="宋体"/>
          <w:color w:val="auto"/>
          <w:szCs w:val="24"/>
          <w:highlight w:val="none"/>
          <w:u w:val="none"/>
        </w:rPr>
        <w:t>纳入</w:t>
      </w:r>
      <w:r>
        <w:rPr>
          <w:rFonts w:hint="eastAsia" w:ascii="宋体" w:hAnsi="宋体" w:eastAsia="宋体" w:cs="宋体"/>
          <w:color w:val="auto"/>
          <w:szCs w:val="24"/>
          <w:highlight w:val="none"/>
        </w:rPr>
        <w:t>绿色建设实施范围。</w:t>
      </w:r>
      <w:bookmarkStart w:id="106" w:name="_Hlt121563076"/>
      <w:bookmarkEnd w:id="106"/>
      <w:bookmarkStart w:id="107" w:name="_Hlt69356505"/>
      <w:bookmarkEnd w:id="107"/>
      <w:bookmarkStart w:id="108" w:name="_Hlt74496537"/>
      <w:bookmarkEnd w:id="108"/>
      <w:bookmarkStart w:id="109" w:name="_Hlt120502666"/>
      <w:bookmarkEnd w:id="109"/>
      <w:bookmarkStart w:id="110" w:name="_Hlt88974078"/>
      <w:bookmarkEnd w:id="110"/>
      <w:bookmarkStart w:id="111" w:name="_Hlt69699204"/>
      <w:bookmarkEnd w:id="111"/>
      <w:bookmarkStart w:id="112" w:name="_Hlt74493474"/>
      <w:bookmarkEnd w:id="112"/>
      <w:bookmarkStart w:id="113" w:name="_Hlt111690342"/>
      <w:bookmarkEnd w:id="113"/>
      <w:bookmarkStart w:id="114" w:name="_Toc2679"/>
    </w:p>
    <w:p w14:paraId="74FBF736">
      <w:pPr>
        <w:pStyle w:val="50"/>
        <w:shd w:val="clear" w:color="auto" w:fill="auto"/>
        <w:spacing w:line="360" w:lineRule="auto"/>
        <w:ind w:firstLine="482" w:firstLineChars="200"/>
        <w:jc w:val="left"/>
        <w:outlineLvl w:val="2"/>
        <w:rPr>
          <w:rFonts w:hint="eastAsia" w:ascii="宋体" w:hAnsi="宋体" w:eastAsia="宋体" w:cs="宋体"/>
          <w:b/>
          <w:bCs/>
          <w:snapToGrid w:val="0"/>
          <w:color w:val="auto"/>
          <w:kern w:val="0"/>
          <w:sz w:val="24"/>
          <w:highlight w:val="none"/>
        </w:rPr>
      </w:pPr>
      <w:bookmarkStart w:id="115" w:name="_Toc29725"/>
      <w:bookmarkStart w:id="116" w:name="_Toc10726"/>
      <w:bookmarkStart w:id="117" w:name="_Toc22917"/>
      <w:bookmarkStart w:id="118" w:name="_Toc26482"/>
      <w:bookmarkStart w:id="119" w:name="_Toc17914"/>
      <w:bookmarkStart w:id="120" w:name="_Toc32251"/>
      <w:bookmarkStart w:id="121" w:name="_Toc15969"/>
      <w:bookmarkStart w:id="122" w:name="_Toc5261"/>
      <w:bookmarkStart w:id="123" w:name="_Toc27367"/>
      <w:bookmarkStart w:id="124" w:name="_Toc15432"/>
    </w:p>
    <w:p w14:paraId="6361395F">
      <w:pPr>
        <w:pStyle w:val="50"/>
        <w:shd w:val="clear" w:color="auto" w:fill="auto"/>
        <w:spacing w:line="360" w:lineRule="auto"/>
        <w:ind w:firstLine="482" w:firstLineChars="200"/>
        <w:jc w:val="left"/>
        <w:outlineLvl w:val="2"/>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6．现场踏勘</w:t>
      </w:r>
      <w:bookmarkEnd w:id="114"/>
      <w:bookmarkEnd w:id="115"/>
      <w:bookmarkEnd w:id="116"/>
      <w:bookmarkEnd w:id="117"/>
      <w:bookmarkEnd w:id="118"/>
      <w:bookmarkEnd w:id="119"/>
      <w:bookmarkEnd w:id="120"/>
      <w:bookmarkEnd w:id="121"/>
      <w:bookmarkEnd w:id="122"/>
      <w:bookmarkEnd w:id="123"/>
      <w:bookmarkEnd w:id="124"/>
    </w:p>
    <w:p w14:paraId="70EB46D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6.1</w:t>
      </w:r>
      <w:r>
        <w:rPr>
          <w:rFonts w:hint="eastAsia" w:ascii="宋体" w:hAnsi="宋体" w:eastAsia="宋体" w:cs="宋体"/>
          <w:snapToGrid w:val="0"/>
          <w:color w:val="auto"/>
          <w:kern w:val="0"/>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066DB44E">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6.2</w:t>
      </w:r>
      <w:r>
        <w:rPr>
          <w:rFonts w:hint="eastAsia" w:ascii="宋体" w:hAnsi="宋体" w:eastAsia="宋体" w:cs="宋体"/>
          <w:snapToGrid w:val="0"/>
          <w:color w:val="auto"/>
          <w:kern w:val="0"/>
          <w:highlight w:val="none"/>
        </w:rPr>
        <w:t xml:space="preserve"> 在现场踏勘过程中，投标人应确保自身安全，投标人如果发生人身伤亡、财物或其他损失，法律法规有规定的按有关规定处理，没有规定的由投标人自行负责。</w:t>
      </w:r>
    </w:p>
    <w:p w14:paraId="620B4C84">
      <w:pPr>
        <w:shd w:val="clear" w:color="auto" w:fill="auto"/>
        <w:wordWrap w:val="0"/>
        <w:adjustRightInd w:val="0"/>
        <w:snapToGrid w:val="0"/>
        <w:spacing w:line="440" w:lineRule="exact"/>
        <w:ind w:firstLine="560"/>
        <w:rPr>
          <w:rFonts w:hint="eastAsia" w:ascii="宋体" w:hAnsi="宋体" w:eastAsia="宋体" w:cs="宋体"/>
          <w:b/>
          <w:snapToGrid w:val="0"/>
          <w:color w:val="auto"/>
          <w:highlight w:val="none"/>
        </w:rPr>
      </w:pPr>
      <w:r>
        <w:rPr>
          <w:rFonts w:hint="eastAsia" w:ascii="宋体" w:hAnsi="宋体" w:eastAsia="宋体" w:cs="宋体"/>
          <w:b/>
          <w:bCs/>
          <w:snapToGrid w:val="0"/>
          <w:color w:val="auto"/>
          <w:kern w:val="0"/>
          <w:highlight w:val="none"/>
        </w:rPr>
        <w:t>6.3</w:t>
      </w:r>
      <w:r>
        <w:rPr>
          <w:rFonts w:hint="eastAsia" w:ascii="宋体" w:hAnsi="宋体" w:eastAsia="宋体" w:cs="宋体"/>
          <w:snapToGrid w:val="0"/>
          <w:color w:val="auto"/>
          <w:kern w:val="0"/>
          <w:highlight w:val="none"/>
        </w:rPr>
        <w:t xml:space="preserve"> 现场踏勘期间的交通、食宿由投标人自行安排，费用自理。</w:t>
      </w:r>
      <w:bookmarkStart w:id="125" w:name="_Toc18204"/>
    </w:p>
    <w:p w14:paraId="00C58C65">
      <w:pPr>
        <w:shd w:val="clear" w:color="auto" w:fill="auto"/>
        <w:rPr>
          <w:rFonts w:hint="eastAsia" w:ascii="宋体" w:hAnsi="宋体" w:eastAsia="宋体" w:cs="宋体"/>
          <w:color w:val="auto"/>
          <w:highlight w:val="none"/>
        </w:rPr>
      </w:pPr>
      <w:bookmarkStart w:id="126" w:name="_Toc16304"/>
      <w:bookmarkStart w:id="127" w:name="_Toc30051"/>
      <w:bookmarkStart w:id="128" w:name="_Toc15184"/>
      <w:bookmarkStart w:id="129" w:name="_Toc6787"/>
      <w:bookmarkStart w:id="130" w:name="_Toc8820"/>
      <w:bookmarkStart w:id="131" w:name="_Toc22022"/>
      <w:bookmarkStart w:id="132" w:name="_Toc6725"/>
      <w:bookmarkStart w:id="133" w:name="_Toc6401"/>
      <w:bookmarkStart w:id="134" w:name="_Toc10436"/>
      <w:bookmarkStart w:id="135" w:name="_Toc6981"/>
    </w:p>
    <w:p w14:paraId="38133AEB">
      <w:pPr>
        <w:pStyle w:val="12"/>
        <w:shd w:val="clear" w:color="auto" w:fill="auto"/>
        <w:jc w:val="left"/>
        <w:rPr>
          <w:rFonts w:hint="eastAsia" w:ascii="宋体" w:hAnsi="宋体" w:eastAsia="宋体" w:cs="宋体"/>
          <w:b/>
          <w:bCs/>
          <w:snapToGrid w:val="0"/>
          <w:color w:val="auto"/>
          <w:szCs w:val="24"/>
          <w:highlight w:val="none"/>
        </w:rPr>
      </w:pPr>
      <w:bookmarkStart w:id="136" w:name="_Toc23208"/>
      <w:r>
        <w:rPr>
          <w:rFonts w:hint="eastAsia" w:ascii="宋体" w:hAnsi="宋体" w:eastAsia="宋体" w:cs="宋体"/>
          <w:b/>
          <w:bCs/>
          <w:snapToGrid w:val="0"/>
          <w:color w:val="auto"/>
          <w:szCs w:val="24"/>
          <w:highlight w:val="none"/>
        </w:rPr>
        <w:t>7．招标文件的提问和答疑</w:t>
      </w:r>
      <w:bookmarkEnd w:id="125"/>
      <w:bookmarkEnd w:id="126"/>
      <w:bookmarkEnd w:id="127"/>
      <w:bookmarkEnd w:id="128"/>
      <w:bookmarkEnd w:id="129"/>
      <w:bookmarkEnd w:id="130"/>
      <w:bookmarkEnd w:id="131"/>
      <w:bookmarkEnd w:id="132"/>
      <w:bookmarkEnd w:id="133"/>
      <w:bookmarkEnd w:id="134"/>
      <w:bookmarkEnd w:id="135"/>
      <w:bookmarkEnd w:id="136"/>
      <w:bookmarkStart w:id="137" w:name="_Hlt74496410"/>
      <w:bookmarkEnd w:id="137"/>
    </w:p>
    <w:p w14:paraId="722AED1B">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highlight w:val="none"/>
        </w:rPr>
        <w:t>7.1</w:t>
      </w:r>
      <w:r>
        <w:rPr>
          <w:rFonts w:hint="eastAsia" w:ascii="宋体" w:hAnsi="宋体" w:eastAsia="宋体" w:cs="宋体"/>
          <w:snapToGrid w:val="0"/>
          <w:color w:val="auto"/>
          <w:kern w:val="0"/>
          <w:highlight w:val="none"/>
        </w:rPr>
        <w:t xml:space="preserve"> 投标人若对招标文件有疑问，应在提问截止时间（见本章第二节“重要事项时间地点一览表”）前使用建设工程交易系统提出问题。未在指定时间前、未采用指定方式提出的，招标人不予受理</w:t>
      </w:r>
      <w:r>
        <w:rPr>
          <w:rFonts w:hint="eastAsia" w:ascii="宋体" w:hAnsi="宋体" w:eastAsia="宋体" w:cs="宋体"/>
          <w:snapToGrid w:val="0"/>
          <w:color w:val="auto"/>
          <w:kern w:val="0"/>
          <w:szCs w:val="24"/>
          <w:highlight w:val="none"/>
        </w:rPr>
        <w:t>。</w:t>
      </w:r>
    </w:p>
    <w:p w14:paraId="0CA665AF">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7.2 </w:t>
      </w:r>
      <w:r>
        <w:rPr>
          <w:rFonts w:hint="eastAsia" w:ascii="宋体" w:hAnsi="宋体" w:eastAsia="宋体" w:cs="宋体"/>
          <w:snapToGrid w:val="0"/>
          <w:color w:val="auto"/>
          <w:kern w:val="0"/>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33105F3E">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7.3</w:t>
      </w:r>
      <w:r>
        <w:rPr>
          <w:rFonts w:hint="eastAsia" w:ascii="宋体" w:hAnsi="宋体" w:eastAsia="宋体" w:cs="宋体"/>
          <w:snapToGrid w:val="0"/>
          <w:color w:val="auto"/>
          <w:kern w:val="0"/>
          <w:highlight w:val="none"/>
        </w:rPr>
        <w:t xml:space="preserve"> 招标人对招标文件所作的答疑（或修改）公告，构成招标文件的组成部分。</w:t>
      </w:r>
    </w:p>
    <w:p w14:paraId="726E68ED">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p>
    <w:p w14:paraId="1D5C3F6C">
      <w:pPr>
        <w:pStyle w:val="12"/>
        <w:shd w:val="clear" w:color="auto" w:fill="auto"/>
        <w:jc w:val="left"/>
        <w:rPr>
          <w:rFonts w:hint="eastAsia" w:ascii="宋体" w:hAnsi="宋体" w:eastAsia="宋体" w:cs="宋体"/>
          <w:b/>
          <w:snapToGrid w:val="0"/>
          <w:color w:val="auto"/>
          <w:highlight w:val="none"/>
        </w:rPr>
      </w:pPr>
      <w:bookmarkStart w:id="138" w:name="_Hlt92513715"/>
      <w:bookmarkEnd w:id="138"/>
      <w:bookmarkStart w:id="139" w:name="_Hlt69699188"/>
      <w:bookmarkEnd w:id="139"/>
      <w:bookmarkStart w:id="140" w:name="_Hlt92513711"/>
      <w:bookmarkEnd w:id="140"/>
      <w:bookmarkStart w:id="141" w:name="_Toc3519"/>
      <w:bookmarkStart w:id="142" w:name="_Toc15770"/>
      <w:bookmarkStart w:id="143" w:name="_Toc18725"/>
      <w:bookmarkStart w:id="144" w:name="_Toc1345"/>
      <w:bookmarkStart w:id="145" w:name="_Toc32242"/>
      <w:bookmarkStart w:id="146" w:name="_Toc7759"/>
      <w:bookmarkStart w:id="147" w:name="_Toc957"/>
      <w:bookmarkStart w:id="148" w:name="_Toc24190"/>
      <w:bookmarkStart w:id="149" w:name="_Toc23139"/>
      <w:bookmarkStart w:id="150" w:name="_Toc21586"/>
      <w:bookmarkStart w:id="151" w:name="_Toc14436"/>
      <w:bookmarkStart w:id="152" w:name="_Toc29680"/>
      <w:r>
        <w:rPr>
          <w:rFonts w:hint="eastAsia" w:ascii="宋体" w:hAnsi="宋体" w:eastAsia="宋体" w:cs="宋体"/>
          <w:b/>
          <w:snapToGrid w:val="0"/>
          <w:color w:val="auto"/>
          <w:highlight w:val="none"/>
        </w:rPr>
        <w:t>8．最高投标限价</w:t>
      </w:r>
      <w:bookmarkEnd w:id="141"/>
      <w:bookmarkEnd w:id="142"/>
      <w:bookmarkEnd w:id="143"/>
      <w:bookmarkEnd w:id="144"/>
      <w:bookmarkEnd w:id="145"/>
      <w:bookmarkEnd w:id="146"/>
      <w:bookmarkEnd w:id="147"/>
      <w:bookmarkEnd w:id="148"/>
      <w:bookmarkEnd w:id="149"/>
      <w:bookmarkEnd w:id="150"/>
      <w:bookmarkEnd w:id="151"/>
    </w:p>
    <w:p w14:paraId="3D4FB9C1">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8.1</w:t>
      </w:r>
      <w:r>
        <w:rPr>
          <w:rFonts w:hint="eastAsia" w:ascii="宋体" w:hAnsi="宋体" w:eastAsia="宋体" w:cs="宋体"/>
          <w:snapToGrid w:val="0"/>
          <w:color w:val="auto"/>
          <w:kern w:val="0"/>
          <w:highlight w:val="none"/>
        </w:rPr>
        <w:t xml:space="preserve"> 本招标项目参考以下依据编制最高投标限价：</w:t>
      </w:r>
    </w:p>
    <w:p w14:paraId="251937F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（1）项目</w:t>
      </w:r>
      <w:r>
        <w:rPr>
          <w:rFonts w:hint="eastAsia" w:ascii="宋体" w:hAnsi="宋体" w:eastAsia="宋体" w:cs="宋体"/>
          <w:snapToGrid w:val="0"/>
          <w:color w:val="auto"/>
          <w:kern w:val="0"/>
          <w:highlight w:val="none"/>
          <w:u w:val="single"/>
        </w:rPr>
        <w:t>概算</w:t>
      </w:r>
      <w:r>
        <w:rPr>
          <w:rFonts w:hint="eastAsia" w:ascii="宋体" w:hAnsi="宋体" w:eastAsia="宋体" w:cs="宋体"/>
          <w:snapToGrid w:val="0"/>
          <w:color w:val="auto"/>
          <w:kern w:val="0"/>
          <w:highlight w:val="none"/>
        </w:rPr>
        <w:t>投资额</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lang w:val="en-US" w:eastAsia="zh-CN"/>
        </w:rPr>
        <w:t>参考建安费</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w:t>
      </w:r>
    </w:p>
    <w:p w14:paraId="4713AC6A">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（2）《建设工程监理与相关服务收费标准》；</w:t>
      </w:r>
    </w:p>
    <w:p w14:paraId="70D4B194">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（3）监理及相关服务内容；</w:t>
      </w:r>
    </w:p>
    <w:p w14:paraId="38D48B98">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（4）施工现场情况、工程特点；</w:t>
      </w:r>
    </w:p>
    <w:p w14:paraId="76E0C14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（5）项目所在地市场价格。</w:t>
      </w:r>
    </w:p>
    <w:p w14:paraId="583297F7">
      <w:pPr>
        <w:shd w:val="clear" w:color="auto" w:fill="auto"/>
        <w:wordWrap w:val="0"/>
        <w:adjustRightInd w:val="0"/>
        <w:snapToGrid w:val="0"/>
        <w:spacing w:line="440" w:lineRule="exact"/>
        <w:ind w:firstLine="482" w:firstLineChars="200"/>
        <w:rPr>
          <w:rFonts w:hint="eastAsia" w:ascii="宋体" w:hAnsi="宋体" w:eastAsia="宋体" w:cs="宋体"/>
          <w:b/>
          <w:snapToGrid w:val="0"/>
          <w:color w:val="auto"/>
          <w:highlight w:val="none"/>
          <w:u w:val="single"/>
          <w:lang w:val="en-US"/>
        </w:rPr>
      </w:pPr>
      <w:r>
        <w:rPr>
          <w:rFonts w:hint="eastAsia" w:ascii="宋体" w:hAnsi="宋体" w:eastAsia="宋体" w:cs="宋体"/>
          <w:b/>
          <w:bCs/>
          <w:snapToGrid w:val="0"/>
          <w:color w:val="auto"/>
          <w:kern w:val="0"/>
          <w:highlight w:val="none"/>
        </w:rPr>
        <w:t>8.2</w:t>
      </w:r>
      <w:r>
        <w:rPr>
          <w:rFonts w:hint="eastAsia" w:ascii="宋体" w:hAnsi="宋体" w:eastAsia="宋体" w:cs="宋体"/>
          <w:snapToGrid w:val="0"/>
          <w:color w:val="auto"/>
          <w:kern w:val="0"/>
          <w:highlight w:val="none"/>
        </w:rPr>
        <w:t xml:space="preserve"> </w:t>
      </w:r>
      <w:r>
        <w:rPr>
          <w:rFonts w:hint="eastAsia" w:ascii="宋体" w:hAnsi="宋体" w:eastAsia="宋体" w:cs="宋体"/>
          <w:color w:val="auto"/>
          <w:highlight w:val="none"/>
          <w:lang w:val="en-US" w:eastAsia="zh-CN"/>
        </w:rPr>
        <w:t>本项目最高投标限价</w:t>
      </w:r>
      <w:bookmarkStart w:id="153" w:name="_Toc18554"/>
      <w:bookmarkStart w:id="154" w:name="_Toc22817"/>
      <w:bookmarkStart w:id="155" w:name="_Toc9190"/>
      <w:bookmarkStart w:id="156" w:name="_Toc24249"/>
      <w:bookmarkStart w:id="157" w:name="_Toc5916"/>
      <w:bookmarkStart w:id="158" w:name="_Toc2756"/>
      <w:bookmarkStart w:id="159" w:name="_Toc26159"/>
      <w:bookmarkStart w:id="160" w:name="_Toc15920"/>
      <w:bookmarkStart w:id="161" w:name="_Toc21815"/>
      <w:bookmarkStart w:id="162" w:name="_Toc30700"/>
      <w:r>
        <w:rPr>
          <w:rFonts w:hint="eastAsia" w:ascii="宋体" w:hAnsi="宋体" w:eastAsia="宋体" w:cs="宋体"/>
          <w:color w:val="auto"/>
          <w:highlight w:val="none"/>
          <w:lang w:val="en-US" w:eastAsia="zh-CN"/>
        </w:rPr>
        <w:t>为人民币（大写）:</w:t>
      </w:r>
      <w:r>
        <w:rPr>
          <w:rFonts w:hint="eastAsia" w:hAnsi="宋体" w:cs="宋体"/>
          <w:color w:val="auto"/>
          <w:highlight w:val="none"/>
          <w:u w:val="single"/>
          <w:lang w:val="en-US" w:eastAsia="zh-CN"/>
        </w:rPr>
        <w:t>壹拾壹万元整</w:t>
      </w:r>
      <w:r>
        <w:rPr>
          <w:rFonts w:hint="eastAsia" w:ascii="宋体" w:hAnsi="宋体" w:eastAsia="宋体" w:cs="宋体"/>
          <w:color w:val="auto"/>
          <w:highlight w:val="none"/>
          <w:u w:val="single"/>
          <w:lang w:val="en-US" w:eastAsia="zh-CN"/>
        </w:rPr>
        <w:t>（小写：￥</w:t>
      </w:r>
      <w:r>
        <w:rPr>
          <w:rFonts w:hint="eastAsia" w:hAnsi="宋体" w:cs="宋体"/>
          <w:color w:val="auto"/>
          <w:highlight w:val="none"/>
          <w:u w:val="single"/>
          <w:lang w:val="en-US" w:eastAsia="zh-CN"/>
        </w:rPr>
        <w:t>110000.00</w:t>
      </w:r>
      <w:r>
        <w:rPr>
          <w:rFonts w:hint="eastAsia" w:ascii="宋体" w:hAnsi="宋体" w:eastAsia="宋体" w:cs="宋体"/>
          <w:color w:val="auto"/>
          <w:highlight w:val="none"/>
          <w:u w:val="single"/>
          <w:lang w:val="en-US" w:eastAsia="zh-CN"/>
        </w:rPr>
        <w:t>元），监理服务费投标取费费率上限为</w:t>
      </w:r>
      <w:r>
        <w:rPr>
          <w:rFonts w:hint="eastAsia" w:hAnsi="宋体" w:cs="宋体"/>
          <w:color w:val="auto"/>
          <w:highlight w:val="none"/>
          <w:u w:val="single"/>
          <w:lang w:val="en-US" w:eastAsia="zh-CN"/>
        </w:rPr>
        <w:t>2.591</w:t>
      </w:r>
      <w:r>
        <w:rPr>
          <w:rFonts w:hint="eastAsia" w:ascii="宋体" w:hAnsi="宋体" w:eastAsia="宋体" w:cs="宋体"/>
          <w:color w:val="auto"/>
          <w:highlight w:val="none"/>
          <w:u w:val="single"/>
          <w:lang w:val="en-US" w:eastAsia="zh-CN"/>
        </w:rPr>
        <w:t>%。</w:t>
      </w:r>
    </w:p>
    <w:p w14:paraId="2FC831F0">
      <w:pPr>
        <w:pStyle w:val="12"/>
        <w:shd w:val="clear" w:color="auto" w:fill="auto"/>
        <w:jc w:val="left"/>
        <w:rPr>
          <w:rFonts w:hint="eastAsia" w:ascii="宋体" w:hAnsi="宋体" w:eastAsia="宋体" w:cs="宋体"/>
          <w:b/>
          <w:snapToGrid w:val="0"/>
          <w:color w:val="auto"/>
          <w:highlight w:val="none"/>
        </w:rPr>
      </w:pPr>
      <w:bookmarkStart w:id="163" w:name="_Toc22072"/>
      <w:r>
        <w:rPr>
          <w:rFonts w:hint="eastAsia" w:ascii="宋体" w:hAnsi="宋体" w:eastAsia="宋体" w:cs="宋体"/>
          <w:b/>
          <w:snapToGrid w:val="0"/>
          <w:color w:val="auto"/>
          <w:highlight w:val="none"/>
        </w:rPr>
        <w:t>9．投标报价</w:t>
      </w:r>
      <w:bookmarkEnd w:id="152"/>
      <w:bookmarkEnd w:id="153"/>
      <w:bookmarkEnd w:id="154"/>
      <w:bookmarkEnd w:id="155"/>
      <w:bookmarkEnd w:id="156"/>
      <w:bookmarkEnd w:id="157"/>
      <w:bookmarkEnd w:id="158"/>
      <w:bookmarkEnd w:id="159"/>
      <w:bookmarkEnd w:id="160"/>
      <w:bookmarkEnd w:id="161"/>
      <w:bookmarkEnd w:id="162"/>
      <w:bookmarkEnd w:id="163"/>
      <w:bookmarkStart w:id="164" w:name="_Hlt74498519"/>
      <w:bookmarkEnd w:id="164"/>
    </w:p>
    <w:p w14:paraId="55C7BC05">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9.1</w:t>
      </w:r>
      <w:r>
        <w:rPr>
          <w:rFonts w:hint="eastAsia" w:ascii="宋体" w:hAnsi="宋体" w:eastAsia="宋体" w:cs="宋体"/>
          <w:snapToGrid w:val="0"/>
          <w:color w:val="auto"/>
          <w:kern w:val="0"/>
          <w:highlight w:val="none"/>
        </w:rPr>
        <w:t xml:space="preserve"> 本次招标采用填报</w:t>
      </w:r>
      <w:r>
        <w:rPr>
          <w:rFonts w:hint="eastAsia" w:ascii="宋体" w:hAnsi="宋体" w:eastAsia="宋体" w:cs="宋体"/>
          <w:snapToGrid w:val="0"/>
          <w:color w:val="auto"/>
          <w:kern w:val="0"/>
          <w:highlight w:val="none"/>
          <w:u w:val="single"/>
        </w:rPr>
        <w:t>投标报价及取费费率</w:t>
      </w:r>
      <w:r>
        <w:rPr>
          <w:rFonts w:hint="eastAsia" w:ascii="宋体" w:hAnsi="宋体" w:eastAsia="宋体" w:cs="宋体"/>
          <w:snapToGrid w:val="0"/>
          <w:color w:val="auto"/>
          <w:kern w:val="0"/>
          <w:highlight w:val="none"/>
        </w:rPr>
        <w:t>的方式进行报价。投标人应在《投标函》（格式二）中进行报价并填写《监理及相关服务报酬清单》（格式十</w:t>
      </w:r>
      <w:r>
        <w:rPr>
          <w:rFonts w:hint="eastAsia" w:ascii="宋体" w:hAnsi="宋体" w:eastAsia="宋体" w:cs="宋体"/>
          <w:snapToGrid w:val="0"/>
          <w:color w:val="auto"/>
          <w:kern w:val="0"/>
          <w:highlight w:val="none"/>
          <w:lang w:val="en-US" w:eastAsia="zh-CN"/>
        </w:rPr>
        <w:t>三</w:t>
      </w:r>
      <w:r>
        <w:rPr>
          <w:rFonts w:hint="eastAsia" w:ascii="宋体" w:hAnsi="宋体" w:eastAsia="宋体" w:cs="宋体"/>
          <w:snapToGrid w:val="0"/>
          <w:color w:val="auto"/>
          <w:kern w:val="0"/>
          <w:highlight w:val="none"/>
        </w:rPr>
        <w:t>）。</w:t>
      </w:r>
    </w:p>
    <w:p w14:paraId="63234DCC">
      <w:pPr>
        <w:shd w:val="clear" w:color="auto" w:fill="auto"/>
        <w:wordWrap w:val="0"/>
        <w:adjustRightInd w:val="0"/>
        <w:snapToGrid w:val="0"/>
        <w:spacing w:line="440" w:lineRule="exact"/>
        <w:ind w:firstLine="482" w:firstLineChars="200"/>
        <w:rPr>
          <w:rFonts w:hint="eastAsia" w:ascii="宋体" w:hAnsi="宋体" w:eastAsia="宋体" w:cs="宋体"/>
          <w:b w:val="0"/>
          <w:bCs w:val="0"/>
          <w:snapToGrid w:val="0"/>
          <w:color w:val="auto"/>
          <w:kern w:val="0"/>
          <w:highlight w:val="none"/>
        </w:rPr>
      </w:pPr>
      <w:r>
        <w:rPr>
          <w:rFonts w:hint="eastAsia" w:ascii="宋体" w:hAnsi="宋体" w:eastAsia="宋体" w:cs="宋体"/>
          <w:b/>
          <w:bCs/>
          <w:snapToGrid w:val="0"/>
          <w:color w:val="auto"/>
          <w:kern w:val="0"/>
          <w:highlight w:val="none"/>
        </w:rPr>
        <w:t>9.2</w:t>
      </w:r>
      <w:r>
        <w:rPr>
          <w:rFonts w:hint="eastAsia" w:ascii="宋体" w:hAnsi="宋体" w:eastAsia="宋体" w:cs="宋体"/>
          <w:snapToGrid w:val="0"/>
          <w:color w:val="auto"/>
          <w:kern w:val="0"/>
          <w:highlight w:val="none"/>
        </w:rPr>
        <w:t xml:space="preserve"> 所有报价均以人民币“元”为单位，并</w:t>
      </w:r>
      <w:r>
        <w:rPr>
          <w:rFonts w:hint="eastAsia" w:ascii="宋体" w:hAnsi="宋体" w:eastAsia="宋体" w:cs="宋体"/>
          <w:snapToGrid w:val="0"/>
          <w:color w:val="auto"/>
          <w:kern w:val="0"/>
          <w:highlight w:val="none"/>
          <w:lang w:val="en-US" w:eastAsia="zh-CN"/>
        </w:rPr>
        <w:t>按“四舍五入”原则精确到</w:t>
      </w:r>
      <w:r>
        <w:rPr>
          <w:rFonts w:hint="eastAsia" w:ascii="宋体" w:hAnsi="宋体" w:eastAsia="宋体" w:cs="宋体"/>
          <w:snapToGrid w:val="0"/>
          <w:color w:val="auto"/>
          <w:kern w:val="0"/>
          <w:highlight w:val="none"/>
        </w:rPr>
        <w:t>两位小数；</w:t>
      </w:r>
      <w:r>
        <w:rPr>
          <w:rFonts w:hint="eastAsia" w:ascii="宋体" w:hAnsi="宋体" w:eastAsia="宋体" w:cs="宋体"/>
          <w:b/>
          <w:bCs/>
          <w:snapToGrid w:val="0"/>
          <w:color w:val="auto"/>
          <w:kern w:val="0"/>
          <w:highlight w:val="none"/>
        </w:rPr>
        <w:t>投标取费费率＝投标总价÷建安工程费暂定价×100%，</w:t>
      </w:r>
      <w:r>
        <w:rPr>
          <w:rFonts w:hint="eastAsia" w:ascii="宋体" w:hAnsi="宋体" w:eastAsia="宋体" w:cs="宋体"/>
          <w:b w:val="0"/>
          <w:bCs w:val="0"/>
          <w:snapToGrid w:val="0"/>
          <w:color w:val="auto"/>
          <w:kern w:val="0"/>
          <w:highlight w:val="none"/>
        </w:rPr>
        <w:t>并</w:t>
      </w:r>
      <w:r>
        <w:rPr>
          <w:rFonts w:hint="eastAsia" w:ascii="宋体" w:hAnsi="宋体" w:eastAsia="宋体" w:cs="宋体"/>
          <w:b w:val="0"/>
          <w:bCs w:val="0"/>
          <w:snapToGrid w:val="0"/>
          <w:color w:val="auto"/>
          <w:kern w:val="0"/>
          <w:highlight w:val="none"/>
          <w:lang w:val="en-US" w:eastAsia="zh-CN"/>
        </w:rPr>
        <w:t>按“四舍五入”原则精确到</w:t>
      </w:r>
      <w:r>
        <w:rPr>
          <w:rFonts w:hint="eastAsia" w:ascii="宋体" w:hAnsi="宋体" w:eastAsia="宋体" w:cs="宋体"/>
          <w:b w:val="0"/>
          <w:bCs w:val="0"/>
          <w:snapToGrid w:val="0"/>
          <w:color w:val="auto"/>
          <w:kern w:val="0"/>
          <w:highlight w:val="none"/>
          <w:u w:val="single"/>
        </w:rPr>
        <w:t xml:space="preserve"> </w:t>
      </w:r>
      <w:r>
        <w:rPr>
          <w:rFonts w:hint="eastAsia" w:ascii="宋体" w:hAnsi="宋体" w:eastAsia="宋体" w:cs="宋体"/>
          <w:b w:val="0"/>
          <w:bCs w:val="0"/>
          <w:snapToGrid w:val="0"/>
          <w:color w:val="auto"/>
          <w:kern w:val="0"/>
          <w:highlight w:val="none"/>
          <w:u w:val="single"/>
          <w:lang w:val="en-US" w:eastAsia="zh-CN"/>
        </w:rPr>
        <w:t>三</w:t>
      </w:r>
      <w:r>
        <w:rPr>
          <w:rFonts w:hint="eastAsia" w:ascii="宋体" w:hAnsi="宋体" w:eastAsia="宋体" w:cs="宋体"/>
          <w:b w:val="0"/>
          <w:bCs w:val="0"/>
          <w:snapToGrid w:val="0"/>
          <w:color w:val="auto"/>
          <w:kern w:val="0"/>
          <w:highlight w:val="none"/>
          <w:u w:val="single"/>
        </w:rPr>
        <w:t xml:space="preserve"> </w:t>
      </w:r>
      <w:r>
        <w:rPr>
          <w:rFonts w:hint="eastAsia" w:ascii="宋体" w:hAnsi="宋体" w:eastAsia="宋体" w:cs="宋体"/>
          <w:b w:val="0"/>
          <w:bCs w:val="0"/>
          <w:snapToGrid w:val="0"/>
          <w:color w:val="auto"/>
          <w:kern w:val="0"/>
          <w:highlight w:val="none"/>
        </w:rPr>
        <w:t>位小数。</w:t>
      </w:r>
    </w:p>
    <w:p w14:paraId="46C7D523">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本项目的建安工程费暂定价为人民币</w:t>
      </w:r>
      <w:r>
        <w:rPr>
          <w:rFonts w:hint="eastAsia" w:ascii="宋体" w:hAnsi="宋体" w:eastAsia="宋体" w:cs="宋体"/>
          <w:b/>
          <w:bCs/>
          <w:snapToGrid w:val="0"/>
          <w:color w:val="auto"/>
          <w:kern w:val="0"/>
          <w:highlight w:val="none"/>
          <w:lang w:eastAsia="zh-CN"/>
        </w:rPr>
        <w:t>4244981.99</w:t>
      </w:r>
      <w:r>
        <w:rPr>
          <w:rFonts w:hint="eastAsia" w:ascii="宋体" w:hAnsi="宋体" w:eastAsia="宋体" w:cs="宋体"/>
          <w:b/>
          <w:bCs/>
          <w:snapToGrid w:val="0"/>
          <w:color w:val="auto"/>
          <w:kern w:val="0"/>
          <w:highlight w:val="none"/>
        </w:rPr>
        <w:t>元。</w:t>
      </w:r>
    </w:p>
    <w:p w14:paraId="1A31CBDA">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9.3</w:t>
      </w:r>
      <w:r>
        <w:rPr>
          <w:rFonts w:hint="eastAsia" w:ascii="宋体" w:hAnsi="宋体" w:eastAsia="宋体" w:cs="宋体"/>
          <w:snapToGrid w:val="0"/>
          <w:color w:val="auto"/>
          <w:kern w:val="0"/>
          <w:highlight w:val="none"/>
        </w:rPr>
        <w:t xml:space="preserve"> 投标人只允许有一个投标总价。投标总价必须同时用大、小写表示，大、小写报价应保持一致，若不一致，以大写报价为准。</w:t>
      </w:r>
    </w:p>
    <w:p w14:paraId="57B90227">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lang w:eastAsia="zh-CN"/>
        </w:rPr>
      </w:pPr>
      <w:r>
        <w:rPr>
          <w:rFonts w:hint="eastAsia" w:ascii="宋体" w:hAnsi="宋体" w:eastAsia="宋体" w:cs="宋体"/>
          <w:b/>
          <w:bCs/>
          <w:snapToGrid w:val="0"/>
          <w:color w:val="auto"/>
          <w:kern w:val="0"/>
          <w:highlight w:val="none"/>
        </w:rPr>
        <w:t>9.</w:t>
      </w:r>
      <w:r>
        <w:rPr>
          <w:rFonts w:hint="eastAsia" w:ascii="宋体" w:hAnsi="宋体" w:eastAsia="宋体" w:cs="宋体"/>
          <w:b/>
          <w:bCs/>
          <w:snapToGrid w:val="0"/>
          <w:color w:val="auto"/>
          <w:kern w:val="0"/>
          <w:highlight w:val="none"/>
          <w:lang w:val="en-US" w:eastAsia="zh-CN"/>
        </w:rPr>
        <w:t>4</w:t>
      </w:r>
      <w:r>
        <w:rPr>
          <w:rFonts w:hint="eastAsia" w:ascii="宋体" w:hAnsi="宋体" w:eastAsia="宋体" w:cs="宋体"/>
          <w:snapToGrid w:val="0"/>
          <w:color w:val="auto"/>
          <w:kern w:val="0"/>
          <w:highlight w:val="none"/>
        </w:rPr>
        <w:t xml:space="preserve"> 投标总价应包括国家规定的增值税税金。本次招标增值税税金按</w:t>
      </w:r>
      <w:r>
        <w:rPr>
          <w:rFonts w:hint="eastAsia" w:ascii="宋体" w:hAnsi="宋体" w:eastAsia="宋体" w:cs="宋体"/>
          <w:snapToGrid w:val="0"/>
          <w:color w:val="auto"/>
          <w:kern w:val="0"/>
          <w:highlight w:val="none"/>
          <w:u w:val="single"/>
        </w:rPr>
        <w:t xml:space="preserve"> 一般 </w:t>
      </w:r>
      <w:r>
        <w:rPr>
          <w:rFonts w:hint="eastAsia" w:ascii="宋体" w:hAnsi="宋体" w:eastAsia="宋体" w:cs="宋体"/>
          <w:snapToGrid w:val="0"/>
          <w:color w:val="auto"/>
          <w:kern w:val="0"/>
          <w:highlight w:val="none"/>
        </w:rPr>
        <w:t>计税方法计算</w:t>
      </w:r>
      <w:r>
        <w:rPr>
          <w:rFonts w:hint="eastAsia" w:ascii="宋体" w:hAnsi="宋体" w:eastAsia="宋体" w:cs="宋体"/>
          <w:snapToGrid w:val="0"/>
          <w:color w:val="auto"/>
          <w:kern w:val="0"/>
          <w:highlight w:val="none"/>
          <w:lang w:eastAsia="zh-CN"/>
        </w:rPr>
        <w:t>。</w:t>
      </w:r>
    </w:p>
    <w:p w14:paraId="2C8C7AEE">
      <w:pPr>
        <w:shd w:val="clear" w:color="auto" w:fill="auto"/>
        <w:wordWrap w:val="0"/>
        <w:adjustRightInd w:val="0"/>
        <w:snapToGrid w:val="0"/>
        <w:spacing w:line="440" w:lineRule="exact"/>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9.</w:t>
      </w:r>
      <w:r>
        <w:rPr>
          <w:rFonts w:hint="eastAsia" w:ascii="宋体" w:hAnsi="宋体" w:eastAsia="宋体" w:cs="宋体"/>
          <w:b/>
          <w:bCs/>
          <w:snapToGrid w:val="0"/>
          <w:color w:val="auto"/>
          <w:kern w:val="0"/>
          <w:highlight w:val="none"/>
          <w:lang w:val="en-US" w:eastAsia="zh-CN"/>
        </w:rPr>
        <w:t>5</w:t>
      </w:r>
      <w:r>
        <w:rPr>
          <w:rFonts w:hint="eastAsia" w:ascii="宋体" w:hAnsi="宋体" w:eastAsia="宋体" w:cs="宋体"/>
          <w:snapToGrid w:val="0"/>
          <w:color w:val="auto"/>
          <w:kern w:val="0"/>
          <w:highlight w:val="none"/>
        </w:rPr>
        <w:t xml:space="preserve"> 投标总价不得高于最高投标限价，也不得低于成本。投标总价的所有优惠（降价、让利等），均应在《监理及相关服务报酬清单》（格式十</w:t>
      </w:r>
      <w:r>
        <w:rPr>
          <w:rFonts w:hint="eastAsia" w:ascii="宋体" w:hAnsi="宋体" w:eastAsia="宋体" w:cs="宋体"/>
          <w:snapToGrid w:val="0"/>
          <w:color w:val="auto"/>
          <w:kern w:val="0"/>
          <w:highlight w:val="none"/>
          <w:lang w:val="en-US" w:eastAsia="zh-CN"/>
        </w:rPr>
        <w:t>三</w:t>
      </w:r>
      <w:r>
        <w:rPr>
          <w:rFonts w:hint="eastAsia" w:ascii="宋体" w:hAnsi="宋体" w:eastAsia="宋体" w:cs="宋体"/>
          <w:snapToGrid w:val="0"/>
          <w:color w:val="auto"/>
          <w:kern w:val="0"/>
          <w:highlight w:val="none"/>
        </w:rPr>
        <w:t>）中反映。</w:t>
      </w:r>
    </w:p>
    <w:p w14:paraId="035B5227">
      <w:pPr>
        <w:shd w:val="clear" w:color="auto" w:fill="auto"/>
        <w:wordWrap w:val="0"/>
        <w:adjustRightInd w:val="0"/>
        <w:snapToGrid w:val="0"/>
        <w:spacing w:line="440" w:lineRule="exact"/>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9.</w:t>
      </w:r>
      <w:r>
        <w:rPr>
          <w:rFonts w:hint="eastAsia" w:ascii="宋体" w:hAnsi="宋体" w:eastAsia="宋体" w:cs="宋体"/>
          <w:b/>
          <w:bCs/>
          <w:snapToGrid w:val="0"/>
          <w:color w:val="auto"/>
          <w:kern w:val="0"/>
          <w:highlight w:val="none"/>
          <w:lang w:val="en-US" w:eastAsia="zh-CN"/>
        </w:rPr>
        <w:t>6</w:t>
      </w:r>
      <w:r>
        <w:rPr>
          <w:rFonts w:hint="eastAsia" w:ascii="宋体" w:hAnsi="宋体" w:eastAsia="宋体" w:cs="宋体"/>
          <w:snapToGrid w:val="0"/>
          <w:color w:val="auto"/>
          <w:kern w:val="0"/>
          <w:highlight w:val="none"/>
        </w:rPr>
        <w:t xml:space="preserve"> 投标人应充分了解招标项目的总体情况以及影响投标报价的其他要素。</w:t>
      </w:r>
    </w:p>
    <w:p w14:paraId="15C29264">
      <w:pPr>
        <w:keepNext w:val="0"/>
        <w:keepLines w:val="0"/>
        <w:pageBreakBefore w:val="0"/>
        <w:wordWrap w:val="0"/>
        <w:topLinePunct w:val="0"/>
        <w:bidi w:val="0"/>
        <w:adjustRightInd w:val="0"/>
        <w:snapToGrid w:val="0"/>
        <w:spacing w:line="500" w:lineRule="exact"/>
        <w:ind w:firstLine="482" w:firstLineChars="200"/>
        <w:textAlignment w:val="auto"/>
        <w:rPr>
          <w:rFonts w:hint="eastAsia" w:ascii="宋体" w:hAnsi="宋体" w:eastAsia="宋体" w:cs="宋体"/>
          <w:b/>
          <w:snapToGrid w:val="0"/>
          <w:color w:val="auto"/>
          <w:szCs w:val="24"/>
          <w:highlight w:val="none"/>
        </w:rPr>
      </w:pPr>
      <w:bookmarkStart w:id="165" w:name="_（十）投标文件的编制、包装、密封"/>
      <w:bookmarkEnd w:id="165"/>
      <w:bookmarkStart w:id="166" w:name="_Toc7646"/>
      <w:bookmarkStart w:id="167" w:name="_Toc28199"/>
      <w:bookmarkStart w:id="168" w:name="_Toc25728"/>
      <w:bookmarkStart w:id="169" w:name="_Toc22075"/>
      <w:bookmarkStart w:id="170" w:name="_Toc1394"/>
      <w:bookmarkStart w:id="171" w:name="_Toc28889"/>
      <w:bookmarkStart w:id="172" w:name="_Toc15831"/>
      <w:bookmarkStart w:id="173" w:name="_Toc21396"/>
      <w:bookmarkStart w:id="174" w:name="_Toc28756"/>
      <w:bookmarkStart w:id="175" w:name="_Toc15406"/>
      <w:bookmarkStart w:id="176" w:name="_Toc11933"/>
      <w:bookmarkStart w:id="177" w:name="_Toc27146"/>
      <w:r>
        <w:rPr>
          <w:rFonts w:hint="eastAsia" w:ascii="宋体" w:hAnsi="宋体" w:eastAsia="宋体" w:cs="宋体"/>
          <w:b/>
          <w:bCs/>
          <w:snapToGrid w:val="0"/>
          <w:color w:val="auto"/>
          <w:kern w:val="0"/>
          <w:szCs w:val="24"/>
          <w:highlight w:val="none"/>
        </w:rPr>
        <w:t>9.</w:t>
      </w:r>
      <w:r>
        <w:rPr>
          <w:rFonts w:hint="eastAsia" w:ascii="宋体" w:hAnsi="宋体" w:eastAsia="宋体" w:cs="宋体"/>
          <w:b/>
          <w:bCs/>
          <w:snapToGrid w:val="0"/>
          <w:color w:val="auto"/>
          <w:kern w:val="0"/>
          <w:szCs w:val="24"/>
          <w:highlight w:val="none"/>
          <w:lang w:val="en-US" w:eastAsia="zh-CN"/>
        </w:rPr>
        <w:t xml:space="preserve">7 </w:t>
      </w:r>
      <w:r>
        <w:rPr>
          <w:rFonts w:hint="eastAsia" w:ascii="宋体" w:hAnsi="宋体" w:eastAsia="宋体" w:cs="宋体"/>
          <w:snapToGrid w:val="0"/>
          <w:color w:val="auto"/>
          <w:kern w:val="0"/>
          <w:szCs w:val="24"/>
          <w:highlight w:val="none"/>
        </w:rPr>
        <w:t>投标人应充分了解招标项目的总体情况以及影响投标报价的其他要素。</w:t>
      </w:r>
    </w:p>
    <w:p w14:paraId="1B37DCA6">
      <w:pPr>
        <w:pStyle w:val="12"/>
        <w:shd w:val="clear" w:color="auto" w:fill="auto"/>
        <w:jc w:val="left"/>
        <w:rPr>
          <w:rFonts w:hint="eastAsia" w:ascii="宋体" w:hAnsi="宋体" w:eastAsia="宋体" w:cs="宋体"/>
          <w:b/>
          <w:snapToGrid w:val="0"/>
          <w:color w:val="auto"/>
          <w:highlight w:val="none"/>
        </w:rPr>
      </w:pPr>
    </w:p>
    <w:p w14:paraId="14DF6670">
      <w:pPr>
        <w:pStyle w:val="12"/>
        <w:shd w:val="clear" w:color="auto" w:fill="auto"/>
        <w:jc w:val="left"/>
        <w:rPr>
          <w:rFonts w:hint="eastAsia" w:ascii="宋体" w:hAnsi="宋体" w:eastAsia="宋体" w:cs="宋体"/>
          <w:b/>
          <w:strike/>
          <w:snapToGrid w:val="0"/>
          <w:color w:val="auto"/>
          <w:highlight w:val="none"/>
        </w:rPr>
      </w:pPr>
      <w:r>
        <w:rPr>
          <w:rFonts w:hint="eastAsia" w:ascii="宋体" w:hAnsi="宋体" w:eastAsia="宋体" w:cs="宋体"/>
          <w:b/>
          <w:snapToGrid w:val="0"/>
          <w:color w:val="auto"/>
          <w:highlight w:val="none"/>
        </w:rPr>
        <w:t>10．投标文件的编制</w:t>
      </w:r>
      <w:bookmarkStart w:id="178" w:name="_Hlt69332370"/>
      <w:bookmarkEnd w:id="178"/>
      <w:bookmarkStart w:id="179" w:name="_Hlt69208262"/>
      <w:bookmarkEnd w:id="179"/>
      <w:r>
        <w:rPr>
          <w:rFonts w:hint="eastAsia" w:ascii="宋体" w:hAnsi="宋体" w:eastAsia="宋体" w:cs="宋体"/>
          <w:b/>
          <w:snapToGrid w:val="0"/>
          <w:color w:val="auto"/>
          <w:highlight w:val="none"/>
        </w:rPr>
        <w:t>要求</w:t>
      </w:r>
      <w:bookmarkEnd w:id="166"/>
      <w:bookmarkEnd w:id="167"/>
      <w:bookmarkEnd w:id="168"/>
      <w:bookmarkEnd w:id="169"/>
      <w:bookmarkEnd w:id="170"/>
      <w:bookmarkEnd w:id="171"/>
      <w:bookmarkEnd w:id="172"/>
      <w:bookmarkEnd w:id="173"/>
      <w:bookmarkEnd w:id="174"/>
      <w:bookmarkEnd w:id="175"/>
      <w:bookmarkEnd w:id="176"/>
      <w:bookmarkEnd w:id="177"/>
      <w:bookmarkStart w:id="180" w:name="_Hlt78768224"/>
      <w:bookmarkEnd w:id="180"/>
      <w:bookmarkStart w:id="181" w:name="_Hlt74497202"/>
      <w:bookmarkEnd w:id="181"/>
      <w:bookmarkStart w:id="182" w:name="_Hlt74495594"/>
      <w:bookmarkEnd w:id="182"/>
      <w:bookmarkStart w:id="183" w:name="_Toc17114"/>
    </w:p>
    <w:p w14:paraId="211AB10F">
      <w:pPr>
        <w:shd w:val="clear" w:color="auto" w:fill="auto"/>
        <w:wordWrap w:val="0"/>
        <w:adjustRightInd w:val="0"/>
        <w:snapToGrid w:val="0"/>
        <w:spacing w:line="440" w:lineRule="exact"/>
        <w:ind w:firstLine="482" w:firstLineChars="200"/>
        <w:rPr>
          <w:rFonts w:hint="eastAsia" w:ascii="宋体" w:hAnsi="宋体" w:eastAsia="宋体" w:cs="宋体"/>
          <w:b/>
          <w:snapToGrid w:val="0"/>
          <w:color w:val="auto"/>
          <w:kern w:val="0"/>
          <w:highlight w:val="none"/>
        </w:rPr>
      </w:pPr>
      <w:bookmarkStart w:id="184" w:name="_Toc7699"/>
      <w:r>
        <w:rPr>
          <w:rFonts w:hint="eastAsia" w:ascii="宋体" w:hAnsi="宋体" w:eastAsia="宋体" w:cs="宋体"/>
          <w:b/>
          <w:bCs/>
          <w:snapToGrid w:val="0"/>
          <w:color w:val="auto"/>
          <w:kern w:val="0"/>
          <w:highlight w:val="none"/>
        </w:rPr>
        <w:t>10.1</w:t>
      </w:r>
      <w:r>
        <w:rPr>
          <w:rFonts w:hint="eastAsia" w:ascii="宋体" w:hAnsi="宋体" w:eastAsia="宋体" w:cs="宋体"/>
          <w:bCs/>
          <w:snapToGrid w:val="0"/>
          <w:color w:val="auto"/>
          <w:kern w:val="0"/>
          <w:highlight w:val="none"/>
        </w:rPr>
        <w:t xml:space="preserve"> 一般要求</w:t>
      </w:r>
      <w:bookmarkEnd w:id="183"/>
      <w:bookmarkEnd w:id="184"/>
    </w:p>
    <w:p w14:paraId="497254C4">
      <w:pPr>
        <w:pStyle w:val="18"/>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投标文件应按第六章投标文件格式规定的内容，投标人提交的投标文件应当使用招标文件所提供的投标文件全部格式。</w:t>
      </w:r>
    </w:p>
    <w:p w14:paraId="72919DCC">
      <w:pPr>
        <w:pStyle w:val="18"/>
        <w:shd w:val="clear" w:color="auto" w:fill="auto"/>
        <w:wordWrap w:val="0"/>
        <w:adjustRightInd w:val="0"/>
        <w:snapToGrid w:val="0"/>
        <w:spacing w:line="440" w:lineRule="exact"/>
        <w:ind w:firstLineChars="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10.1.1</w:t>
      </w:r>
      <w:r>
        <w:rPr>
          <w:rFonts w:hint="eastAsia" w:ascii="宋体" w:hAnsi="宋体" w:eastAsia="宋体" w:cs="宋体"/>
          <w:snapToGrid w:val="0"/>
          <w:color w:val="auto"/>
          <w:kern w:val="0"/>
          <w:highlight w:val="none"/>
        </w:rPr>
        <w:t xml:space="preserve"> 投标人必须响应招标文件，并在充分理解招标人提供的全部文件、设计图纸、资料及现场条件的基础上编制投标文件。因投标文件不符合招标文件的要求而造成的损失和后果，由投标人自行承担。</w:t>
      </w:r>
      <w:bookmarkStart w:id="185" w:name="_Hlt74496890"/>
      <w:bookmarkEnd w:id="185"/>
    </w:p>
    <w:p w14:paraId="46C3446A">
      <w:pPr>
        <w:pStyle w:val="18"/>
        <w:shd w:val="clear" w:color="auto" w:fill="auto"/>
        <w:wordWrap w:val="0"/>
        <w:adjustRightInd w:val="0"/>
        <w:snapToGrid w:val="0"/>
        <w:spacing w:line="440" w:lineRule="exact"/>
        <w:ind w:firstLineChars="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10.1.2</w:t>
      </w:r>
      <w:r>
        <w:rPr>
          <w:rFonts w:hint="eastAsia" w:ascii="宋体" w:hAnsi="宋体" w:eastAsia="宋体" w:cs="宋体"/>
          <w:snapToGrid w:val="0"/>
          <w:color w:val="auto"/>
          <w:kern w:val="0"/>
          <w:highlight w:val="none"/>
        </w:rPr>
        <w:t xml:space="preserve"> 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w:t>
      </w:r>
      <w:r>
        <w:rPr>
          <w:rFonts w:hint="eastAsia" w:ascii="宋体" w:hAnsi="宋体" w:eastAsia="宋体" w:cs="宋体"/>
          <w:snapToGrid w:val="0"/>
          <w:color w:val="auto"/>
          <w:kern w:val="0"/>
          <w:highlight w:val="none"/>
          <w:lang w:eastAsia="zh-CN"/>
        </w:rPr>
        <w:t>全国公共资源交易平台 （广东省·韶关市）（https://ygp.gdzwfw.gov.cn/ggzy-portal/#/440200/index）</w:t>
      </w:r>
      <w:r>
        <w:rPr>
          <w:rFonts w:hint="eastAsia" w:ascii="宋体" w:hAnsi="宋体" w:eastAsia="宋体" w:cs="宋体"/>
          <w:snapToGrid w:val="0"/>
          <w:color w:val="auto"/>
          <w:kern w:val="0"/>
          <w:highlight w:val="none"/>
        </w:rPr>
        <w:t>交易指引。</w:t>
      </w:r>
    </w:p>
    <w:p w14:paraId="0DF4ABD7">
      <w:pPr>
        <w:pStyle w:val="18"/>
        <w:shd w:val="clear" w:color="auto" w:fill="auto"/>
        <w:wordWrap w:val="0"/>
        <w:adjustRightInd w:val="0"/>
        <w:snapToGrid w:val="0"/>
        <w:spacing w:line="440" w:lineRule="exact"/>
        <w:ind w:firstLineChars="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10.1.3</w:t>
      </w:r>
      <w:r>
        <w:rPr>
          <w:rFonts w:hint="eastAsia" w:ascii="宋体" w:hAnsi="宋体" w:eastAsia="宋体" w:cs="宋体"/>
          <w:snapToGrid w:val="0"/>
          <w:color w:val="auto"/>
          <w:kern w:val="0"/>
          <w:highlight w:val="none"/>
        </w:rPr>
        <w:t xml:space="preserve"> 投标文件需按以下要求签字、盖章：</w:t>
      </w:r>
    </w:p>
    <w:p w14:paraId="7FBD4475">
      <w:pPr>
        <w:pStyle w:val="18"/>
        <w:shd w:val="clear" w:color="auto" w:fill="auto"/>
        <w:wordWrap w:val="0"/>
        <w:adjustRightInd w:val="0"/>
        <w:snapToGrid w:val="0"/>
        <w:spacing w:line="440" w:lineRule="exact"/>
        <w:ind w:firstLineChars="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10.1.3.1</w:t>
      </w:r>
      <w:r>
        <w:rPr>
          <w:rFonts w:hint="eastAsia" w:ascii="宋体" w:hAnsi="宋体" w:eastAsia="宋体" w:cs="宋体"/>
          <w:snapToGrid w:val="0"/>
          <w:color w:val="auto"/>
          <w:kern w:val="0"/>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1764AA91">
      <w:pPr>
        <w:pStyle w:val="18"/>
        <w:shd w:val="clear" w:color="auto" w:fill="auto"/>
        <w:wordWrap w:val="0"/>
        <w:adjustRightInd w:val="0"/>
        <w:snapToGrid w:val="0"/>
        <w:spacing w:line="440" w:lineRule="exact"/>
        <w:ind w:firstLineChars="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10.1.3.2</w:t>
      </w:r>
      <w:r>
        <w:rPr>
          <w:rFonts w:hint="eastAsia" w:ascii="宋体" w:hAnsi="宋体" w:eastAsia="宋体" w:cs="宋体"/>
          <w:snapToGrid w:val="0"/>
          <w:color w:val="auto"/>
          <w:kern w:val="0"/>
          <w:highlight w:val="none"/>
        </w:rPr>
        <w:t xml:space="preserve"> 投标文件封套、封面、组成内容中凡要求录入投标人名称且注明“盖单位章”处盖单位法人公章（电子印章）。</w:t>
      </w:r>
    </w:p>
    <w:p w14:paraId="02019FF1">
      <w:pPr>
        <w:pStyle w:val="18"/>
        <w:shd w:val="clear" w:color="auto" w:fill="auto"/>
        <w:wordWrap w:val="0"/>
        <w:adjustRightInd w:val="0"/>
        <w:snapToGrid w:val="0"/>
        <w:spacing w:line="440" w:lineRule="exact"/>
        <w:ind w:firstLineChars="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10.1.3.3</w:t>
      </w:r>
      <w:r>
        <w:rPr>
          <w:rFonts w:hint="eastAsia" w:ascii="宋体" w:hAnsi="宋体" w:eastAsia="宋体" w:cs="宋体"/>
          <w:snapToGrid w:val="0"/>
          <w:color w:val="auto"/>
          <w:kern w:val="0"/>
          <w:highlight w:val="none"/>
        </w:rPr>
        <w:t xml:space="preserve"> 投标文件的签字均为签字人本人亲笔署名或签章（电子印章），其余部分无须另行签字、盖章。</w:t>
      </w:r>
    </w:p>
    <w:p w14:paraId="68DB5E04">
      <w:pPr>
        <w:shd w:val="clear" w:color="auto" w:fill="auto"/>
        <w:wordWrap w:val="0"/>
        <w:adjustRightInd w:val="0"/>
        <w:snapToGrid w:val="0"/>
        <w:spacing w:line="360" w:lineRule="auto"/>
        <w:ind w:firstLine="560"/>
        <w:rPr>
          <w:rFonts w:hint="eastAsia" w:ascii="宋体" w:hAnsi="宋体" w:eastAsia="宋体" w:cs="宋体"/>
          <w:snapToGrid w:val="0"/>
          <w:color w:val="auto"/>
          <w:kern w:val="0"/>
          <w:highlight w:val="none"/>
        </w:rPr>
      </w:pPr>
      <w:bookmarkStart w:id="186" w:name="_Toc274313880"/>
      <w:bookmarkStart w:id="187" w:name="_Toc29774"/>
      <w:bookmarkStart w:id="188" w:name="_Toc257031159"/>
    </w:p>
    <w:p w14:paraId="6AD19D17">
      <w:pPr>
        <w:shd w:val="clear" w:color="auto" w:fill="auto"/>
        <w:wordWrap w:val="0"/>
        <w:adjustRightInd w:val="0"/>
        <w:snapToGrid w:val="0"/>
        <w:spacing w:line="360" w:lineRule="auto"/>
        <w:ind w:firstLine="560"/>
        <w:rPr>
          <w:rFonts w:hint="eastAsia" w:ascii="宋体" w:hAnsi="宋体" w:eastAsia="宋体" w:cs="宋体"/>
          <w:b/>
          <w:bCs w:val="0"/>
          <w:snapToGrid w:val="0"/>
          <w:color w:val="auto"/>
          <w:kern w:val="0"/>
          <w:highlight w:val="none"/>
        </w:rPr>
      </w:pPr>
      <w:r>
        <w:rPr>
          <w:rFonts w:hint="eastAsia" w:ascii="宋体" w:hAnsi="宋体" w:eastAsia="宋体" w:cs="宋体"/>
          <w:b/>
          <w:bCs/>
          <w:snapToGrid w:val="0"/>
          <w:color w:val="auto"/>
          <w:kern w:val="0"/>
          <w:highlight w:val="none"/>
        </w:rPr>
        <w:t>10.2</w:t>
      </w:r>
      <w:r>
        <w:rPr>
          <w:rFonts w:hint="eastAsia" w:ascii="宋体" w:hAnsi="宋体" w:eastAsia="宋体" w:cs="宋体"/>
          <w:bCs/>
          <w:snapToGrid w:val="0"/>
          <w:color w:val="auto"/>
          <w:kern w:val="0"/>
          <w:highlight w:val="none"/>
        </w:rPr>
        <w:t xml:space="preserve"> </w:t>
      </w:r>
      <w:r>
        <w:rPr>
          <w:rFonts w:hint="eastAsia" w:ascii="宋体" w:hAnsi="宋体" w:eastAsia="宋体" w:cs="宋体"/>
          <w:b/>
          <w:bCs w:val="0"/>
          <w:snapToGrid w:val="0"/>
          <w:color w:val="auto"/>
          <w:kern w:val="0"/>
          <w:highlight w:val="none"/>
        </w:rPr>
        <w:t>商务标书的编制要求</w:t>
      </w:r>
      <w:bookmarkEnd w:id="186"/>
      <w:bookmarkEnd w:id="187"/>
      <w:bookmarkEnd w:id="188"/>
    </w:p>
    <w:p w14:paraId="0B4F5E58">
      <w:pPr>
        <w:shd w:val="clear" w:color="auto" w:fill="auto"/>
        <w:wordWrap w:val="0"/>
        <w:adjustRightInd w:val="0"/>
        <w:snapToGrid w:val="0"/>
        <w:spacing w:line="360" w:lineRule="auto"/>
        <w:ind w:firstLine="561"/>
        <w:rPr>
          <w:rFonts w:hint="eastAsia" w:ascii="宋体" w:hAnsi="宋体" w:eastAsia="宋体" w:cs="宋体"/>
          <w:snapToGrid w:val="0"/>
          <w:color w:val="auto"/>
          <w:kern w:val="0"/>
          <w:highlight w:val="none"/>
          <w:u w:val="single"/>
        </w:rPr>
      </w:pPr>
      <w:r>
        <w:rPr>
          <w:rFonts w:hint="eastAsia" w:ascii="宋体" w:hAnsi="宋体" w:eastAsia="宋体" w:cs="宋体"/>
          <w:b/>
          <w:bCs/>
          <w:snapToGrid w:val="0"/>
          <w:color w:val="auto"/>
          <w:kern w:val="0"/>
          <w:highlight w:val="none"/>
        </w:rPr>
        <w:t>10.2.1</w:t>
      </w:r>
      <w:r>
        <w:rPr>
          <w:rFonts w:hint="eastAsia" w:ascii="宋体" w:hAnsi="宋体" w:eastAsia="宋体" w:cs="宋体"/>
          <w:snapToGrid w:val="0"/>
          <w:color w:val="auto"/>
          <w:kern w:val="0"/>
          <w:highlight w:val="none"/>
        </w:rPr>
        <w:t xml:space="preserve"> </w:t>
      </w:r>
      <w:r>
        <w:rPr>
          <w:rFonts w:hint="eastAsia" w:ascii="宋体" w:hAnsi="宋体" w:eastAsia="宋体" w:cs="宋体"/>
          <w:bCs/>
          <w:snapToGrid w:val="0"/>
          <w:color w:val="auto"/>
          <w:kern w:val="0"/>
          <w:highlight w:val="none"/>
        </w:rPr>
        <w:t>商务标书</w:t>
      </w:r>
      <w:r>
        <w:rPr>
          <w:rFonts w:hint="eastAsia" w:ascii="宋体" w:hAnsi="宋体" w:eastAsia="宋体" w:cs="宋体"/>
          <w:snapToGrid w:val="0"/>
          <w:color w:val="auto"/>
          <w:kern w:val="0"/>
          <w:highlight w:val="none"/>
        </w:rPr>
        <w:t>包括但不限于以下内容：</w:t>
      </w:r>
    </w:p>
    <w:p w14:paraId="363FB5AD">
      <w:pPr>
        <w:shd w:val="clear" w:color="auto" w:fill="auto"/>
        <w:wordWrap w:val="0"/>
        <w:adjustRightInd w:val="0"/>
        <w:snapToGrid w:val="0"/>
        <w:spacing w:line="360" w:lineRule="auto"/>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szCs w:val="18"/>
          <w:highlight w:val="none"/>
        </w:rPr>
        <w:t>（1）封面（格式一）；</w:t>
      </w:r>
    </w:p>
    <w:p w14:paraId="655756FD">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（2）目录；</w:t>
      </w:r>
    </w:p>
    <w:p w14:paraId="4594D78D">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（3）《</w:t>
      </w:r>
      <w:r>
        <w:rPr>
          <w:rFonts w:hint="eastAsia" w:ascii="宋体" w:hAnsi="宋体" w:eastAsia="宋体" w:cs="宋体"/>
          <w:snapToGrid w:val="0"/>
          <w:color w:val="auto"/>
          <w:kern w:val="0"/>
          <w:highlight w:val="none"/>
        </w:rPr>
        <w:t>投标函</w:t>
      </w:r>
      <w:r>
        <w:rPr>
          <w:rFonts w:hint="eastAsia" w:ascii="宋体" w:hAnsi="宋体" w:eastAsia="宋体" w:cs="宋体"/>
          <w:snapToGrid w:val="0"/>
          <w:color w:val="auto"/>
          <w:kern w:val="0"/>
          <w:szCs w:val="18"/>
          <w:highlight w:val="none"/>
        </w:rPr>
        <w:t>》（格式二）；</w:t>
      </w:r>
    </w:p>
    <w:p w14:paraId="3F76774D">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highlight w:val="none"/>
        </w:rPr>
        <w:t>（4）《</w:t>
      </w:r>
      <w:r>
        <w:rPr>
          <w:rFonts w:hint="eastAsia" w:ascii="宋体" w:hAnsi="宋体" w:eastAsia="宋体" w:cs="宋体"/>
          <w:snapToGrid w:val="0"/>
          <w:color w:val="auto"/>
          <w:kern w:val="0"/>
          <w:szCs w:val="22"/>
          <w:highlight w:val="none"/>
        </w:rPr>
        <w:t>各项</w:t>
      </w:r>
      <w:r>
        <w:rPr>
          <w:rFonts w:hint="eastAsia" w:ascii="宋体" w:hAnsi="宋体" w:eastAsia="宋体" w:cs="宋体"/>
          <w:snapToGrid w:val="0"/>
          <w:color w:val="auto"/>
          <w:kern w:val="0"/>
          <w:highlight w:val="none"/>
        </w:rPr>
        <w:t>承诺一览表》（格式三）；</w:t>
      </w:r>
    </w:p>
    <w:p w14:paraId="15CB011A">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（5）《授权委托书》（格式四）；</w:t>
      </w:r>
    </w:p>
    <w:p w14:paraId="30A6471D">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（6）《法定代表人身份证明》（格式五）；</w:t>
      </w:r>
    </w:p>
    <w:p w14:paraId="2962658B">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7）投标保证缴纳证明（投标人附建设工程交易系统《韶关市公共资源交易一体化平台保证金缴纳信息》页面截图外，采用投标保证金的，附银行转账单截图；采用投标保证担保的，附电子保函截图；采用投标保证保险的，附电子保单截图）；</w:t>
      </w:r>
    </w:p>
    <w:p w14:paraId="10685311">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w:t>
      </w:r>
      <w:r>
        <w:rPr>
          <w:rFonts w:hint="eastAsia" w:ascii="宋体" w:hAnsi="宋体" w:eastAsia="宋体" w:cs="宋体"/>
          <w:snapToGrid w:val="0"/>
          <w:color w:val="auto"/>
          <w:kern w:val="0"/>
          <w:szCs w:val="18"/>
          <w:highlight w:val="none"/>
          <w:lang w:val="en-US" w:eastAsia="zh-CN"/>
        </w:rPr>
        <w:t>8</w:t>
      </w:r>
      <w:r>
        <w:rPr>
          <w:rFonts w:hint="eastAsia" w:ascii="宋体" w:hAnsi="宋体" w:eastAsia="宋体" w:cs="宋体"/>
          <w:snapToGrid w:val="0"/>
          <w:color w:val="auto"/>
          <w:kern w:val="0"/>
          <w:szCs w:val="18"/>
          <w:highlight w:val="none"/>
        </w:rPr>
        <w:t>）《投标人基本情况表》（格式六）及所附资料；</w:t>
      </w:r>
    </w:p>
    <w:p w14:paraId="4DAD9497">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（9）《总监理工程师任职声明》（格式七或格式八，由投标人根据拟派总监理工程师任职情况选用）；</w:t>
      </w:r>
    </w:p>
    <w:p w14:paraId="4DAB8A16">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（10）《总监理工程师任职项目情况表》（格式九）及所附资料；</w:t>
      </w:r>
    </w:p>
    <w:p w14:paraId="712BB4E3">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（11）《项目监理机构组成人员汇总表》（格式十）及所附资料；</w:t>
      </w:r>
    </w:p>
    <w:p w14:paraId="6226CCD7">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（12）《总监理工程师简历表》（格式十一）及所附资料；</w:t>
      </w:r>
    </w:p>
    <w:p w14:paraId="1EEE803E">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（13）《其他拟派人员简历表》（格式十二）及所附资料；</w:t>
      </w:r>
    </w:p>
    <w:p w14:paraId="7D5E8BA8">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（14）《监理及相关服务报酬清单》（格式十三）；</w:t>
      </w:r>
    </w:p>
    <w:p w14:paraId="7DFB55DC">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（1</w:t>
      </w:r>
      <w:r>
        <w:rPr>
          <w:rFonts w:hint="eastAsia" w:ascii="宋体" w:hAnsi="宋体" w:eastAsia="宋体" w:cs="宋体"/>
          <w:snapToGrid w:val="0"/>
          <w:color w:val="auto"/>
          <w:kern w:val="0"/>
          <w:szCs w:val="18"/>
          <w:highlight w:val="none"/>
          <w:lang w:val="en-US" w:eastAsia="zh-CN"/>
        </w:rPr>
        <w:t>5</w:t>
      </w:r>
      <w:r>
        <w:rPr>
          <w:rFonts w:hint="eastAsia" w:ascii="宋体" w:hAnsi="宋体" w:eastAsia="宋体" w:cs="宋体"/>
          <w:snapToGrid w:val="0"/>
          <w:color w:val="auto"/>
          <w:kern w:val="0"/>
          <w:szCs w:val="18"/>
          <w:highlight w:val="none"/>
        </w:rPr>
        <w:t>）详细评审阶段要求提供的评审资料（详见本节第</w:t>
      </w:r>
      <w:r>
        <w:rPr>
          <w:rFonts w:hint="eastAsia" w:ascii="宋体" w:hAnsi="宋体" w:eastAsia="宋体" w:cs="宋体"/>
          <w:b/>
          <w:bCs/>
          <w:snapToGrid w:val="0"/>
          <w:color w:val="auto"/>
          <w:kern w:val="0"/>
          <w:szCs w:val="18"/>
          <w:highlight w:val="none"/>
        </w:rPr>
        <w:t>15.5.1</w:t>
      </w:r>
      <w:r>
        <w:rPr>
          <w:rFonts w:hint="eastAsia" w:ascii="宋体" w:hAnsi="宋体" w:eastAsia="宋体" w:cs="宋体"/>
          <w:snapToGrid w:val="0"/>
          <w:color w:val="auto"/>
          <w:kern w:val="0"/>
          <w:szCs w:val="18"/>
          <w:highlight w:val="none"/>
        </w:rPr>
        <w:t>目）；</w:t>
      </w:r>
    </w:p>
    <w:p w14:paraId="1293D4D2">
      <w:pPr>
        <w:shd w:val="clear" w:color="auto" w:fill="auto"/>
        <w:wordWrap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szCs w:val="18"/>
          <w:highlight w:val="none"/>
        </w:rPr>
        <w:t>（1</w:t>
      </w:r>
      <w:r>
        <w:rPr>
          <w:rFonts w:hint="eastAsia" w:ascii="宋体" w:hAnsi="宋体" w:eastAsia="宋体" w:cs="宋体"/>
          <w:snapToGrid w:val="0"/>
          <w:color w:val="auto"/>
          <w:kern w:val="0"/>
          <w:szCs w:val="18"/>
          <w:highlight w:val="none"/>
          <w:lang w:val="en-US" w:eastAsia="zh-CN"/>
        </w:rPr>
        <w:t>6</w:t>
      </w:r>
      <w:r>
        <w:rPr>
          <w:rFonts w:hint="eastAsia" w:ascii="宋体" w:hAnsi="宋体" w:eastAsia="宋体" w:cs="宋体"/>
          <w:snapToGrid w:val="0"/>
          <w:color w:val="auto"/>
          <w:kern w:val="0"/>
          <w:szCs w:val="18"/>
          <w:highlight w:val="none"/>
        </w:rPr>
        <w:t>）投标人认为有必要补充的其他资料。（例如投标人已经工商变更，但其员工执业资格注册证书上的企业名称未能在投标期间完成变更的书面说明和佐证材料；企业所在省、地级市住建部门或其授权的组织（机构）关于企业资质、人员资格有效期自动顺延或延期办理的相关文件等）</w:t>
      </w:r>
    </w:p>
    <w:p w14:paraId="4F463FDF">
      <w:pPr>
        <w:shd w:val="clear" w:color="auto" w:fill="auto"/>
        <w:wordWrap w:val="0"/>
        <w:adjustRightInd w:val="0"/>
        <w:snapToGrid w:val="0"/>
        <w:spacing w:line="360" w:lineRule="auto"/>
        <w:ind w:firstLine="482" w:firstLineChars="200"/>
        <w:rPr>
          <w:rFonts w:hint="eastAsia" w:ascii="宋体" w:hAnsi="宋体" w:eastAsia="宋体" w:cs="宋体"/>
          <w:b/>
          <w:bCs/>
          <w:snapToGrid w:val="0"/>
          <w:color w:val="auto"/>
          <w:kern w:val="0"/>
          <w:szCs w:val="18"/>
          <w:highlight w:val="none"/>
        </w:rPr>
      </w:pP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 xml:space="preserve"> 本节第</w:t>
      </w:r>
      <w:r>
        <w:rPr>
          <w:rFonts w:hint="eastAsia" w:ascii="宋体" w:hAnsi="宋体" w:eastAsia="宋体" w:cs="宋体"/>
          <w:b/>
          <w:bCs/>
          <w:snapToGrid w:val="0"/>
          <w:color w:val="auto"/>
          <w:kern w:val="0"/>
          <w:szCs w:val="18"/>
          <w:highlight w:val="none"/>
        </w:rPr>
        <w:t>10.2.1</w:t>
      </w:r>
      <w:r>
        <w:rPr>
          <w:rFonts w:hint="eastAsia" w:ascii="宋体" w:hAnsi="宋体" w:eastAsia="宋体" w:cs="宋体"/>
          <w:snapToGrid w:val="0"/>
          <w:color w:val="auto"/>
          <w:kern w:val="0"/>
          <w:szCs w:val="18"/>
          <w:highlight w:val="none"/>
        </w:rPr>
        <w:t>目中所列出的商务标书组成内容中，第（1）至第（1</w:t>
      </w:r>
      <w:r>
        <w:rPr>
          <w:rFonts w:hint="eastAsia" w:ascii="宋体" w:hAnsi="宋体" w:eastAsia="宋体" w:cs="宋体"/>
          <w:snapToGrid w:val="0"/>
          <w:color w:val="auto"/>
          <w:kern w:val="0"/>
          <w:szCs w:val="18"/>
          <w:highlight w:val="none"/>
          <w:lang w:val="en-US" w:eastAsia="zh-CN"/>
        </w:rPr>
        <w:t>4</w:t>
      </w:r>
      <w:r>
        <w:rPr>
          <w:rFonts w:hint="eastAsia" w:ascii="宋体" w:hAnsi="宋体" w:eastAsia="宋体" w:cs="宋体"/>
          <w:snapToGrid w:val="0"/>
          <w:color w:val="auto"/>
          <w:kern w:val="0"/>
          <w:szCs w:val="18"/>
          <w:highlight w:val="none"/>
        </w:rPr>
        <w:t>）项所有投标人均应提供。</w:t>
      </w:r>
      <w:r>
        <w:rPr>
          <w:rFonts w:hint="eastAsia" w:ascii="宋体" w:hAnsi="宋体" w:eastAsia="宋体" w:cs="宋体"/>
          <w:b/>
          <w:bCs/>
          <w:snapToGrid w:val="0"/>
          <w:color w:val="auto"/>
          <w:kern w:val="0"/>
          <w:szCs w:val="18"/>
          <w:highlight w:val="none"/>
        </w:rPr>
        <w:t>拟派总监理工程师现阶段未担任任何在施建设工程项目总监理工程师的，无需提供第（10）项内容。</w:t>
      </w:r>
    </w:p>
    <w:p w14:paraId="1638D557">
      <w:pPr>
        <w:shd w:val="clear" w:color="auto" w:fill="auto"/>
        <w:wordWrap w:val="0"/>
        <w:adjustRightInd w:val="0"/>
        <w:snapToGrid w:val="0"/>
        <w:spacing w:line="360" w:lineRule="auto"/>
        <w:ind w:firstLine="482" w:firstLineChars="200"/>
        <w:rPr>
          <w:rFonts w:hint="eastAsia" w:ascii="宋体" w:hAnsi="宋体" w:eastAsia="宋体" w:cs="宋体"/>
          <w:b/>
          <w:bCs/>
          <w:snapToGrid w:val="0"/>
          <w:color w:val="auto"/>
          <w:kern w:val="0"/>
          <w:szCs w:val="18"/>
          <w:highlight w:val="none"/>
        </w:rPr>
      </w:pPr>
      <w:r>
        <w:rPr>
          <w:rFonts w:hint="eastAsia" w:ascii="宋体" w:hAnsi="宋体" w:eastAsia="宋体" w:cs="宋体"/>
          <w:b/>
          <w:bCs/>
          <w:snapToGrid w:val="0"/>
          <w:color w:val="auto"/>
          <w:kern w:val="0"/>
          <w:highlight w:val="none"/>
        </w:rPr>
        <w:t>10.2.3</w:t>
      </w:r>
      <w:r>
        <w:rPr>
          <w:rFonts w:hint="eastAsia" w:ascii="宋体" w:hAnsi="宋体" w:eastAsia="宋体" w:cs="宋体"/>
          <w:snapToGrid w:val="0"/>
          <w:color w:val="auto"/>
          <w:kern w:val="0"/>
          <w:highlight w:val="none"/>
        </w:rPr>
        <w:t xml:space="preserve"> 商务标书的组成内容按本节第</w:t>
      </w:r>
      <w:r>
        <w:rPr>
          <w:rFonts w:hint="eastAsia" w:ascii="宋体" w:hAnsi="宋体" w:eastAsia="宋体" w:cs="宋体"/>
          <w:b/>
          <w:bCs/>
          <w:snapToGrid w:val="0"/>
          <w:color w:val="auto"/>
          <w:kern w:val="0"/>
          <w:highlight w:val="none"/>
        </w:rPr>
        <w:t>10.2.1</w:t>
      </w:r>
      <w:r>
        <w:rPr>
          <w:rFonts w:hint="eastAsia" w:ascii="宋体" w:hAnsi="宋体" w:eastAsia="宋体" w:cs="宋体"/>
          <w:snapToGrid w:val="0"/>
          <w:color w:val="auto"/>
          <w:kern w:val="0"/>
          <w:highlight w:val="none"/>
        </w:rPr>
        <w:t>目规定的顺序整理、编排后，逐页（页码起始从封面开始）连续标记页码。</w:t>
      </w:r>
    </w:p>
    <w:p w14:paraId="79F3DEF3">
      <w:pPr>
        <w:shd w:val="clear" w:color="auto" w:fill="auto"/>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10.2.4</w:t>
      </w:r>
      <w:r>
        <w:rPr>
          <w:rFonts w:hint="eastAsia" w:ascii="宋体" w:hAnsi="宋体" w:eastAsia="宋体" w:cs="宋体"/>
          <w:snapToGrid w:val="0"/>
          <w:color w:val="auto"/>
          <w:kern w:val="0"/>
          <w:highlight w:val="none"/>
        </w:rPr>
        <w:t xml:space="preserve"> </w:t>
      </w:r>
      <w:r>
        <w:rPr>
          <w:rFonts w:hint="eastAsia" w:ascii="宋体" w:hAnsi="宋体" w:eastAsia="宋体" w:cs="宋体"/>
          <w:bCs/>
          <w:snapToGrid w:val="0"/>
          <w:color w:val="auto"/>
          <w:kern w:val="0"/>
          <w:highlight w:val="none"/>
        </w:rPr>
        <w:t>商务标书</w:t>
      </w:r>
      <w:r>
        <w:rPr>
          <w:rFonts w:hint="eastAsia" w:ascii="宋体" w:hAnsi="宋体" w:eastAsia="宋体" w:cs="宋体"/>
          <w:snapToGrid w:val="0"/>
          <w:color w:val="auto"/>
          <w:kern w:val="0"/>
          <w:highlight w:val="none"/>
        </w:rPr>
        <w:t>应尽量避免手工涂改、行间插字或删除。如果出现上述情况，改动之处应加盖单位章或由投标人的法定代表人或其委托代理人签字确认。</w:t>
      </w:r>
    </w:p>
    <w:p w14:paraId="211C364A">
      <w:pPr>
        <w:shd w:val="clear" w:color="auto" w:fill="auto"/>
        <w:wordWrap w:val="0"/>
        <w:adjustRightInd w:val="0"/>
        <w:snapToGrid w:val="0"/>
        <w:spacing w:line="360" w:lineRule="auto"/>
        <w:ind w:firstLine="480"/>
        <w:rPr>
          <w:rFonts w:hint="eastAsia" w:ascii="宋体" w:hAnsi="宋体" w:eastAsia="宋体" w:cs="宋体"/>
          <w:bCs/>
          <w:snapToGrid w:val="0"/>
          <w:color w:val="auto"/>
          <w:kern w:val="0"/>
          <w:highlight w:val="none"/>
        </w:rPr>
      </w:pPr>
      <w:bookmarkStart w:id="189" w:name="_Toc7035"/>
      <w:r>
        <w:rPr>
          <w:rFonts w:hint="eastAsia" w:ascii="宋体" w:hAnsi="宋体" w:eastAsia="宋体" w:cs="宋体"/>
          <w:b/>
          <w:bCs/>
          <w:snapToGrid w:val="0"/>
          <w:color w:val="auto"/>
          <w:kern w:val="0"/>
          <w:highlight w:val="none"/>
        </w:rPr>
        <w:t>10.3</w:t>
      </w:r>
      <w:r>
        <w:rPr>
          <w:rFonts w:hint="eastAsia" w:ascii="宋体" w:hAnsi="宋体" w:eastAsia="宋体" w:cs="宋体"/>
          <w:bCs/>
          <w:snapToGrid w:val="0"/>
          <w:color w:val="auto"/>
          <w:kern w:val="0"/>
          <w:highlight w:val="none"/>
        </w:rPr>
        <w:t xml:space="preserve"> </w:t>
      </w:r>
      <w:r>
        <w:rPr>
          <w:rFonts w:hint="eastAsia" w:ascii="宋体" w:hAnsi="宋体" w:eastAsia="宋体" w:cs="宋体"/>
          <w:b/>
          <w:bCs w:val="0"/>
          <w:snapToGrid w:val="0"/>
          <w:color w:val="auto"/>
          <w:kern w:val="0"/>
          <w:highlight w:val="none"/>
        </w:rPr>
        <w:t>监理大纲的编制要求</w:t>
      </w:r>
    </w:p>
    <w:p w14:paraId="40991720">
      <w:pPr>
        <w:shd w:val="clear" w:color="auto" w:fill="auto"/>
        <w:wordWrap w:val="0"/>
        <w:adjustRightInd w:val="0"/>
        <w:snapToGrid w:val="0"/>
        <w:spacing w:line="360" w:lineRule="auto"/>
        <w:ind w:firstLine="480"/>
        <w:rPr>
          <w:rFonts w:hint="eastAsia" w:ascii="宋体" w:hAnsi="宋体" w:eastAsia="宋体" w:cs="宋体"/>
          <w:bCs/>
          <w:snapToGrid w:val="0"/>
          <w:color w:val="auto"/>
          <w:kern w:val="0"/>
          <w:highlight w:val="none"/>
        </w:rPr>
      </w:pPr>
      <w:r>
        <w:rPr>
          <w:rFonts w:hint="eastAsia" w:ascii="宋体" w:hAnsi="宋体" w:eastAsia="宋体" w:cs="宋体"/>
          <w:b/>
          <w:snapToGrid w:val="0"/>
          <w:color w:val="auto"/>
          <w:kern w:val="0"/>
          <w:highlight w:val="none"/>
        </w:rPr>
        <w:t>10.3.1</w:t>
      </w:r>
      <w:r>
        <w:rPr>
          <w:rFonts w:hint="eastAsia" w:ascii="宋体" w:hAnsi="宋体" w:eastAsia="宋体" w:cs="宋体"/>
          <w:bCs/>
          <w:snapToGrid w:val="0"/>
          <w:color w:val="auto"/>
          <w:kern w:val="0"/>
          <w:highlight w:val="none"/>
        </w:rPr>
        <w:t xml:space="preserve"> 监理大纲</w:t>
      </w:r>
      <w:r>
        <w:rPr>
          <w:rFonts w:hint="eastAsia" w:ascii="宋体" w:hAnsi="宋体" w:eastAsia="宋体" w:cs="宋体"/>
          <w:snapToGrid w:val="0"/>
          <w:color w:val="auto"/>
          <w:kern w:val="0"/>
          <w:highlight w:val="none"/>
        </w:rPr>
        <w:t>的编制依据包括且不限于</w:t>
      </w:r>
      <w:r>
        <w:rPr>
          <w:rFonts w:hint="eastAsia" w:ascii="宋体" w:hAnsi="宋体" w:eastAsia="宋体" w:cs="宋体"/>
          <w:bCs/>
          <w:snapToGrid w:val="0"/>
          <w:color w:val="auto"/>
          <w:kern w:val="0"/>
          <w:highlight w:val="none"/>
        </w:rPr>
        <w:t>：</w:t>
      </w:r>
    </w:p>
    <w:p w14:paraId="29B07EDB">
      <w:pPr>
        <w:shd w:val="clear" w:color="auto" w:fill="auto"/>
        <w:wordWrap w:val="0"/>
        <w:adjustRightInd w:val="0"/>
        <w:snapToGri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（1）招标文件及</w:t>
      </w:r>
      <w:r>
        <w:rPr>
          <w:rFonts w:hint="eastAsia" w:ascii="宋体" w:hAnsi="宋体" w:eastAsia="宋体" w:cs="宋体"/>
          <w:snapToGrid w:val="0"/>
          <w:color w:val="auto"/>
          <w:kern w:val="0"/>
          <w:highlight w:val="none"/>
        </w:rPr>
        <w:t>其答疑（或修改）公告；</w:t>
      </w:r>
    </w:p>
    <w:p w14:paraId="56B25446">
      <w:pPr>
        <w:shd w:val="clear" w:color="auto" w:fill="auto"/>
        <w:wordWrap w:val="0"/>
        <w:adjustRightInd w:val="0"/>
        <w:snapToGri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（2）施工现场情况、工程特点；</w:t>
      </w:r>
    </w:p>
    <w:p w14:paraId="5953B3FE">
      <w:pPr>
        <w:shd w:val="clear" w:color="auto" w:fill="auto"/>
        <w:wordWrap w:val="0"/>
        <w:adjustRightInd w:val="0"/>
        <w:snapToGri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（3）相关法律、法规、规定；</w:t>
      </w:r>
    </w:p>
    <w:p w14:paraId="16FE7925">
      <w:pPr>
        <w:shd w:val="clear" w:color="auto" w:fill="auto"/>
        <w:wordWrap w:val="0"/>
        <w:adjustRightInd w:val="0"/>
        <w:snapToGri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1547E097">
      <w:pPr>
        <w:shd w:val="clear" w:color="auto" w:fill="auto"/>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snapToGrid w:val="0"/>
          <w:color w:val="auto"/>
          <w:kern w:val="0"/>
          <w:highlight w:val="none"/>
        </w:rPr>
        <w:t>10.3.2</w:t>
      </w:r>
      <w:r>
        <w:rPr>
          <w:rFonts w:hint="eastAsia" w:ascii="宋体" w:hAnsi="宋体" w:eastAsia="宋体" w:cs="宋体"/>
          <w:bCs/>
          <w:snapToGrid w:val="0"/>
          <w:color w:val="auto"/>
          <w:kern w:val="0"/>
          <w:highlight w:val="none"/>
        </w:rPr>
        <w:t xml:space="preserve"> 监理大纲</w:t>
      </w:r>
      <w:r>
        <w:rPr>
          <w:rFonts w:hint="eastAsia" w:ascii="宋体" w:hAnsi="宋体" w:eastAsia="宋体" w:cs="宋体"/>
          <w:snapToGrid w:val="0"/>
          <w:color w:val="auto"/>
          <w:kern w:val="0"/>
          <w:highlight w:val="none"/>
        </w:rPr>
        <w:t>包括但不限于以下内容：</w:t>
      </w:r>
    </w:p>
    <w:p w14:paraId="77030B02">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（1）封面</w:t>
      </w:r>
      <w:r>
        <w:rPr>
          <w:rFonts w:hint="eastAsia" w:ascii="宋体" w:hAnsi="宋体" w:eastAsia="宋体" w:cs="宋体"/>
          <w:snapToGrid w:val="0"/>
          <w:color w:val="auto"/>
          <w:kern w:val="0"/>
          <w:szCs w:val="18"/>
          <w:highlight w:val="none"/>
        </w:rPr>
        <w:t>（格式一）</w:t>
      </w:r>
      <w:r>
        <w:rPr>
          <w:rFonts w:hint="eastAsia" w:ascii="宋体" w:hAnsi="宋体" w:eastAsia="宋体" w:cs="宋体"/>
          <w:snapToGrid w:val="0"/>
          <w:color w:val="auto"/>
          <w:kern w:val="0"/>
          <w:highlight w:val="none"/>
        </w:rPr>
        <w:t>；</w:t>
      </w:r>
    </w:p>
    <w:p w14:paraId="1E35EEAD">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（2）目录；</w:t>
      </w:r>
    </w:p>
    <w:p w14:paraId="064717F6">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（3）监理工程概况；</w:t>
      </w:r>
    </w:p>
    <w:p w14:paraId="6B339608">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（4）监理及相关服务的范围、内容；</w:t>
      </w:r>
    </w:p>
    <w:p w14:paraId="562DAE99">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（5）监理及相关服务的依据、目标；</w:t>
      </w:r>
    </w:p>
    <w:p w14:paraId="5F7BF6B3">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（6）项目监理机构设置（框图）、岗位职责；</w:t>
      </w:r>
    </w:p>
    <w:p w14:paraId="4A4BCC5D">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（7）监理及相关服务的工作程序、方法和制度；</w:t>
      </w:r>
    </w:p>
    <w:p w14:paraId="0CF3EA8D">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（8）拟投入的监理及相关服务人员；</w:t>
      </w:r>
    </w:p>
    <w:p w14:paraId="0A25467D">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（9）质量、进度、造价、安全、绿色施工监理措施；</w:t>
      </w:r>
    </w:p>
    <w:p w14:paraId="2B8CCC28">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（10）合同、信息管理方案；</w:t>
      </w:r>
    </w:p>
    <w:p w14:paraId="6CF44ACC">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（11）组织协调内容及措施；</w:t>
      </w:r>
    </w:p>
    <w:p w14:paraId="126F8E69">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（12）监理及相关服务的工作重点、难点分析；</w:t>
      </w:r>
    </w:p>
    <w:p w14:paraId="33D0999A">
      <w:pPr>
        <w:shd w:val="clear" w:color="auto" w:fill="auto"/>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（13）对本工程监理及相关服务的合理化建议。</w:t>
      </w:r>
    </w:p>
    <w:p w14:paraId="0493E8A9">
      <w:pPr>
        <w:shd w:val="clear" w:color="auto" w:fill="auto"/>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10.3.3</w:t>
      </w:r>
      <w:r>
        <w:rPr>
          <w:rFonts w:hint="eastAsia" w:ascii="宋体" w:hAnsi="宋体" w:eastAsia="宋体" w:cs="宋体"/>
          <w:snapToGrid w:val="0"/>
          <w:color w:val="auto"/>
          <w:kern w:val="0"/>
          <w:highlight w:val="none"/>
        </w:rPr>
        <w:t xml:space="preserve"> 本节第</w:t>
      </w:r>
      <w:r>
        <w:rPr>
          <w:rFonts w:hint="eastAsia" w:ascii="宋体" w:hAnsi="宋体" w:eastAsia="宋体" w:cs="宋体"/>
          <w:b/>
          <w:bCs/>
          <w:snapToGrid w:val="0"/>
          <w:color w:val="auto"/>
          <w:kern w:val="0"/>
          <w:highlight w:val="none"/>
        </w:rPr>
        <w:t>10.3.2</w:t>
      </w:r>
      <w:r>
        <w:rPr>
          <w:rFonts w:hint="eastAsia" w:ascii="宋体" w:hAnsi="宋体" w:eastAsia="宋体" w:cs="宋体"/>
          <w:snapToGrid w:val="0"/>
          <w:color w:val="auto"/>
          <w:kern w:val="0"/>
          <w:highlight w:val="none"/>
        </w:rPr>
        <w:t>目中所列出的</w:t>
      </w:r>
      <w:r>
        <w:rPr>
          <w:rFonts w:hint="eastAsia" w:ascii="宋体" w:hAnsi="宋体" w:eastAsia="宋体" w:cs="宋体"/>
          <w:bCs/>
          <w:snapToGrid w:val="0"/>
          <w:color w:val="auto"/>
          <w:kern w:val="0"/>
          <w:highlight w:val="none"/>
        </w:rPr>
        <w:t>监理大纲</w:t>
      </w:r>
      <w:r>
        <w:rPr>
          <w:rFonts w:hint="eastAsia" w:ascii="宋体" w:hAnsi="宋体" w:eastAsia="宋体" w:cs="宋体"/>
          <w:snapToGrid w:val="0"/>
          <w:color w:val="auto"/>
          <w:kern w:val="0"/>
          <w:highlight w:val="none"/>
        </w:rPr>
        <w:t>组成内容，</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w:t>
      </w:r>
    </w:p>
    <w:p w14:paraId="4DA69218">
      <w:pPr>
        <w:shd w:val="clear" w:color="auto" w:fill="auto"/>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10.3.4</w:t>
      </w:r>
      <w:r>
        <w:rPr>
          <w:rFonts w:hint="eastAsia" w:ascii="宋体" w:hAnsi="宋体" w:eastAsia="宋体" w:cs="宋体"/>
          <w:snapToGrid w:val="0"/>
          <w:color w:val="auto"/>
          <w:kern w:val="0"/>
          <w:highlight w:val="none"/>
        </w:rPr>
        <w:t xml:space="preserve"> </w:t>
      </w:r>
      <w:r>
        <w:rPr>
          <w:rFonts w:hint="eastAsia" w:ascii="宋体" w:hAnsi="宋体" w:eastAsia="宋体" w:cs="宋体"/>
          <w:bCs/>
          <w:snapToGrid w:val="0"/>
          <w:color w:val="auto"/>
          <w:kern w:val="0"/>
          <w:highlight w:val="none"/>
        </w:rPr>
        <w:t>监理大纲</w:t>
      </w:r>
      <w:r>
        <w:rPr>
          <w:rFonts w:hint="eastAsia" w:ascii="宋体" w:hAnsi="宋体" w:eastAsia="宋体" w:cs="宋体"/>
          <w:snapToGrid w:val="0"/>
          <w:color w:val="auto"/>
          <w:kern w:val="0"/>
          <w:highlight w:val="none"/>
        </w:rPr>
        <w:t>的组成内容按本节第</w:t>
      </w:r>
      <w:r>
        <w:rPr>
          <w:rFonts w:hint="eastAsia" w:ascii="宋体" w:hAnsi="宋体" w:eastAsia="宋体" w:cs="宋体"/>
          <w:b/>
          <w:bCs/>
          <w:snapToGrid w:val="0"/>
          <w:color w:val="auto"/>
          <w:kern w:val="0"/>
          <w:highlight w:val="none"/>
        </w:rPr>
        <w:t>10.3.2</w:t>
      </w:r>
      <w:r>
        <w:rPr>
          <w:rFonts w:hint="eastAsia" w:ascii="宋体" w:hAnsi="宋体" w:eastAsia="宋体" w:cs="宋体"/>
          <w:snapToGrid w:val="0"/>
          <w:color w:val="auto"/>
          <w:kern w:val="0"/>
          <w:highlight w:val="none"/>
        </w:rPr>
        <w:t>目规定的顺序整理、编排后，逐页（页码起始从封面开始）连续标记页码。</w:t>
      </w:r>
    </w:p>
    <w:p w14:paraId="40D1482A">
      <w:pPr>
        <w:shd w:val="clear" w:color="auto" w:fill="auto"/>
        <w:wordWrap w:val="0"/>
        <w:adjustRightInd w:val="0"/>
        <w:snapToGrid w:val="0"/>
        <w:ind w:firstLine="482" w:firstLineChars="200"/>
        <w:rPr>
          <w:rFonts w:hint="eastAsia" w:ascii="宋体" w:hAnsi="宋体" w:eastAsia="宋体" w:cs="宋体"/>
          <w:i/>
          <w:iCs/>
          <w:snapToGrid w:val="0"/>
          <w:color w:val="auto"/>
          <w:kern w:val="0"/>
          <w:highlight w:val="none"/>
        </w:rPr>
      </w:pPr>
      <w:r>
        <w:rPr>
          <w:rFonts w:hint="eastAsia" w:ascii="宋体" w:hAnsi="宋体" w:eastAsia="宋体" w:cs="宋体"/>
          <w:b/>
          <w:bCs/>
          <w:snapToGrid w:val="0"/>
          <w:color w:val="auto"/>
          <w:kern w:val="0"/>
          <w:highlight w:val="none"/>
        </w:rPr>
        <w:t>10.3.5</w:t>
      </w:r>
      <w:r>
        <w:rPr>
          <w:rFonts w:hint="eastAsia" w:ascii="宋体" w:hAnsi="宋体" w:eastAsia="宋体" w:cs="宋体"/>
          <w:snapToGrid w:val="0"/>
          <w:color w:val="auto"/>
          <w:kern w:val="0"/>
          <w:highlight w:val="none"/>
        </w:rPr>
        <w:t xml:space="preserve"> </w:t>
      </w:r>
      <w:r>
        <w:rPr>
          <w:rFonts w:hint="eastAsia" w:ascii="宋体" w:hAnsi="宋体" w:eastAsia="宋体" w:cs="宋体"/>
          <w:bCs/>
          <w:snapToGrid w:val="0"/>
          <w:color w:val="auto"/>
          <w:kern w:val="0"/>
          <w:highlight w:val="none"/>
        </w:rPr>
        <w:t>监理大纲</w:t>
      </w:r>
      <w:r>
        <w:rPr>
          <w:rFonts w:hint="eastAsia" w:ascii="宋体" w:hAnsi="宋体" w:eastAsia="宋体" w:cs="宋体"/>
          <w:snapToGrid w:val="0"/>
          <w:color w:val="auto"/>
          <w:kern w:val="0"/>
          <w:highlight w:val="none"/>
        </w:rPr>
        <w:t>应尽量避免手工涂改、行间插字或删除。如果出现上述情况，改动之处应加盖单位章或由投标人的法定代表人或其委托代理人签字确认。</w:t>
      </w:r>
    </w:p>
    <w:p w14:paraId="7F4A32E4">
      <w:pPr>
        <w:pStyle w:val="12"/>
        <w:shd w:val="clear" w:color="auto" w:fill="auto"/>
        <w:spacing w:line="360" w:lineRule="auto"/>
        <w:ind w:left="0" w:leftChars="0" w:firstLine="482" w:firstLineChars="200"/>
        <w:jc w:val="left"/>
        <w:rPr>
          <w:rFonts w:hint="eastAsia" w:ascii="宋体" w:hAnsi="宋体" w:eastAsia="宋体" w:cs="宋体"/>
          <w:b/>
          <w:snapToGrid w:val="0"/>
          <w:color w:val="auto"/>
          <w:highlight w:val="none"/>
        </w:rPr>
      </w:pPr>
      <w:bookmarkStart w:id="190" w:name="_Toc13149"/>
      <w:bookmarkStart w:id="191" w:name="_Toc5060"/>
      <w:bookmarkStart w:id="192" w:name="_Toc22692"/>
      <w:bookmarkStart w:id="193" w:name="_Toc622"/>
      <w:bookmarkStart w:id="194" w:name="_Toc20297"/>
      <w:bookmarkStart w:id="195" w:name="_Toc22841"/>
      <w:bookmarkStart w:id="196" w:name="_Toc9264"/>
      <w:bookmarkStart w:id="197" w:name="_Toc18491"/>
      <w:bookmarkStart w:id="198" w:name="_Toc8133"/>
      <w:bookmarkStart w:id="199" w:name="_Toc28533"/>
      <w:bookmarkStart w:id="200" w:name="_Toc4068"/>
      <w:r>
        <w:rPr>
          <w:rFonts w:hint="eastAsia" w:ascii="宋体" w:hAnsi="宋体" w:eastAsia="宋体" w:cs="宋体"/>
          <w:b/>
          <w:snapToGrid w:val="0"/>
          <w:color w:val="auto"/>
          <w:highlight w:val="none"/>
        </w:rPr>
        <w:t>11．</w:t>
      </w:r>
      <w:bookmarkEnd w:id="189"/>
      <w:bookmarkEnd w:id="190"/>
      <w:bookmarkEnd w:id="191"/>
      <w:bookmarkEnd w:id="192"/>
      <w:bookmarkEnd w:id="193"/>
      <w:bookmarkEnd w:id="194"/>
      <w:bookmarkEnd w:id="195"/>
      <w:bookmarkEnd w:id="196"/>
      <w:bookmarkEnd w:id="197"/>
      <w:bookmarkEnd w:id="198"/>
      <w:r>
        <w:rPr>
          <w:rFonts w:hint="eastAsia" w:ascii="宋体" w:hAnsi="宋体" w:eastAsia="宋体" w:cs="宋体"/>
          <w:b/>
          <w:snapToGrid w:val="0"/>
          <w:color w:val="auto"/>
          <w:highlight w:val="none"/>
        </w:rPr>
        <w:t>电子投标</w:t>
      </w:r>
      <w:bookmarkEnd w:id="199"/>
      <w:bookmarkEnd w:id="200"/>
    </w:p>
    <w:p w14:paraId="7F366817">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bookmarkStart w:id="201" w:name="_Hlt66200498"/>
      <w:bookmarkEnd w:id="201"/>
      <w:bookmarkStart w:id="202" w:name="_Hlt66511038"/>
      <w:bookmarkEnd w:id="202"/>
      <w:r>
        <w:rPr>
          <w:rFonts w:hint="eastAsia" w:ascii="宋体" w:hAnsi="宋体" w:eastAsia="宋体" w:cs="宋体"/>
          <w:b/>
          <w:bCs/>
          <w:snapToGrid w:val="0"/>
          <w:color w:val="auto"/>
          <w:kern w:val="0"/>
          <w:highlight w:val="none"/>
        </w:rPr>
        <w:t>11.1</w:t>
      </w:r>
      <w:r>
        <w:rPr>
          <w:rFonts w:hint="eastAsia" w:ascii="宋体" w:hAnsi="宋体" w:eastAsia="宋体" w:cs="宋体"/>
          <w:snapToGrid w:val="0"/>
          <w:color w:val="auto"/>
          <w:kern w:val="0"/>
          <w:highlight w:val="none"/>
        </w:rPr>
        <w:t xml:space="preserve"> </w:t>
      </w:r>
      <w:bookmarkStart w:id="203" w:name="_Hlt88627590"/>
      <w:bookmarkEnd w:id="203"/>
      <w:r>
        <w:rPr>
          <w:rFonts w:hint="eastAsia" w:ascii="宋体" w:hAnsi="宋体" w:eastAsia="宋体" w:cs="宋体"/>
          <w:snapToGrid w:val="0"/>
          <w:color w:val="auto"/>
          <w:kern w:val="0"/>
          <w:highlight w:val="none"/>
        </w:rPr>
        <w:t>在建设工程交易系统上传加盖了电子印章的投标文件、录入相关信息及标书页码信息，（</w:t>
      </w:r>
      <w:r>
        <w:rPr>
          <w:rFonts w:hint="eastAsia" w:ascii="宋体" w:hAnsi="宋体" w:eastAsia="宋体" w:cs="宋体"/>
          <w:b/>
          <w:bCs/>
          <w:snapToGrid w:val="0"/>
          <w:color w:val="auto"/>
          <w:kern w:val="0"/>
          <w:highlight w:val="none"/>
        </w:rPr>
        <w:t>页码起始从封面开始</w:t>
      </w:r>
      <w:r>
        <w:rPr>
          <w:rFonts w:hint="eastAsia" w:ascii="宋体" w:hAnsi="宋体" w:eastAsia="宋体" w:cs="宋体"/>
          <w:snapToGrid w:val="0"/>
          <w:color w:val="auto"/>
          <w:kern w:val="0"/>
          <w:highlight w:val="none"/>
        </w:rPr>
        <w:t>）并提交投标标书。提交标书为已加密投标文件。具体操作参照《韶关市公共资源建设工程交易系统-投标人操作指南》。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CA数字证书对投标文件进行文件加密，形成加密的投标文件并提交标书。</w:t>
      </w:r>
    </w:p>
    <w:p w14:paraId="63007415">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11.2</w:t>
      </w:r>
      <w:r>
        <w:rPr>
          <w:rFonts w:hint="eastAsia" w:ascii="宋体" w:hAnsi="宋体" w:eastAsia="宋体" w:cs="宋体"/>
          <w:snapToGrid w:val="0"/>
          <w:color w:val="auto"/>
          <w:kern w:val="0"/>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bookmarkStart w:id="204" w:name="_Toc32203"/>
    </w:p>
    <w:p w14:paraId="04B714CC">
      <w:pPr>
        <w:shd w:val="clear" w:color="auto" w:fill="auto"/>
        <w:wordWrap w:val="0"/>
        <w:adjustRightInd w:val="0"/>
        <w:snapToGrid w:val="0"/>
        <w:spacing w:line="440" w:lineRule="exact"/>
        <w:ind w:firstLine="560"/>
        <w:rPr>
          <w:rFonts w:hint="eastAsia" w:ascii="宋体" w:hAnsi="宋体" w:eastAsia="宋体" w:cs="宋体"/>
          <w:b w:val="0"/>
          <w:bCs w:val="0"/>
          <w:snapToGrid w:val="0"/>
          <w:color w:val="auto"/>
          <w:kern w:val="0"/>
          <w:highlight w:val="none"/>
        </w:rPr>
      </w:pPr>
      <w:r>
        <w:rPr>
          <w:rFonts w:hint="eastAsia" w:ascii="宋体" w:hAnsi="宋体" w:eastAsia="宋体" w:cs="宋体"/>
          <w:b/>
          <w:bCs/>
          <w:snapToGrid w:val="0"/>
          <w:color w:val="auto"/>
          <w:kern w:val="0"/>
          <w:highlight w:val="none"/>
        </w:rPr>
        <w:t>11.3</w:t>
      </w:r>
      <w:r>
        <w:rPr>
          <w:rFonts w:hint="eastAsia" w:ascii="宋体" w:hAnsi="宋体" w:eastAsia="宋体" w:cs="宋体"/>
          <w:b w:val="0"/>
          <w:bCs w:val="0"/>
          <w:snapToGrid w:val="0"/>
          <w:color w:val="auto"/>
          <w:kern w:val="0"/>
          <w:highlight w:val="none"/>
        </w:rPr>
        <w:t>投标文件的提交</w:t>
      </w:r>
    </w:p>
    <w:p w14:paraId="112E9C76">
      <w:pPr>
        <w:shd w:val="clear" w:color="auto" w:fill="auto"/>
        <w:wordWrap w:val="0"/>
        <w:adjustRightInd w:val="0"/>
        <w:snapToGrid w:val="0"/>
        <w:spacing w:line="440" w:lineRule="exact"/>
        <w:ind w:firstLine="560"/>
        <w:rPr>
          <w:rFonts w:hint="eastAsia" w:ascii="宋体" w:hAnsi="宋体" w:eastAsia="宋体" w:cs="宋体"/>
          <w:b w:val="0"/>
          <w:bCs w:val="0"/>
          <w:snapToGrid w:val="0"/>
          <w:color w:val="auto"/>
          <w:kern w:val="0"/>
          <w:highlight w:val="none"/>
        </w:rPr>
      </w:pPr>
      <w:r>
        <w:rPr>
          <w:rFonts w:hint="eastAsia" w:ascii="宋体" w:hAnsi="宋体" w:eastAsia="宋体" w:cs="宋体"/>
          <w:b/>
          <w:bCs/>
          <w:snapToGrid w:val="0"/>
          <w:color w:val="auto"/>
          <w:kern w:val="0"/>
          <w:highlight w:val="none"/>
        </w:rPr>
        <w:t xml:space="preserve">11.3.1 </w:t>
      </w:r>
      <w:r>
        <w:rPr>
          <w:rFonts w:hint="eastAsia" w:ascii="宋体" w:hAnsi="宋体" w:eastAsia="宋体" w:cs="宋体"/>
          <w:b w:val="0"/>
          <w:bCs w:val="0"/>
          <w:snapToGrid w:val="0"/>
          <w:color w:val="auto"/>
          <w:kern w:val="0"/>
          <w:highlight w:val="none"/>
        </w:rPr>
        <w:t>投标人必须在规定的截止时间前使用交易系统完成获取招标文件、缴纳投标保证和全流程电子投标，只有满足以上所有条件，方为有效投标。</w:t>
      </w:r>
    </w:p>
    <w:p w14:paraId="12557C1E">
      <w:pPr>
        <w:shd w:val="clear" w:color="auto" w:fill="auto"/>
        <w:wordWrap w:val="0"/>
        <w:adjustRightInd w:val="0"/>
        <w:snapToGrid w:val="0"/>
        <w:spacing w:line="440" w:lineRule="exact"/>
        <w:ind w:firstLine="560"/>
        <w:rPr>
          <w:rFonts w:hint="eastAsia" w:ascii="宋体" w:hAnsi="宋体" w:eastAsia="宋体" w:cs="宋体"/>
          <w:b w:val="0"/>
          <w:bCs w:val="0"/>
          <w:snapToGrid w:val="0"/>
          <w:color w:val="auto"/>
          <w:kern w:val="0"/>
          <w:highlight w:val="none"/>
        </w:rPr>
      </w:pPr>
      <w:r>
        <w:rPr>
          <w:rFonts w:hint="eastAsia" w:ascii="宋体" w:hAnsi="宋体" w:eastAsia="宋体" w:cs="宋体"/>
          <w:b/>
          <w:bCs/>
          <w:snapToGrid w:val="0"/>
          <w:color w:val="auto"/>
          <w:kern w:val="0"/>
          <w:highlight w:val="none"/>
        </w:rPr>
        <w:t>11.3.2</w:t>
      </w:r>
      <w:r>
        <w:rPr>
          <w:rFonts w:hint="eastAsia" w:ascii="宋体" w:hAnsi="宋体" w:eastAsia="宋体" w:cs="宋体"/>
          <w:b w:val="0"/>
          <w:bCs w:val="0"/>
          <w:snapToGrid w:val="0"/>
          <w:color w:val="auto"/>
          <w:kern w:val="0"/>
          <w:highlight w:val="none"/>
        </w:rPr>
        <w:t xml:space="preserve"> 投标人如有招标文件要求提交的用于评审的证书、证件、证明原件（附一式两份清单），由投标人法定代表人或其委托代理人在指定的时间和地点递交（见</w:t>
      </w:r>
      <w:r>
        <w:rPr>
          <w:rFonts w:hint="eastAsia" w:ascii="宋体" w:hAnsi="宋体" w:eastAsia="宋体" w:cs="宋体"/>
          <w:color w:val="auto"/>
          <w:sz w:val="24"/>
          <w:szCs w:val="24"/>
          <w:highlight w:val="none"/>
          <w:lang w:val="en-US" w:eastAsia="zh-CN"/>
        </w:rPr>
        <w:t>本章</w:t>
      </w:r>
      <w:r>
        <w:rPr>
          <w:rFonts w:hint="eastAsia" w:ascii="宋体" w:hAnsi="宋体" w:eastAsia="宋体" w:cs="宋体"/>
          <w:snapToGrid w:val="0"/>
          <w:color w:val="auto"/>
          <w:kern w:val="0"/>
          <w:szCs w:val="24"/>
          <w:highlight w:val="none"/>
        </w:rPr>
        <w:t>第二节</w:t>
      </w:r>
      <w:r>
        <w:rPr>
          <w:rFonts w:hint="eastAsia" w:ascii="宋体" w:hAnsi="宋体" w:eastAsia="宋体" w:cs="宋体"/>
          <w:color w:val="auto"/>
          <w:sz w:val="24"/>
          <w:szCs w:val="24"/>
          <w:highlight w:val="none"/>
        </w:rPr>
        <w:t>“重要事项时间地点一览表”</w:t>
      </w:r>
      <w:r>
        <w:rPr>
          <w:rFonts w:hint="eastAsia" w:ascii="宋体" w:hAnsi="宋体" w:eastAsia="宋体" w:cs="宋体"/>
          <w:b w:val="0"/>
          <w:bCs w:val="0"/>
          <w:snapToGrid w:val="0"/>
          <w:color w:val="auto"/>
          <w:kern w:val="0"/>
          <w:highlight w:val="none"/>
        </w:rPr>
        <w:t>）。</w:t>
      </w:r>
    </w:p>
    <w:p w14:paraId="340EE475">
      <w:pPr>
        <w:pStyle w:val="12"/>
        <w:keepNext/>
        <w:keepLines/>
        <w:pageBreakBefore w:val="0"/>
        <w:widowControl w:val="0"/>
        <w:shd w:val="clear" w:color="auto" w:fill="auto"/>
        <w:kinsoku/>
        <w:wordWrap/>
        <w:overflowPunct/>
        <w:topLinePunct w:val="0"/>
        <w:autoSpaceDE/>
        <w:autoSpaceDN/>
        <w:bidi w:val="0"/>
        <w:adjustRightInd/>
        <w:snapToGrid/>
        <w:spacing w:before="240"/>
        <w:jc w:val="left"/>
        <w:textAlignment w:val="auto"/>
        <w:rPr>
          <w:rFonts w:hint="eastAsia" w:ascii="宋体" w:hAnsi="宋体" w:eastAsia="宋体" w:cs="宋体"/>
          <w:b/>
          <w:snapToGrid w:val="0"/>
          <w:color w:val="auto"/>
          <w:highlight w:val="none"/>
        </w:rPr>
      </w:pPr>
      <w:bookmarkStart w:id="205" w:name="_Toc23904"/>
      <w:bookmarkStart w:id="206" w:name="_Toc12850"/>
      <w:bookmarkStart w:id="207" w:name="_Toc17228"/>
      <w:bookmarkStart w:id="208" w:name="_Toc372"/>
      <w:bookmarkStart w:id="209" w:name="_Toc8371"/>
      <w:bookmarkStart w:id="210" w:name="_Toc8384"/>
      <w:bookmarkStart w:id="211" w:name="_Toc9067"/>
      <w:bookmarkStart w:id="212" w:name="_Toc18783"/>
      <w:bookmarkStart w:id="213" w:name="_Toc7230"/>
      <w:bookmarkStart w:id="214" w:name="_Toc13375"/>
      <w:bookmarkStart w:id="215" w:name="_Toc11440"/>
      <w:r>
        <w:rPr>
          <w:rFonts w:hint="eastAsia" w:ascii="宋体" w:hAnsi="宋体" w:eastAsia="宋体" w:cs="宋体"/>
          <w:b/>
          <w:snapToGrid w:val="0"/>
          <w:color w:val="auto"/>
          <w:highlight w:val="none"/>
        </w:rPr>
        <w:t>12．</w:t>
      </w:r>
      <w:bookmarkEnd w:id="204"/>
      <w:bookmarkEnd w:id="205"/>
      <w:bookmarkEnd w:id="206"/>
      <w:bookmarkEnd w:id="207"/>
      <w:bookmarkEnd w:id="208"/>
      <w:bookmarkEnd w:id="209"/>
      <w:bookmarkEnd w:id="210"/>
      <w:bookmarkEnd w:id="211"/>
      <w:bookmarkEnd w:id="212"/>
      <w:bookmarkEnd w:id="213"/>
      <w:r>
        <w:rPr>
          <w:rFonts w:hint="eastAsia" w:ascii="宋体" w:hAnsi="宋体" w:eastAsia="宋体" w:cs="宋体"/>
          <w:b/>
          <w:snapToGrid w:val="0"/>
          <w:color w:val="auto"/>
          <w:highlight w:val="none"/>
        </w:rPr>
        <w:t>电子投标及投标解密失败及突发情况的补救方案</w:t>
      </w:r>
      <w:bookmarkEnd w:id="214"/>
      <w:bookmarkEnd w:id="215"/>
    </w:p>
    <w:p w14:paraId="397D489F">
      <w:pPr>
        <w:pStyle w:val="50"/>
        <w:shd w:val="clear" w:color="auto" w:fill="auto"/>
        <w:wordWrap w:val="0"/>
        <w:adjustRightInd w:val="0"/>
        <w:snapToGrid w:val="0"/>
        <w:spacing w:line="440" w:lineRule="exact"/>
        <w:ind w:firstLine="482" w:firstLineChars="20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szCs w:val="20"/>
          <w:highlight w:val="none"/>
        </w:rPr>
        <w:t>12.1</w:t>
      </w:r>
      <w:r>
        <w:rPr>
          <w:rFonts w:hint="eastAsia" w:ascii="宋体" w:hAnsi="宋体" w:eastAsia="宋体" w:cs="宋体"/>
          <w:snapToGrid w:val="0"/>
          <w:color w:val="auto"/>
          <w:kern w:val="0"/>
          <w:sz w:val="24"/>
          <w:highlight w:val="none"/>
        </w:rPr>
        <w:t xml:space="preserve"> 按照交易平台关于全流程电子化项目的相关指南进行操作。详见：</w:t>
      </w:r>
      <w:r>
        <w:rPr>
          <w:rFonts w:hint="eastAsia" w:ascii="宋体" w:hAnsi="宋体" w:eastAsia="宋体" w:cs="宋体"/>
          <w:snapToGrid w:val="0"/>
          <w:color w:val="auto"/>
          <w:kern w:val="0"/>
          <w:sz w:val="24"/>
          <w:highlight w:val="none"/>
          <w:lang w:eastAsia="zh-CN"/>
        </w:rPr>
        <w:t>全国公共资源交易平台 （广东省·韶关市）</w:t>
      </w:r>
      <w:r>
        <w:rPr>
          <w:rFonts w:hint="eastAsia" w:ascii="宋体" w:hAnsi="宋体" w:eastAsia="宋体" w:cs="宋体"/>
          <w:snapToGrid w:val="0"/>
          <w:color w:val="auto"/>
          <w:kern w:val="0"/>
          <w:sz w:val="24"/>
          <w:highlight w:val="none"/>
        </w:rPr>
        <w:t>交易指引栏目发布的最新版操作指引。</w:t>
      </w:r>
    </w:p>
    <w:p w14:paraId="15588BE8">
      <w:pPr>
        <w:pStyle w:val="50"/>
        <w:shd w:val="clear" w:color="auto" w:fill="auto"/>
        <w:wordWrap w:val="0"/>
        <w:adjustRightInd w:val="0"/>
        <w:snapToGrid w:val="0"/>
        <w:spacing w:line="440" w:lineRule="exact"/>
        <w:ind w:firstLine="482" w:firstLineChars="20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szCs w:val="20"/>
          <w:highlight w:val="none"/>
        </w:rPr>
        <w:t>12.2</w:t>
      </w:r>
      <w:r>
        <w:rPr>
          <w:rFonts w:hint="eastAsia" w:ascii="宋体" w:hAnsi="宋体" w:eastAsia="宋体" w:cs="宋体"/>
          <w:snapToGrid w:val="0"/>
          <w:color w:val="auto"/>
          <w:kern w:val="0"/>
          <w:sz w:val="24"/>
          <w:highlight w:val="none"/>
        </w:rPr>
        <w:t xml:space="preserve"> </w:t>
      </w:r>
      <w:r>
        <w:rPr>
          <w:rFonts w:hint="eastAsia" w:ascii="宋体" w:hAnsi="宋体" w:eastAsia="宋体" w:cs="宋体"/>
          <w:b/>
          <w:bCs/>
          <w:snapToGrid w:val="0"/>
          <w:color w:val="auto"/>
          <w:kern w:val="0"/>
          <w:sz w:val="24"/>
          <w:highlight w:val="none"/>
        </w:rPr>
        <w:t>补救方案</w:t>
      </w:r>
    </w:p>
    <w:p w14:paraId="45A292AE">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r>
        <w:rPr>
          <w:rFonts w:hint="eastAsia" w:ascii="宋体" w:hAnsi="宋体" w:eastAsia="宋体" w:cs="宋体"/>
          <w:b/>
          <w:bCs/>
          <w:snapToGrid w:val="0"/>
          <w:color w:val="auto"/>
          <w:kern w:val="0"/>
          <w:highlight w:val="none"/>
        </w:rPr>
        <w:t>电子投标文件解密失败且未在规定的时限内按要求成功上传未加密的备用投标文件的，视为无效投标。</w:t>
      </w:r>
    </w:p>
    <w:p w14:paraId="3CDB1ED6">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lang w:eastAsia="zh-CN"/>
        </w:rPr>
      </w:pPr>
      <w:r>
        <w:rPr>
          <w:rFonts w:hint="eastAsia" w:ascii="宋体" w:hAnsi="宋体" w:eastAsia="宋体" w:cs="宋体"/>
          <w:snapToGrid w:val="0"/>
          <w:color w:val="auto"/>
          <w:kern w:val="0"/>
          <w:highlight w:val="none"/>
        </w:rPr>
        <w:t>（2）在评标过程中，因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1CDC5B72">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lang w:eastAsia="zh-CN"/>
        </w:rPr>
      </w:pPr>
      <w:r>
        <w:rPr>
          <w:rFonts w:hint="eastAsia" w:ascii="宋体" w:hAnsi="宋体" w:eastAsia="宋体" w:cs="宋体"/>
          <w:snapToGrid w:val="0"/>
          <w:color w:val="auto"/>
          <w:kern w:val="0"/>
          <w:highlight w:val="none"/>
        </w:rPr>
        <w:t>（3）除发生上述情况外，开标评标均以投标人通过交易平台网上提交的电子投标文件为准。</w:t>
      </w:r>
    </w:p>
    <w:p w14:paraId="44254B70">
      <w:pPr>
        <w:shd w:val="clear" w:color="auto" w:fill="auto"/>
        <w:wordWrap w:val="0"/>
        <w:adjustRightInd w:val="0"/>
        <w:snapToGrid w:val="0"/>
        <w:spacing w:line="440" w:lineRule="exact"/>
        <w:ind w:firstLine="482" w:firstLineChars="200"/>
        <w:outlineLvl w:val="2"/>
        <w:rPr>
          <w:rFonts w:hint="eastAsia" w:ascii="宋体" w:hAnsi="宋体" w:eastAsia="宋体" w:cs="宋体"/>
          <w:snapToGrid w:val="0"/>
          <w:color w:val="auto"/>
          <w:kern w:val="0"/>
          <w:highlight w:val="none"/>
        </w:rPr>
      </w:pPr>
      <w:bookmarkStart w:id="216" w:name="_Toc22212"/>
      <w:bookmarkStart w:id="217" w:name="_Toc24499"/>
      <w:bookmarkStart w:id="218" w:name="_Toc6192"/>
      <w:bookmarkStart w:id="219" w:name="_Toc22389"/>
      <w:bookmarkStart w:id="220" w:name="_Toc28656"/>
      <w:bookmarkStart w:id="221" w:name="_Toc15056"/>
      <w:bookmarkStart w:id="222" w:name="_Toc28771"/>
      <w:bookmarkStart w:id="223" w:name="_Toc3479"/>
      <w:bookmarkStart w:id="224" w:name="_Toc10059"/>
      <w:bookmarkStart w:id="225" w:name="_Toc18672"/>
      <w:r>
        <w:rPr>
          <w:rFonts w:hint="eastAsia" w:ascii="宋体" w:hAnsi="宋体" w:eastAsia="宋体" w:cs="宋体"/>
          <w:b/>
          <w:snapToGrid w:val="0"/>
          <w:color w:val="auto"/>
          <w:kern w:val="0"/>
          <w:highlight w:val="none"/>
        </w:rPr>
        <w:t>13．投标有效期</w:t>
      </w:r>
      <w:bookmarkEnd w:id="216"/>
      <w:bookmarkEnd w:id="217"/>
      <w:bookmarkEnd w:id="218"/>
      <w:bookmarkEnd w:id="219"/>
      <w:bookmarkEnd w:id="220"/>
      <w:bookmarkEnd w:id="221"/>
      <w:bookmarkEnd w:id="222"/>
      <w:bookmarkEnd w:id="223"/>
      <w:bookmarkEnd w:id="224"/>
      <w:bookmarkEnd w:id="225"/>
    </w:p>
    <w:p w14:paraId="7EA1E28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本次招标投标有效期为90个日历天，自招标人或其授权的招标代理机构接收投标人递交的投标文件之日起计。在此期间，投标人不得撤销或修改其投标文件，否则其投标保证不予退还。</w:t>
      </w:r>
    </w:p>
    <w:p w14:paraId="0487379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69BB8F38">
      <w:pPr>
        <w:shd w:val="clear" w:color="auto" w:fill="auto"/>
        <w:wordWrap w:val="0"/>
        <w:adjustRightInd w:val="0"/>
        <w:snapToGrid w:val="0"/>
        <w:spacing w:line="440" w:lineRule="exact"/>
        <w:ind w:firstLine="482" w:firstLineChars="200"/>
        <w:outlineLvl w:val="2"/>
        <w:rPr>
          <w:rFonts w:hint="eastAsia" w:ascii="宋体" w:hAnsi="宋体" w:eastAsia="宋体" w:cs="宋体"/>
          <w:snapToGrid w:val="0"/>
          <w:color w:val="auto"/>
          <w:kern w:val="0"/>
          <w:highlight w:val="none"/>
        </w:rPr>
      </w:pPr>
      <w:bookmarkStart w:id="226" w:name="_Toc3636"/>
      <w:bookmarkStart w:id="227" w:name="_Toc18658"/>
      <w:bookmarkStart w:id="228" w:name="_Toc5946"/>
      <w:bookmarkStart w:id="229" w:name="_Toc29341"/>
      <w:bookmarkStart w:id="230" w:name="_Toc17676"/>
      <w:bookmarkStart w:id="231" w:name="_Toc18547"/>
      <w:bookmarkStart w:id="232" w:name="_Toc15804"/>
      <w:bookmarkStart w:id="233" w:name="_Toc23878"/>
      <w:bookmarkStart w:id="234" w:name="_Toc16024"/>
      <w:bookmarkStart w:id="235" w:name="_Toc1214"/>
      <w:r>
        <w:rPr>
          <w:rFonts w:hint="eastAsia" w:ascii="宋体" w:hAnsi="宋体" w:eastAsia="宋体" w:cs="宋体"/>
          <w:b/>
          <w:snapToGrid w:val="0"/>
          <w:color w:val="auto"/>
          <w:kern w:val="0"/>
          <w:highlight w:val="none"/>
        </w:rPr>
        <w:t>14．开标</w:t>
      </w:r>
      <w:bookmarkEnd w:id="226"/>
      <w:bookmarkEnd w:id="227"/>
      <w:bookmarkEnd w:id="228"/>
      <w:bookmarkEnd w:id="229"/>
      <w:bookmarkEnd w:id="230"/>
      <w:bookmarkEnd w:id="231"/>
      <w:bookmarkEnd w:id="232"/>
      <w:bookmarkEnd w:id="233"/>
      <w:bookmarkEnd w:id="234"/>
      <w:bookmarkEnd w:id="235"/>
    </w:p>
    <w:p w14:paraId="43C89B61">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14.1</w:t>
      </w:r>
      <w:r>
        <w:rPr>
          <w:rFonts w:hint="eastAsia" w:ascii="宋体" w:hAnsi="宋体" w:eastAsia="宋体" w:cs="宋体"/>
          <w:snapToGrid w:val="0"/>
          <w:color w:val="auto"/>
          <w:kern w:val="0"/>
          <w:sz w:val="24"/>
          <w:highlight w:val="none"/>
        </w:rPr>
        <w:t xml:space="preserve"> 招标人邀请所有正确完成了</w:t>
      </w:r>
      <w:r>
        <w:rPr>
          <w:rFonts w:hint="eastAsia" w:ascii="宋体" w:hAnsi="宋体" w:eastAsia="宋体" w:cs="宋体"/>
          <w:snapToGrid w:val="0"/>
          <w:color w:val="auto"/>
          <w:kern w:val="0"/>
          <w:sz w:val="24"/>
          <w:szCs w:val="24"/>
          <w:highlight w:val="none"/>
        </w:rPr>
        <w:t>网上</w:t>
      </w:r>
      <w:r>
        <w:rPr>
          <w:rFonts w:hint="eastAsia" w:ascii="宋体" w:hAnsi="宋体" w:eastAsia="宋体" w:cs="宋体"/>
          <w:snapToGrid w:val="0"/>
          <w:color w:val="auto"/>
          <w:kern w:val="0"/>
          <w:sz w:val="24"/>
          <w:szCs w:val="24"/>
          <w:highlight w:val="none"/>
          <w:lang w:eastAsia="zh-CN"/>
        </w:rPr>
        <w:t>获取招标文件</w:t>
      </w:r>
      <w:r>
        <w:rPr>
          <w:rFonts w:hint="eastAsia" w:ascii="宋体" w:hAnsi="宋体" w:eastAsia="宋体" w:cs="宋体"/>
          <w:snapToGrid w:val="0"/>
          <w:color w:val="auto"/>
          <w:kern w:val="0"/>
          <w:sz w:val="24"/>
          <w:highlight w:val="none"/>
        </w:rPr>
        <w:t>、电子投标、缴纳投标保证的投标人参加开标</w:t>
      </w:r>
      <w:r>
        <w:rPr>
          <w:rFonts w:hint="eastAsia" w:ascii="宋体" w:hAnsi="宋体" w:eastAsia="宋体" w:cs="宋体"/>
          <w:b w:val="0"/>
          <w:bCs w:val="0"/>
          <w:snapToGrid w:val="0"/>
          <w:color w:val="auto"/>
          <w:kern w:val="0"/>
          <w:sz w:val="24"/>
          <w:highlight w:val="none"/>
        </w:rPr>
        <w:t>，投标人可自主决定是否参加</w:t>
      </w:r>
      <w:r>
        <w:rPr>
          <w:rFonts w:hint="eastAsia" w:ascii="宋体" w:hAnsi="宋体" w:eastAsia="宋体" w:cs="宋体"/>
          <w:snapToGrid w:val="0"/>
          <w:color w:val="auto"/>
          <w:kern w:val="0"/>
          <w:sz w:val="24"/>
          <w:highlight w:val="none"/>
        </w:rPr>
        <w:t>。投标人可登陆交易平台观看开标实况、提出异议或进行澄清、确认等操作（具体按招标文件和系统操作手册为准）。投标人不参加开标的，视其默认开标结果，以及放弃在开标期间见证、监督、投诉、申辩的权利。</w:t>
      </w:r>
    </w:p>
    <w:p w14:paraId="4BF66AFB">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szCs w:val="20"/>
          <w:highlight w:val="none"/>
        </w:rPr>
        <w:t>14.1.1</w:t>
      </w:r>
      <w:r>
        <w:rPr>
          <w:rFonts w:hint="eastAsia" w:ascii="宋体" w:hAnsi="宋体" w:eastAsia="宋体" w:cs="宋体"/>
          <w:snapToGrid w:val="0"/>
          <w:color w:val="auto"/>
          <w:kern w:val="0"/>
          <w:sz w:val="24"/>
          <w:highlight w:val="none"/>
        </w:rPr>
        <w:t xml:space="preserve"> 开标时间和地点：见</w:t>
      </w:r>
      <w:r>
        <w:rPr>
          <w:rFonts w:hint="eastAsia" w:ascii="宋体" w:hAnsi="宋体" w:eastAsia="宋体" w:cs="宋体"/>
          <w:snapToGrid w:val="0"/>
          <w:color w:val="auto"/>
          <w:kern w:val="0"/>
          <w:sz w:val="24"/>
          <w:highlight w:val="none"/>
          <w:lang w:val="en-US" w:eastAsia="zh-CN"/>
        </w:rPr>
        <w:t>本章</w:t>
      </w:r>
      <w:r>
        <w:rPr>
          <w:rFonts w:hint="eastAsia" w:ascii="宋体" w:hAnsi="宋体" w:eastAsia="宋体" w:cs="宋体"/>
          <w:snapToGrid w:val="0"/>
          <w:color w:val="auto"/>
          <w:kern w:val="0"/>
          <w:sz w:val="24"/>
          <w:highlight w:val="none"/>
        </w:rPr>
        <w:t>第二节“重要事项时间地点一览表”。</w:t>
      </w:r>
    </w:p>
    <w:p w14:paraId="1F39C41D">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szCs w:val="20"/>
          <w:highlight w:val="none"/>
        </w:rPr>
        <w:t>14.1.2</w:t>
      </w:r>
      <w:r>
        <w:rPr>
          <w:rFonts w:hint="eastAsia" w:ascii="宋体" w:hAnsi="宋体" w:eastAsia="宋体" w:cs="宋体"/>
          <w:snapToGrid w:val="0"/>
          <w:color w:val="auto"/>
          <w:kern w:val="0"/>
          <w:sz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招标文件“重要事项时间地点一览表”）至电子投标截止时间（见本招标文件“重要事项时间地点一览表”）期间登录</w:t>
      </w:r>
      <w:r>
        <w:rPr>
          <w:rFonts w:hint="eastAsia" w:ascii="宋体" w:hAnsi="宋体" w:eastAsia="宋体" w:cs="宋体"/>
          <w:snapToGrid w:val="0"/>
          <w:color w:val="auto"/>
          <w:kern w:val="0"/>
          <w:sz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highlight w:val="none"/>
        </w:rPr>
        <w:t>查询是否发布了取消开标活动的相关信息。</w:t>
      </w:r>
    </w:p>
    <w:p w14:paraId="4E7A33F2">
      <w:pPr>
        <w:pStyle w:val="50"/>
        <w:shd w:val="clear" w:color="auto" w:fill="auto"/>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szCs w:val="20"/>
          <w:highlight w:val="none"/>
          <w:lang w:val="en-US" w:eastAsia="zh-CN"/>
        </w:rPr>
        <w:t>14.1</w:t>
      </w:r>
      <w:r>
        <w:rPr>
          <w:rFonts w:hint="eastAsia" w:ascii="宋体" w:hAnsi="宋体" w:eastAsia="宋体" w:cs="宋体"/>
          <w:b/>
          <w:bCs/>
          <w:snapToGrid w:val="0"/>
          <w:color w:val="auto"/>
          <w:kern w:val="0"/>
          <w:sz w:val="24"/>
          <w:szCs w:val="20"/>
          <w:highlight w:val="none"/>
        </w:rPr>
        <w:t xml:space="preserve">.3 </w:t>
      </w:r>
      <w:r>
        <w:rPr>
          <w:rFonts w:hint="eastAsia" w:ascii="宋体" w:hAnsi="宋体" w:eastAsia="宋体" w:cs="宋体"/>
          <w:snapToGrid w:val="0"/>
          <w:color w:val="auto"/>
          <w:kern w:val="0"/>
          <w:sz w:val="24"/>
          <w:highlight w:val="none"/>
        </w:rPr>
        <w:t>本项目实行全流程电子化招标投标，</w:t>
      </w:r>
      <w:r>
        <w:rPr>
          <w:rFonts w:hint="eastAsia" w:ascii="宋体" w:hAnsi="宋体" w:eastAsia="宋体" w:cs="宋体"/>
          <w:snapToGrid w:val="0"/>
          <w:color w:val="auto"/>
          <w:kern w:val="0"/>
          <w:sz w:val="24"/>
          <w:highlight w:val="none"/>
          <w:lang w:val="en-US" w:eastAsia="zh-CN"/>
        </w:rPr>
        <w:t>投标</w:t>
      </w:r>
      <w:r>
        <w:rPr>
          <w:rFonts w:hint="eastAsia" w:ascii="宋体" w:hAnsi="宋体" w:eastAsia="宋体" w:cs="宋体"/>
          <w:snapToGrid w:val="0"/>
          <w:color w:val="auto"/>
          <w:kern w:val="0"/>
          <w:sz w:val="24"/>
          <w:highlight w:val="none"/>
        </w:rPr>
        <w:t>人在交易平台按要求上传加盖电子印章并经加密的电子投标文件，并在交易平台录准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1126241B">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14.2</w:t>
      </w:r>
      <w:r>
        <w:rPr>
          <w:rFonts w:hint="eastAsia" w:ascii="宋体" w:hAnsi="宋体" w:eastAsia="宋体" w:cs="宋体"/>
          <w:snapToGrid w:val="0"/>
          <w:color w:val="auto"/>
          <w:kern w:val="0"/>
          <w:highlight w:val="none"/>
        </w:rPr>
        <w:t xml:space="preserve"> 开标程序</w:t>
      </w:r>
    </w:p>
    <w:p w14:paraId="282D0E7F">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（1）主持人（招标人代表或招标人授权的招标代理机构人员）宣读开标纪律。</w:t>
      </w:r>
    </w:p>
    <w:p w14:paraId="600E2F4A">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（2）主持人宣布唱标人、记录人、见证人、监督人等有关人员姓名。</w:t>
      </w:r>
    </w:p>
    <w:p w14:paraId="46FEB706">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lang w:eastAsia="zh-CN"/>
        </w:rPr>
      </w:pPr>
      <w:r>
        <w:rPr>
          <w:rFonts w:hint="eastAsia" w:ascii="宋体" w:hAnsi="宋体" w:eastAsia="宋体" w:cs="宋体"/>
          <w:snapToGrid w:val="0"/>
          <w:color w:val="auto"/>
          <w:kern w:val="0"/>
          <w:highlight w:val="none"/>
        </w:rPr>
        <w:t>（3）唱标人公布在投标截止时间前</w:t>
      </w:r>
      <w:r>
        <w:rPr>
          <w:rFonts w:hint="eastAsia" w:ascii="宋体" w:hAnsi="宋体" w:eastAsia="宋体" w:cs="宋体"/>
          <w:snapToGrid w:val="0"/>
          <w:color w:val="auto"/>
          <w:kern w:val="0"/>
          <w:highlight w:val="none"/>
          <w:lang w:val="en-US" w:eastAsia="zh-CN"/>
        </w:rPr>
        <w:t>提</w:t>
      </w:r>
      <w:r>
        <w:rPr>
          <w:rFonts w:hint="eastAsia" w:ascii="宋体" w:hAnsi="宋体" w:eastAsia="宋体" w:cs="宋体"/>
          <w:snapToGrid w:val="0"/>
          <w:color w:val="auto"/>
          <w:kern w:val="0"/>
          <w:highlight w:val="none"/>
        </w:rPr>
        <w:t>交</w:t>
      </w:r>
      <w:r>
        <w:rPr>
          <w:rFonts w:hint="eastAsia" w:ascii="宋体" w:hAnsi="宋体" w:eastAsia="宋体" w:cs="宋体"/>
          <w:snapToGrid w:val="0"/>
          <w:color w:val="auto"/>
          <w:kern w:val="0"/>
          <w:highlight w:val="none"/>
          <w:lang w:val="en-US" w:eastAsia="zh-CN"/>
        </w:rPr>
        <w:t>电子</w:t>
      </w:r>
      <w:r>
        <w:rPr>
          <w:rFonts w:hint="eastAsia" w:ascii="宋体" w:hAnsi="宋体" w:eastAsia="宋体" w:cs="宋体"/>
          <w:snapToGrid w:val="0"/>
          <w:color w:val="auto"/>
          <w:kern w:val="0"/>
          <w:highlight w:val="none"/>
        </w:rPr>
        <w:t>投标文件的投标人数量和名称</w:t>
      </w:r>
      <w:r>
        <w:rPr>
          <w:rFonts w:hint="eastAsia" w:ascii="宋体" w:hAnsi="宋体" w:eastAsia="宋体" w:cs="宋体"/>
          <w:snapToGrid w:val="0"/>
          <w:color w:val="auto"/>
          <w:kern w:val="0"/>
          <w:highlight w:val="none"/>
          <w:lang w:eastAsia="zh-CN"/>
        </w:rPr>
        <w:t>。</w:t>
      </w:r>
    </w:p>
    <w:p w14:paraId="02A008F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w:t>
      </w:r>
      <w:r>
        <w:rPr>
          <w:rFonts w:hint="eastAsia" w:ascii="宋体" w:hAnsi="宋体" w:eastAsia="宋体" w:cs="宋体"/>
          <w:color w:val="auto"/>
          <w:sz w:val="24"/>
          <w:szCs w:val="24"/>
          <w:highlight w:val="none"/>
        </w:rPr>
        <w:t>招标代理机构在交易场所工作人员的见证下，</w:t>
      </w:r>
      <w:r>
        <w:rPr>
          <w:rFonts w:hint="eastAsia" w:ascii="宋体" w:hAnsi="宋体" w:eastAsia="宋体" w:cs="宋体"/>
          <w:snapToGrid w:val="0"/>
          <w:color w:val="auto"/>
          <w:kern w:val="0"/>
          <w:sz w:val="24"/>
          <w:highlight w:val="none"/>
        </w:rPr>
        <w:t>对投标人的电子投标信息进行解密，建设工程交易系统自动生成《投标保证缴纳情况表》和《开标一览表》</w:t>
      </w:r>
      <w:r>
        <w:rPr>
          <w:rFonts w:hint="eastAsia" w:ascii="宋体" w:hAnsi="宋体" w:eastAsia="宋体" w:cs="宋体"/>
          <w:color w:val="auto"/>
          <w:szCs w:val="24"/>
          <w:highlight w:val="none"/>
        </w:rPr>
        <w:t>。</w:t>
      </w:r>
    </w:p>
    <w:p w14:paraId="7BB0BD7F">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）唱标人检查《开标一览表》中各投标人的投标总价、监理服务期限是否符合招标文件规定。若不符合规定，招标代理机构应将有关情形在《开标一览表》“备注”栏中注明。</w:t>
      </w:r>
    </w:p>
    <w:p w14:paraId="6A5780F2">
      <w:pPr>
        <w:shd w:val="clear" w:color="auto" w:fill="auto"/>
        <w:wordWrap w:val="0"/>
        <w:adjustRightInd w:val="0"/>
        <w:snapToGrid w:val="0"/>
        <w:spacing w:line="440" w:lineRule="exact"/>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31565832">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）招标人代表、唱标人、记录人等有关人员在《投标保证缴纳情况表》以及《开标一览表》上签字确认。</w:t>
      </w:r>
    </w:p>
    <w:p w14:paraId="468599B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7</w:t>
      </w:r>
      <w:r>
        <w:rPr>
          <w:rFonts w:hint="eastAsia" w:ascii="宋体" w:hAnsi="宋体" w:eastAsia="宋体" w:cs="宋体"/>
          <w:snapToGrid w:val="0"/>
          <w:color w:val="auto"/>
          <w:kern w:val="0"/>
          <w:highlight w:val="none"/>
        </w:rPr>
        <w:t>）主持人宣布有关注意事项后，宣布开标结束。</w:t>
      </w:r>
    </w:p>
    <w:p w14:paraId="2ECBF86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14.3</w:t>
      </w:r>
      <w:r>
        <w:rPr>
          <w:rFonts w:hint="eastAsia" w:ascii="宋体" w:hAnsi="宋体" w:eastAsia="宋体" w:cs="宋体"/>
          <w:snapToGrid w:val="0"/>
          <w:color w:val="auto"/>
          <w:kern w:val="0"/>
          <w:highlight w:val="none"/>
        </w:rPr>
        <w:t xml:space="preserve"> 投标人对开标相关事项（如开标程序、唱标次序和内容等）有异议的，必须在开标期间和开标现场提出，招标人或其授权的招标代理机构应当场作出答复，并记录在案。对开标事项的异议未在开标期间和开标现场提出的，招标人不予受理。</w:t>
      </w:r>
    </w:p>
    <w:p w14:paraId="44AE3024">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14.4</w:t>
      </w:r>
      <w:r>
        <w:rPr>
          <w:rFonts w:hint="eastAsia" w:ascii="宋体" w:hAnsi="宋体" w:eastAsia="宋体" w:cs="宋体"/>
          <w:snapToGrid w:val="0"/>
          <w:color w:val="auto"/>
          <w:kern w:val="0"/>
          <w:highlight w:val="none"/>
        </w:rPr>
        <w:t xml:space="preserve"> 招标代理机构资料原件</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lang w:val="en-US" w:eastAsia="zh-CN"/>
        </w:rPr>
        <w:t>如有）</w:t>
      </w:r>
      <w:r>
        <w:rPr>
          <w:rFonts w:hint="eastAsia" w:ascii="宋体" w:hAnsi="宋体" w:eastAsia="宋体" w:cs="宋体"/>
          <w:snapToGrid w:val="0"/>
          <w:color w:val="auto"/>
          <w:kern w:val="0"/>
          <w:highlight w:val="none"/>
        </w:rPr>
        <w:t>、《开标一览表》以及其他有关资料移交评标委员会。</w:t>
      </w:r>
      <w:bookmarkStart w:id="236" w:name="_Hlt127093805"/>
      <w:bookmarkEnd w:id="236"/>
    </w:p>
    <w:p w14:paraId="30FB01A2">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79452B7E">
      <w:pPr>
        <w:shd w:val="clear" w:color="auto" w:fill="auto"/>
        <w:wordWrap w:val="0"/>
        <w:adjustRightInd w:val="0"/>
        <w:snapToGrid w:val="0"/>
        <w:spacing w:line="440" w:lineRule="exact"/>
        <w:ind w:firstLine="482" w:firstLineChars="200"/>
        <w:outlineLvl w:val="2"/>
        <w:rPr>
          <w:rFonts w:hint="eastAsia" w:ascii="宋体" w:hAnsi="宋体" w:eastAsia="宋体" w:cs="宋体"/>
          <w:b/>
          <w:snapToGrid w:val="0"/>
          <w:color w:val="auto"/>
          <w:kern w:val="0"/>
          <w:highlight w:val="none"/>
        </w:rPr>
      </w:pPr>
      <w:bookmarkStart w:id="237" w:name="_Toc3135"/>
      <w:bookmarkStart w:id="238" w:name="_Toc21857"/>
      <w:bookmarkStart w:id="239" w:name="_Toc15736"/>
      <w:bookmarkStart w:id="240" w:name="_Toc32135"/>
      <w:bookmarkStart w:id="241" w:name="_Toc12385"/>
      <w:bookmarkStart w:id="242" w:name="_Toc13528"/>
      <w:bookmarkStart w:id="243" w:name="_Toc6005"/>
      <w:bookmarkStart w:id="244" w:name="_Toc28982"/>
      <w:bookmarkStart w:id="245" w:name="_Toc7763"/>
      <w:bookmarkStart w:id="246" w:name="_Toc16582"/>
      <w:r>
        <w:rPr>
          <w:rFonts w:hint="eastAsia" w:ascii="宋体" w:hAnsi="宋体" w:eastAsia="宋体" w:cs="宋体"/>
          <w:b/>
          <w:snapToGrid w:val="0"/>
          <w:color w:val="auto"/>
          <w:kern w:val="0"/>
          <w:highlight w:val="none"/>
        </w:rPr>
        <w:t>15．评标</w:t>
      </w:r>
      <w:bookmarkEnd w:id="237"/>
      <w:bookmarkEnd w:id="238"/>
      <w:bookmarkEnd w:id="239"/>
      <w:bookmarkEnd w:id="240"/>
      <w:bookmarkEnd w:id="241"/>
      <w:bookmarkEnd w:id="242"/>
      <w:bookmarkEnd w:id="243"/>
      <w:bookmarkEnd w:id="244"/>
      <w:bookmarkEnd w:id="245"/>
      <w:bookmarkEnd w:id="246"/>
    </w:p>
    <w:p w14:paraId="5DBEB83F">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评标分为初步评审和详细评审两个阶段，由评标委员会在有关部门的监督下，严格按照本招标文件指定的评标方法，对投标人的投标文件进行评审。</w:t>
      </w:r>
    </w:p>
    <w:p w14:paraId="3132BD23">
      <w:pPr>
        <w:shd w:val="clear" w:color="auto" w:fill="auto"/>
        <w:wordWrap w:val="0"/>
        <w:adjustRightInd w:val="0"/>
        <w:snapToGrid w:val="0"/>
        <w:spacing w:line="440" w:lineRule="exact"/>
        <w:ind w:firstLine="482" w:firstLineChars="200"/>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highlight w:val="none"/>
        </w:rPr>
        <w:t>15.1</w:t>
      </w:r>
      <w:r>
        <w:rPr>
          <w:rFonts w:hint="eastAsia" w:ascii="宋体" w:hAnsi="宋体" w:eastAsia="宋体" w:cs="宋体"/>
          <w:bCs/>
          <w:snapToGrid w:val="0"/>
          <w:color w:val="auto"/>
          <w:kern w:val="0"/>
          <w:highlight w:val="none"/>
        </w:rPr>
        <w:t xml:space="preserve"> 评标委员会</w:t>
      </w:r>
    </w:p>
    <w:p w14:paraId="6849957D">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15.1.1</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szCs w:val="24"/>
          <w:highlight w:val="none"/>
        </w:rPr>
        <w:t>评标委员会由5人组成，其中招标人代表 0人，专家5人。专家从广东省综合评标评审专家库</w:t>
      </w:r>
      <w:r>
        <w:rPr>
          <w:rFonts w:hint="eastAsia" w:ascii="宋体" w:hAnsi="宋体" w:eastAsia="宋体" w:cs="宋体"/>
          <w:snapToGrid w:val="0"/>
          <w:color w:val="auto"/>
          <w:kern w:val="0"/>
          <w:szCs w:val="24"/>
          <w:highlight w:val="none"/>
          <w:lang w:val="en-US" w:eastAsia="zh-CN"/>
        </w:rPr>
        <w:t>--韶关区域</w:t>
      </w:r>
      <w:r>
        <w:rPr>
          <w:rFonts w:hint="eastAsia" w:ascii="宋体" w:hAnsi="宋体" w:eastAsia="宋体" w:cs="宋体"/>
          <w:snapToGrid w:val="0"/>
          <w:color w:val="auto"/>
          <w:kern w:val="0"/>
          <w:szCs w:val="24"/>
          <w:highlight w:val="none"/>
        </w:rPr>
        <w:t>中随机抽取，其中技术类专家3人，经济类专家2人。</w:t>
      </w:r>
      <w:r>
        <w:rPr>
          <w:rFonts w:hint="eastAsia" w:ascii="宋体" w:hAnsi="宋体" w:eastAsia="宋体" w:cs="宋体"/>
          <w:snapToGrid w:val="0"/>
          <w:color w:val="auto"/>
          <w:kern w:val="0"/>
          <w:highlight w:val="none"/>
        </w:rPr>
        <w:t>评标委员会设负责人，由评标委员会成员推举产生。评标委员会负责人与评标委员会的其他成员有同等的表决权。</w:t>
      </w:r>
    </w:p>
    <w:p w14:paraId="31120EBA">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15.1.2</w:t>
      </w:r>
      <w:r>
        <w:rPr>
          <w:rFonts w:hint="eastAsia" w:ascii="宋体" w:hAnsi="宋体" w:eastAsia="宋体" w:cs="宋体"/>
          <w:snapToGrid w:val="0"/>
          <w:color w:val="auto"/>
          <w:kern w:val="0"/>
          <w:highlight w:val="none"/>
        </w:rPr>
        <w:t xml:space="preserve"> 评标委员会应认真、公正、诚实、廉洁地履行职责。有下列情形之一的，不得担任评标委员会成员：</w:t>
      </w:r>
    </w:p>
    <w:p w14:paraId="2CC83A74">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（1）投标人或投标人主要负责人的近亲属；</w:t>
      </w:r>
    </w:p>
    <w:p w14:paraId="19D45651">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（2）项目主管部门或者行政监督部门的人员；</w:t>
      </w:r>
    </w:p>
    <w:p w14:paraId="2A46B62C">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（3）与投标人有经济利益关系，可能影响对投标公正评审的；</w:t>
      </w:r>
    </w:p>
    <w:p w14:paraId="136E0E43">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（4）曾因在招标、评标以及其他与招标投标有关活动中从事违法行为而受过行政处罚或刑事处罚的。</w:t>
      </w:r>
    </w:p>
    <w:p w14:paraId="77F5848D">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评标委员会成员有以上情形之一的，应主动提出回避。</w:t>
      </w:r>
    </w:p>
    <w:p w14:paraId="29B0AE37">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15.1.3</w:t>
      </w:r>
      <w:r>
        <w:rPr>
          <w:rFonts w:hint="eastAsia" w:ascii="宋体" w:hAnsi="宋体" w:eastAsia="宋体" w:cs="宋体"/>
          <w:snapToGrid w:val="0"/>
          <w:color w:val="auto"/>
          <w:kern w:val="0"/>
          <w:highlight w:val="none"/>
        </w:rPr>
        <w:t xml:space="preserve"> 评标全过程实行封闭式管理，在中标结果公布前，禁止评标委员会成员以任何方式私下接触投标人。</w:t>
      </w:r>
    </w:p>
    <w:p w14:paraId="620578A0">
      <w:pPr>
        <w:shd w:val="clear" w:color="auto" w:fill="auto"/>
        <w:wordWrap w:val="0"/>
        <w:adjustRightInd w:val="0"/>
        <w:snapToGrid w:val="0"/>
        <w:spacing w:line="440" w:lineRule="exact"/>
        <w:ind w:firstLine="480" w:firstLineChars="200"/>
        <w:rPr>
          <w:rFonts w:hint="eastAsia" w:ascii="宋体" w:hAnsi="宋体" w:eastAsia="宋体" w:cs="宋体"/>
          <w:b w:val="0"/>
          <w:bCs w:val="0"/>
          <w:snapToGrid w:val="0"/>
          <w:color w:val="auto"/>
          <w:kern w:val="0"/>
          <w:highlight w:val="none"/>
        </w:rPr>
      </w:pPr>
      <w:r>
        <w:rPr>
          <w:rFonts w:hint="eastAsia" w:ascii="宋体" w:hAnsi="宋体" w:eastAsia="宋体" w:cs="宋体"/>
          <w:b w:val="0"/>
          <w:bCs w:val="0"/>
          <w:snapToGrid w:val="0"/>
          <w:color w:val="auto"/>
          <w:kern w:val="0"/>
          <w:highlight w:val="none"/>
        </w:rPr>
        <w:t>评标过程中，招标文件明确指定采用现场实时查询的信息资料（如“信用中国”信息等），由招标代理机构工作人员在评标委员会成员、交易场所工作人员共同见证下，使用指定设备登录相关发布网站进行下载、打印，并移交评标委员会。完成评标后，相关查询资料应予妥善保存、归档。</w:t>
      </w:r>
    </w:p>
    <w:p w14:paraId="71249567">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15.1.4</w:t>
      </w:r>
      <w:r>
        <w:rPr>
          <w:rFonts w:hint="eastAsia" w:ascii="宋体" w:hAnsi="宋体" w:eastAsia="宋体" w:cs="宋体"/>
          <w:snapToGrid w:val="0"/>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34AA15E0">
      <w:pPr>
        <w:shd w:val="clear" w:color="auto" w:fill="auto"/>
        <w:wordWrap w:val="0"/>
        <w:adjustRightInd w:val="0"/>
        <w:snapToGrid w:val="0"/>
        <w:spacing w:line="440" w:lineRule="exact"/>
        <w:ind w:firstLine="562"/>
        <w:rPr>
          <w:rFonts w:hint="eastAsia" w:ascii="宋体" w:hAnsi="宋体" w:eastAsia="宋体" w:cs="宋体"/>
          <w:b/>
          <w:snapToGrid w:val="0"/>
          <w:color w:val="auto"/>
          <w:kern w:val="0"/>
          <w:szCs w:val="22"/>
          <w:highlight w:val="none"/>
        </w:rPr>
      </w:pPr>
      <w:r>
        <w:rPr>
          <w:rFonts w:hint="eastAsia" w:ascii="宋体" w:hAnsi="宋体" w:eastAsia="宋体" w:cs="宋体"/>
          <w:b/>
          <w:bCs/>
          <w:snapToGrid w:val="0"/>
          <w:color w:val="auto"/>
          <w:kern w:val="0"/>
          <w:highlight w:val="none"/>
        </w:rPr>
        <w:t>15.1.5</w:t>
      </w:r>
      <w:r>
        <w:rPr>
          <w:rFonts w:hint="eastAsia" w:ascii="宋体" w:hAnsi="宋体" w:eastAsia="宋体" w:cs="宋体"/>
          <w:snapToGrid w:val="0"/>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0A565AE7">
      <w:pPr>
        <w:shd w:val="clear" w:color="auto" w:fill="auto"/>
        <w:wordWrap w:val="0"/>
        <w:adjustRightInd w:val="0"/>
        <w:snapToGrid w:val="0"/>
        <w:spacing w:line="440" w:lineRule="exact"/>
        <w:ind w:firstLine="561"/>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highlight w:val="none"/>
        </w:rPr>
        <w:t>15.2</w:t>
      </w:r>
      <w:r>
        <w:rPr>
          <w:rFonts w:hint="eastAsia" w:ascii="宋体" w:hAnsi="宋体" w:eastAsia="宋体" w:cs="宋体"/>
          <w:bCs/>
          <w:snapToGrid w:val="0"/>
          <w:color w:val="auto"/>
          <w:kern w:val="0"/>
          <w:szCs w:val="22"/>
          <w:highlight w:val="none"/>
        </w:rPr>
        <w:t xml:space="preserve"> 评标方法</w:t>
      </w:r>
    </w:p>
    <w:p w14:paraId="7AFFE96B">
      <w:pPr>
        <w:shd w:val="clear" w:color="auto" w:fill="auto"/>
        <w:wordWrap w:val="0"/>
        <w:adjustRightInd w:val="0"/>
        <w:snapToGrid w:val="0"/>
        <w:spacing w:line="440" w:lineRule="exact"/>
        <w:ind w:firstLine="562"/>
        <w:rPr>
          <w:rFonts w:hint="eastAsia" w:ascii="宋体" w:hAnsi="宋体" w:eastAsia="宋体" w:cs="宋体"/>
          <w:i/>
          <w:iCs/>
          <w:snapToGrid w:val="0"/>
          <w:color w:val="auto"/>
          <w:kern w:val="0"/>
          <w:highlight w:val="none"/>
        </w:rPr>
      </w:pPr>
      <w:r>
        <w:rPr>
          <w:rFonts w:hint="eastAsia" w:ascii="宋体" w:hAnsi="宋体" w:eastAsia="宋体" w:cs="宋体"/>
          <w:snapToGrid w:val="0"/>
          <w:color w:val="auto"/>
          <w:kern w:val="0"/>
          <w:highlight w:val="none"/>
        </w:rPr>
        <w:t>根据有关法律、法规的相关规定，结合本招标项目资金来源和规模特点，本次招标采用“综合评估法”进行评标。</w:t>
      </w:r>
    </w:p>
    <w:p w14:paraId="25726F88">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15.3</w:t>
      </w:r>
      <w:r>
        <w:rPr>
          <w:rFonts w:hint="eastAsia" w:ascii="宋体" w:hAnsi="宋体" w:eastAsia="宋体" w:cs="宋体"/>
          <w:bCs/>
          <w:snapToGrid w:val="0"/>
          <w:color w:val="auto"/>
          <w:kern w:val="0"/>
          <w:szCs w:val="22"/>
          <w:highlight w:val="none"/>
        </w:rPr>
        <w:t xml:space="preserve"> 评审范围：</w:t>
      </w:r>
      <w:r>
        <w:rPr>
          <w:rFonts w:hint="eastAsia" w:ascii="宋体" w:hAnsi="宋体" w:eastAsia="宋体" w:cs="宋体"/>
          <w:snapToGrid w:val="0"/>
          <w:color w:val="auto"/>
          <w:kern w:val="0"/>
          <w:highlight w:val="none"/>
        </w:rPr>
        <w:t>评标委员会应对所有进入评标投标人的投标文件进行评审。</w:t>
      </w:r>
    </w:p>
    <w:p w14:paraId="42457959">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w:t>
      </w:r>
      <w:r>
        <w:rPr>
          <w:rFonts w:hint="eastAsia" w:ascii="宋体" w:hAnsi="宋体" w:eastAsia="宋体" w:cs="宋体"/>
          <w:snapToGrid w:val="0"/>
          <w:color w:val="auto"/>
          <w:kern w:val="0"/>
          <w:highlight w:val="none"/>
        </w:rPr>
        <w:t xml:space="preserve"> 初步评审阶段</w:t>
      </w:r>
    </w:p>
    <w:p w14:paraId="4B9B0E6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初步评审阶段分为资格评审、形式评审和响应性评审三个环节。</w:t>
      </w:r>
    </w:p>
    <w:p w14:paraId="11464FBC">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15.4.1</w:t>
      </w:r>
      <w:r>
        <w:rPr>
          <w:rFonts w:hint="eastAsia" w:ascii="宋体" w:hAnsi="宋体" w:eastAsia="宋体" w:cs="宋体"/>
          <w:snapToGrid w:val="0"/>
          <w:color w:val="auto"/>
          <w:kern w:val="0"/>
          <w:highlight w:val="none"/>
        </w:rPr>
        <w:t xml:space="preserve"> 资格评审环节</w:t>
      </w:r>
    </w:p>
    <w:p w14:paraId="739CDA98">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资格评审事项包括：</w:t>
      </w:r>
    </w:p>
    <w:p w14:paraId="4C195279">
      <w:pPr>
        <w:numPr>
          <w:ilvl w:val="0"/>
          <w:numId w:val="1"/>
        </w:num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投标人是否符合本章第三节第2.4条“禁止投标条款”规定。</w:t>
      </w:r>
    </w:p>
    <w:p w14:paraId="242BA716">
      <w:pPr>
        <w:numPr>
          <w:ilvl w:val="0"/>
          <w:numId w:val="1"/>
        </w:num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投标人名称是否与营业执照、资质证书一致。</w:t>
      </w:r>
    </w:p>
    <w:p w14:paraId="25ED220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）投标人的资质是否符合招标文件规定；其营业执照、资质证书是否合法、有效。</w:t>
      </w:r>
    </w:p>
    <w:p w14:paraId="0DEF397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投标文件中拟委派的总监理工程师是否与《开标一览表》一致；拟委派的总监理工程师的条件是否符合招标文件规定；是否擅自修改、遗漏《总监理工程师任职声明》的实质性内容；拟委派的总监理工程师现阶段有担任其他在施建设工程项目总监理工程师职务的，任职项目建设单位是否在《</w:t>
      </w:r>
      <w:r>
        <w:rPr>
          <w:rFonts w:hint="eastAsia" w:ascii="宋体" w:hAnsi="宋体" w:eastAsia="宋体" w:cs="宋体"/>
          <w:snapToGrid w:val="0"/>
          <w:color w:val="auto"/>
          <w:kern w:val="0"/>
          <w:szCs w:val="18"/>
          <w:highlight w:val="none"/>
        </w:rPr>
        <w:t>总监理工程师任职项目情况表</w:t>
      </w:r>
      <w:r>
        <w:rPr>
          <w:rFonts w:hint="eastAsia" w:ascii="宋体" w:hAnsi="宋体" w:eastAsia="宋体" w:cs="宋体"/>
          <w:snapToGrid w:val="0"/>
          <w:color w:val="auto"/>
          <w:kern w:val="0"/>
          <w:highlight w:val="none"/>
        </w:rPr>
        <w:t>》内盖章同意或另行出具了书面同意意见。</w:t>
      </w:r>
    </w:p>
    <w:p w14:paraId="3DC79475">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）拟委派的总监理工程师的注册证书</w:t>
      </w:r>
      <w:r>
        <w:rPr>
          <w:rFonts w:hint="eastAsia" w:ascii="宋体" w:hAnsi="宋体" w:eastAsia="宋体" w:cs="宋体"/>
          <w:snapToGrid w:val="0"/>
          <w:color w:val="auto"/>
          <w:kern w:val="0"/>
          <w:highlight w:val="none"/>
          <w:lang w:val="en-US" w:eastAsia="zh-CN"/>
        </w:rPr>
        <w:t>是否为</w:t>
      </w:r>
      <w:r>
        <w:rPr>
          <w:rFonts w:hint="eastAsia" w:ascii="宋体" w:hAnsi="宋体" w:eastAsia="宋体" w:cs="宋体"/>
          <w:snapToGrid w:val="0"/>
          <w:color w:val="auto"/>
          <w:kern w:val="0"/>
          <w:highlight w:val="none"/>
        </w:rPr>
        <w:t>住房和城乡建设主管部门颁发的，注册单位与投标人</w:t>
      </w:r>
      <w:r>
        <w:rPr>
          <w:rFonts w:hint="eastAsia" w:ascii="宋体" w:hAnsi="宋体" w:eastAsia="宋体" w:cs="宋体"/>
          <w:snapToGrid w:val="0"/>
          <w:color w:val="auto"/>
          <w:kern w:val="0"/>
          <w:highlight w:val="none"/>
          <w:lang w:val="en-US" w:eastAsia="zh-CN"/>
        </w:rPr>
        <w:t>是否</w:t>
      </w:r>
      <w:r>
        <w:rPr>
          <w:rFonts w:hint="eastAsia" w:ascii="宋体" w:hAnsi="宋体" w:eastAsia="宋体" w:cs="宋体"/>
          <w:snapToGrid w:val="0"/>
          <w:color w:val="auto"/>
          <w:kern w:val="0"/>
          <w:highlight w:val="none"/>
        </w:rPr>
        <w:t>一致，</w:t>
      </w:r>
      <w:r>
        <w:rPr>
          <w:rFonts w:hint="eastAsia" w:ascii="宋体" w:hAnsi="宋体" w:eastAsia="宋体" w:cs="宋体"/>
          <w:snapToGrid w:val="0"/>
          <w:color w:val="auto"/>
          <w:kern w:val="0"/>
          <w:highlight w:val="none"/>
          <w:lang w:val="en-US" w:eastAsia="zh-CN"/>
        </w:rPr>
        <w:t>是否</w:t>
      </w:r>
      <w:r>
        <w:rPr>
          <w:rFonts w:hint="eastAsia" w:ascii="宋体" w:hAnsi="宋体" w:eastAsia="宋体" w:cs="宋体"/>
          <w:snapToGrid w:val="0"/>
          <w:color w:val="auto"/>
          <w:kern w:val="0"/>
          <w:highlight w:val="none"/>
        </w:rPr>
        <w:t>在有效期内。</w:t>
      </w:r>
    </w:p>
    <w:p w14:paraId="0118CD9E">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）投标人为外省建筑企业的，是否按规定在“进粤企业和人员诚信信息登记平台”录入企业有关信息并通过数据规范检查</w:t>
      </w:r>
      <w:r>
        <w:rPr>
          <w:rFonts w:hint="eastAsia" w:ascii="宋体" w:hAnsi="宋体" w:eastAsia="宋体" w:cs="宋体"/>
          <w:color w:val="auto"/>
          <w:szCs w:val="24"/>
          <w:highlight w:val="none"/>
        </w:rPr>
        <w:t>。</w:t>
      </w:r>
    </w:p>
    <w:p w14:paraId="10915F0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15.4.2</w:t>
      </w:r>
      <w:r>
        <w:rPr>
          <w:rFonts w:hint="eastAsia" w:ascii="宋体" w:hAnsi="宋体" w:eastAsia="宋体" w:cs="宋体"/>
          <w:snapToGrid w:val="0"/>
          <w:color w:val="auto"/>
          <w:kern w:val="0"/>
          <w:highlight w:val="none"/>
        </w:rPr>
        <w:t xml:space="preserve"> 形式评审环节</w:t>
      </w:r>
    </w:p>
    <w:p w14:paraId="7E7C43AD">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形式评审事项包括：</w:t>
      </w:r>
    </w:p>
    <w:p w14:paraId="5DE201C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（1）投标文件的分册组成是否符合招标文件规定。</w:t>
      </w:r>
    </w:p>
    <w:p w14:paraId="06386A8C">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（2）本节第</w:t>
      </w: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第</w:t>
      </w:r>
      <w:r>
        <w:rPr>
          <w:rFonts w:hint="eastAsia" w:ascii="宋体" w:hAnsi="宋体" w:eastAsia="宋体" w:cs="宋体"/>
          <w:b/>
          <w:bCs/>
          <w:snapToGrid w:val="0"/>
          <w:color w:val="auto"/>
          <w:kern w:val="0"/>
          <w:szCs w:val="18"/>
          <w:highlight w:val="none"/>
        </w:rPr>
        <w:t>10.3.3</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中规定的“</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”的组成内容（包括该组成内容的所附资料）是否完整、齐全。</w:t>
      </w:r>
    </w:p>
    <w:p w14:paraId="6684C24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（3）各分册是否按招标文件规定签字、盖章。</w:t>
      </w:r>
    </w:p>
    <w:p w14:paraId="1EE1FEC7">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b/>
          <w:bCs/>
          <w:snapToGrid w:val="0"/>
          <w:color w:val="auto"/>
          <w:kern w:val="0"/>
          <w:highlight w:val="none"/>
        </w:rPr>
        <w:t>15.4.3</w:t>
      </w:r>
      <w:r>
        <w:rPr>
          <w:rFonts w:hint="eastAsia" w:ascii="宋体" w:hAnsi="宋体" w:eastAsia="宋体" w:cs="宋体"/>
          <w:snapToGrid w:val="0"/>
          <w:color w:val="auto"/>
          <w:kern w:val="0"/>
          <w:highlight w:val="none"/>
        </w:rPr>
        <w:t xml:space="preserve"> 响应性评审环节</w:t>
      </w:r>
    </w:p>
    <w:p w14:paraId="28934F9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响应性评审事项包括：</w:t>
      </w:r>
    </w:p>
    <w:p w14:paraId="668F59E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（1）投标有效期、监理及相关服务期限等是否响应招标文件实质性要求；是否擅自修改、遗漏《投标函》《各项承诺一览表》的实质性内容。</w:t>
      </w:r>
    </w:p>
    <w:p w14:paraId="74C483C9">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（2）投标总价是否唯一；投标总价是否超出最高投标限价。</w:t>
      </w:r>
    </w:p>
    <w:p w14:paraId="74B239AD">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（3）监理大纲中的监理及相关服务的范围、内容、目标是否符合招标文件规定。</w:t>
      </w:r>
    </w:p>
    <w:p w14:paraId="12DE7630">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15.4.4</w:t>
      </w:r>
      <w:r>
        <w:rPr>
          <w:rFonts w:hint="eastAsia" w:ascii="宋体" w:hAnsi="宋体" w:eastAsia="宋体" w:cs="宋体"/>
          <w:snapToGrid w:val="0"/>
          <w:color w:val="auto"/>
          <w:kern w:val="0"/>
          <w:highlight w:val="none"/>
        </w:rPr>
        <w:t xml:space="preserve"> 否决投标说明</w:t>
      </w:r>
    </w:p>
    <w:p w14:paraId="49C7272C">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初步评审阶段各个环节否决投标的全部条件，在本章第四节“否决投标条件”第</w:t>
      </w:r>
      <w:r>
        <w:rPr>
          <w:rFonts w:hint="eastAsia" w:ascii="宋体" w:hAnsi="宋体" w:eastAsia="宋体" w:cs="宋体"/>
          <w:b/>
          <w:bCs/>
          <w:snapToGrid w:val="0"/>
          <w:color w:val="auto"/>
          <w:kern w:val="0"/>
          <w:highlight w:val="none"/>
        </w:rPr>
        <w:t>1</w:t>
      </w:r>
      <w:r>
        <w:rPr>
          <w:rFonts w:hint="eastAsia" w:ascii="宋体" w:hAnsi="宋体" w:eastAsia="宋体" w:cs="宋体"/>
          <w:snapToGrid w:val="0"/>
          <w:color w:val="auto"/>
          <w:kern w:val="0"/>
          <w:highlight w:val="none"/>
        </w:rPr>
        <w:t>条至第</w:t>
      </w:r>
      <w:r>
        <w:rPr>
          <w:rFonts w:hint="eastAsia" w:ascii="宋体" w:hAnsi="宋体" w:eastAsia="宋体" w:cs="宋体"/>
          <w:b/>
          <w:bCs/>
          <w:snapToGrid w:val="0"/>
          <w:color w:val="auto"/>
          <w:kern w:val="0"/>
          <w:highlight w:val="none"/>
        </w:rPr>
        <w:t>4</w:t>
      </w:r>
      <w:r>
        <w:rPr>
          <w:rFonts w:hint="eastAsia" w:ascii="宋体" w:hAnsi="宋体" w:eastAsia="宋体" w:cs="宋体"/>
          <w:snapToGrid w:val="0"/>
          <w:color w:val="auto"/>
          <w:kern w:val="0"/>
          <w:highlight w:val="none"/>
        </w:rPr>
        <w:t>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034CCEAC">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    </w:t>
      </w:r>
      <w:bookmarkStart w:id="247" w:name="_Hlt121629839"/>
      <w:r>
        <w:rPr>
          <w:rFonts w:hint="eastAsia" w:ascii="宋体" w:hAnsi="宋体" w:eastAsia="宋体" w:cs="宋体"/>
          <w:b/>
          <w:bCs/>
          <w:snapToGrid w:val="0"/>
          <w:color w:val="auto"/>
          <w:kern w:val="0"/>
          <w:highlight w:val="none"/>
        </w:rPr>
        <w:t>15.5</w:t>
      </w:r>
      <w:r>
        <w:rPr>
          <w:rFonts w:hint="eastAsia" w:ascii="宋体" w:hAnsi="宋体" w:eastAsia="宋体" w:cs="宋体"/>
          <w:snapToGrid w:val="0"/>
          <w:color w:val="auto"/>
          <w:kern w:val="0"/>
          <w:highlight w:val="none"/>
        </w:rPr>
        <w:t xml:space="preserve"> 详细评审阶段</w:t>
      </w:r>
    </w:p>
    <w:p w14:paraId="753DA412">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    15.5.1</w:t>
      </w:r>
      <w:r>
        <w:rPr>
          <w:rFonts w:hint="eastAsia" w:ascii="宋体" w:hAnsi="宋体" w:eastAsia="宋体" w:cs="宋体"/>
          <w:bCs/>
          <w:snapToGrid w:val="0"/>
          <w:color w:val="auto"/>
          <w:kern w:val="0"/>
          <w:highlight w:val="none"/>
        </w:rPr>
        <w:t xml:space="preserve"> “综合评估法”评审程序</w:t>
      </w:r>
    </w:p>
    <w:p w14:paraId="75BB2638">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评审内容分为商务、技术和投标报价三大部分，综合得分满分为100分。其中，商务满分为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60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分，技术满分为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20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分，投标报价部分满分为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20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分。</w:t>
      </w:r>
    </w:p>
    <w:p w14:paraId="56A12CEE">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除特别注明外，综合得分以及商务、技术、投标报价得分的中间过程计算值和最终值，均按“四舍五入”原则精确到两位小数。</w:t>
      </w:r>
    </w:p>
    <w:p w14:paraId="4CECC164">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（1）商务得分M</w:t>
      </w:r>
      <w:r>
        <w:rPr>
          <w:rFonts w:hint="eastAsia" w:ascii="宋体" w:hAnsi="宋体" w:eastAsia="宋体" w:cs="宋体"/>
          <w:snapToGrid w:val="0"/>
          <w:color w:val="auto"/>
          <w:kern w:val="0"/>
          <w:highlight w:val="none"/>
          <w:vertAlign w:val="subscript"/>
        </w:rPr>
        <w:t>1</w:t>
      </w:r>
    </w:p>
    <w:p w14:paraId="5D31A9B0">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评标委员会按照《综合评分表》商务部分指定的评分标准对各评分因素进行打分。各评分因素得分之和即为某投标人的商务得分M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w:t>
      </w:r>
    </w:p>
    <w:p w14:paraId="6CB5A272">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（2）技术得分M</w:t>
      </w:r>
      <w:r>
        <w:rPr>
          <w:rFonts w:hint="eastAsia" w:ascii="宋体" w:hAnsi="宋体" w:eastAsia="宋体" w:cs="宋体"/>
          <w:snapToGrid w:val="0"/>
          <w:color w:val="auto"/>
          <w:kern w:val="0"/>
          <w:highlight w:val="none"/>
          <w:vertAlign w:val="subscript"/>
        </w:rPr>
        <w:t>2</w:t>
      </w:r>
    </w:p>
    <w:p w14:paraId="22B973B2">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评标委员会各成员独立按照《综合评分表》技术部分（监理大纲）指定的评分标准对各评分因素进行打分。将所有评分去掉一个最高分和一个最低分后，取算术平均值，即为某投标人的技术得分M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w:t>
      </w:r>
    </w:p>
    <w:p w14:paraId="493E6DEF">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（3）投标报价得分M</w:t>
      </w:r>
      <w:r>
        <w:rPr>
          <w:rFonts w:hint="eastAsia" w:ascii="宋体" w:hAnsi="宋体" w:eastAsia="宋体" w:cs="宋体"/>
          <w:snapToGrid w:val="0"/>
          <w:color w:val="auto"/>
          <w:kern w:val="0"/>
          <w:highlight w:val="none"/>
          <w:vertAlign w:val="subscript"/>
        </w:rPr>
        <w:t>3</w:t>
      </w:r>
    </w:p>
    <w:p w14:paraId="5E81F7D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a</w:t>
      </w:r>
      <w:r>
        <w:rPr>
          <w:rFonts w:hint="eastAsia" w:ascii="宋体" w:hAnsi="宋体" w:eastAsia="宋体" w:cs="宋体"/>
          <w:snapToGrid w:val="0"/>
          <w:color w:val="auto"/>
          <w:kern w:val="0"/>
          <w:highlight w:val="none"/>
        </w:rPr>
        <w:t>．评标委员会按照《综合评分表》投标报价部分指定的方法计算评标基准价D。</w:t>
      </w:r>
    </w:p>
    <w:p w14:paraId="18A1AC4E">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b</w:t>
      </w:r>
      <w:r>
        <w:rPr>
          <w:rFonts w:hint="eastAsia" w:ascii="宋体" w:hAnsi="宋体" w:eastAsia="宋体" w:cs="宋体"/>
          <w:snapToGrid w:val="0"/>
          <w:color w:val="auto"/>
          <w:kern w:val="0"/>
          <w:highlight w:val="none"/>
        </w:rPr>
        <w:t>．采用内插法计算某投标人的投标报价得分M</w:t>
      </w:r>
      <w:r>
        <w:rPr>
          <w:rFonts w:hint="eastAsia" w:ascii="宋体" w:hAnsi="宋体" w:eastAsia="宋体" w:cs="宋体"/>
          <w:snapToGrid w:val="0"/>
          <w:color w:val="auto"/>
          <w:kern w:val="0"/>
          <w:highlight w:val="none"/>
          <w:vertAlign w:val="subscript"/>
        </w:rPr>
        <w:t>3</w:t>
      </w:r>
      <w:r>
        <w:rPr>
          <w:rFonts w:hint="eastAsia" w:ascii="宋体" w:hAnsi="宋体" w:eastAsia="宋体" w:cs="宋体"/>
          <w:snapToGrid w:val="0"/>
          <w:color w:val="auto"/>
          <w:kern w:val="0"/>
          <w:highlight w:val="none"/>
        </w:rPr>
        <w:t>，即当投标人的投标总价等于评标基准价时得满分，每高于评标基准价一个百分点扣</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分, 每低于评标基准价一个百分点扣0.</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分，扣完为止。公式如下：</w:t>
      </w:r>
    </w:p>
    <w:p w14:paraId="7BA06038">
      <w:pPr>
        <w:shd w:val="clear" w:color="auto" w:fill="auto"/>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3</w:t>
      </w:r>
      <w:r>
        <w:rPr>
          <w:rFonts w:hint="eastAsia" w:ascii="宋体" w:hAnsi="宋体" w:eastAsia="宋体" w:cs="宋体"/>
          <w:snapToGrid w:val="0"/>
          <w:color w:val="auto"/>
          <w:kern w:val="0"/>
          <w:highlight w:val="none"/>
        </w:rPr>
        <w:t>＝投标报价满分－（| Di－D | ÷D）×100×E</w:t>
      </w:r>
    </w:p>
    <w:p w14:paraId="73001212">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式中：D为评标基准价，Di为某投标人的投标总价；</w:t>
      </w:r>
    </w:p>
    <w:p w14:paraId="1A242CAE">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E为扣分因子。当Di＞D时，E＝</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；当Di＜D时，E＝0.</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w:t>
      </w:r>
    </w:p>
    <w:p w14:paraId="11D8B9AD">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（4）综合得分M</w:t>
      </w:r>
    </w:p>
    <w:p w14:paraId="591BED62">
      <w:pPr>
        <w:shd w:val="clear" w:color="auto" w:fill="auto"/>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M＝M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3</w:t>
      </w:r>
    </w:p>
    <w:p w14:paraId="47B9A649">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式中：M为综合得分，M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为商务得分，M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为技术得分，M</w:t>
      </w:r>
      <w:r>
        <w:rPr>
          <w:rFonts w:hint="eastAsia" w:ascii="宋体" w:hAnsi="宋体" w:eastAsia="宋体" w:cs="宋体"/>
          <w:snapToGrid w:val="0"/>
          <w:color w:val="auto"/>
          <w:kern w:val="0"/>
          <w:highlight w:val="none"/>
          <w:vertAlign w:val="subscript"/>
        </w:rPr>
        <w:t>3</w:t>
      </w:r>
      <w:r>
        <w:rPr>
          <w:rFonts w:hint="eastAsia" w:ascii="宋体" w:hAnsi="宋体" w:eastAsia="宋体" w:cs="宋体"/>
          <w:snapToGrid w:val="0"/>
          <w:color w:val="auto"/>
          <w:kern w:val="0"/>
          <w:highlight w:val="none"/>
        </w:rPr>
        <w:t>为投标报价得分。</w:t>
      </w:r>
    </w:p>
    <w:p w14:paraId="4B3B5E62">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sectPr>
          <w:endnotePr>
            <w:numFmt w:val="decimal"/>
          </w:endnotePr>
          <w:pgSz w:w="11906" w:h="16838"/>
          <w:pgMar w:top="1701" w:right="1255" w:bottom="1417" w:left="1531" w:header="850" w:footer="992" w:gutter="0"/>
          <w:cols w:space="720" w:num="1"/>
          <w:rtlGutter w:val="0"/>
          <w:docGrid w:linePitch="327" w:charSpace="0"/>
        </w:sectPr>
      </w:pPr>
    </w:p>
    <w:p w14:paraId="24DC0504">
      <w:pPr>
        <w:shd w:val="clear" w:color="auto" w:fill="auto"/>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 w:val="36"/>
          <w:szCs w:val="36"/>
          <w:highlight w:val="none"/>
        </w:rPr>
        <w:t>表1</w:t>
      </w:r>
      <w:r>
        <w:rPr>
          <w:rFonts w:hint="eastAsia" w:ascii="宋体" w:hAnsi="宋体" w:eastAsia="宋体" w:cs="宋体"/>
          <w:b/>
          <w:bCs/>
          <w:snapToGrid w:val="0"/>
          <w:color w:val="auto"/>
          <w:kern w:val="0"/>
          <w:sz w:val="36"/>
          <w:szCs w:val="36"/>
          <w:highlight w:val="none"/>
          <w:lang w:val="en-US" w:eastAsia="zh-CN"/>
        </w:rPr>
        <w:t xml:space="preserve">  </w:t>
      </w:r>
      <w:r>
        <w:rPr>
          <w:rFonts w:hint="eastAsia" w:ascii="宋体" w:hAnsi="宋体" w:eastAsia="宋体" w:cs="宋体"/>
          <w:b/>
          <w:bCs/>
          <w:snapToGrid w:val="0"/>
          <w:color w:val="auto"/>
          <w:kern w:val="0"/>
          <w:sz w:val="36"/>
          <w:szCs w:val="36"/>
          <w:highlight w:val="none"/>
        </w:rPr>
        <w:t>综合评分表</w:t>
      </w:r>
    </w:p>
    <w:tbl>
      <w:tblPr>
        <w:tblStyle w:val="31"/>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8"/>
        <w:gridCol w:w="1185"/>
        <w:gridCol w:w="3496"/>
        <w:gridCol w:w="3794"/>
      </w:tblGrid>
      <w:tr w14:paraId="6954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53" w:type="dxa"/>
            <w:gridSpan w:val="4"/>
            <w:noWrap w:val="0"/>
            <w:vAlign w:val="center"/>
          </w:tcPr>
          <w:p w14:paraId="405C2C30">
            <w:pPr>
              <w:widowControl w:val="0"/>
              <w:tabs>
                <w:tab w:val="left" w:pos="1354"/>
                <w:tab w:val="left" w:pos="1459"/>
                <w:tab w:val="center" w:pos="3902"/>
                <w:tab w:val="right" w:pos="7805"/>
              </w:tabs>
              <w:wordWrap w:val="0"/>
              <w:adjustRightInd w:val="0"/>
              <w:snapToGrid w:val="0"/>
              <w:spacing w:after="0" w:afterLines="0" w:afterAutospacing="0" w:line="440" w:lineRule="exact"/>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商务部分，满分：</w:t>
            </w:r>
            <w:r>
              <w:rPr>
                <w:rFonts w:hint="eastAsia" w:ascii="宋体" w:hAnsi="宋体" w:eastAsia="宋体" w:cs="宋体"/>
                <w:b/>
                <w:bCs/>
                <w:snapToGrid w:val="0"/>
                <w:color w:val="auto"/>
                <w:kern w:val="0"/>
                <w:sz w:val="24"/>
                <w:szCs w:val="24"/>
                <w:highlight w:val="none"/>
                <w:u w:val="single"/>
                <w:lang w:val="en-US" w:eastAsia="zh-CN" w:bidi="ar-SA"/>
              </w:rPr>
              <w:t>60</w:t>
            </w:r>
            <w:r>
              <w:rPr>
                <w:rFonts w:hint="eastAsia" w:ascii="宋体" w:hAnsi="宋体" w:eastAsia="宋体" w:cs="宋体"/>
                <w:b/>
                <w:bCs/>
                <w:snapToGrid w:val="0"/>
                <w:color w:val="auto"/>
                <w:kern w:val="0"/>
                <w:sz w:val="24"/>
                <w:szCs w:val="24"/>
                <w:highlight w:val="none"/>
                <w:lang w:val="en-US" w:eastAsia="zh-CN" w:bidi="ar-SA"/>
              </w:rPr>
              <w:t>分。</w:t>
            </w:r>
          </w:p>
        </w:tc>
      </w:tr>
      <w:tr w14:paraId="6C8C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340CBB8D">
            <w:pPr>
              <w:widowControl w:val="0"/>
              <w:tabs>
                <w:tab w:val="left" w:pos="1459"/>
                <w:tab w:val="left" w:pos="1680"/>
                <w:tab w:val="center" w:pos="3902"/>
                <w:tab w:val="right" w:pos="7805"/>
              </w:tabs>
              <w:wordWrap w:val="0"/>
              <w:adjustRightInd w:val="0"/>
              <w:snapToGrid w:val="0"/>
              <w:spacing w:after="0" w:afterLines="0" w:afterAutospacing="0" w:line="440" w:lineRule="exact"/>
              <w:ind w:right="-113" w:rightChars="-47"/>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评分因素</w:t>
            </w:r>
          </w:p>
        </w:tc>
        <w:tc>
          <w:tcPr>
            <w:tcW w:w="4681" w:type="dxa"/>
            <w:gridSpan w:val="2"/>
            <w:noWrap w:val="0"/>
            <w:vAlign w:val="center"/>
          </w:tcPr>
          <w:p w14:paraId="2AD92178">
            <w:pPr>
              <w:widowControl w:val="0"/>
              <w:tabs>
                <w:tab w:val="left" w:pos="1354"/>
                <w:tab w:val="left" w:pos="1459"/>
                <w:tab w:val="center" w:pos="3902"/>
                <w:tab w:val="right" w:pos="7805"/>
              </w:tabs>
              <w:wordWrap w:val="0"/>
              <w:adjustRightInd w:val="0"/>
              <w:snapToGrid w:val="0"/>
              <w:spacing w:after="0" w:afterLines="0" w:afterAutospacing="0" w:line="44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评分标准</w:t>
            </w:r>
          </w:p>
        </w:tc>
        <w:tc>
          <w:tcPr>
            <w:tcW w:w="3794" w:type="dxa"/>
            <w:noWrap w:val="0"/>
            <w:vAlign w:val="center"/>
          </w:tcPr>
          <w:p w14:paraId="3870A123">
            <w:pPr>
              <w:widowControl w:val="0"/>
              <w:tabs>
                <w:tab w:val="left" w:pos="1354"/>
                <w:tab w:val="left" w:pos="1459"/>
                <w:tab w:val="center" w:pos="3902"/>
                <w:tab w:val="right" w:pos="7805"/>
              </w:tabs>
              <w:wordWrap w:val="0"/>
              <w:adjustRightInd w:val="0"/>
              <w:snapToGrid w:val="0"/>
              <w:spacing w:after="0" w:afterLines="0" w:afterAutospacing="0" w:line="44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备注</w:t>
            </w:r>
          </w:p>
        </w:tc>
      </w:tr>
      <w:tr w14:paraId="0FA2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187886EE">
            <w:pPr>
              <w:adjustRightInd w:val="0"/>
              <w:snapToGrid w:val="0"/>
              <w:spacing w:line="240" w:lineRule="auto"/>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企业奖项</w:t>
            </w:r>
          </w:p>
          <w:p w14:paraId="6051B1C9">
            <w:pPr>
              <w:adjustRightInd w:val="0"/>
              <w:snapToGrid w:val="0"/>
              <w:spacing w:line="240" w:lineRule="auto"/>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（12分）</w:t>
            </w:r>
          </w:p>
        </w:tc>
        <w:tc>
          <w:tcPr>
            <w:tcW w:w="4681" w:type="dxa"/>
            <w:gridSpan w:val="2"/>
            <w:noWrap w:val="0"/>
            <w:vAlign w:val="center"/>
          </w:tcPr>
          <w:p w14:paraId="46F501FF">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投标人近年来（2021年1月1日至今）监理（市政公用工程）的获奖情况：</w:t>
            </w:r>
          </w:p>
          <w:p w14:paraId="4AB95A6A">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1.获得地市级或以上奖项的，每项得4分。</w:t>
            </w:r>
          </w:p>
          <w:p w14:paraId="21A8494D">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2.其他情形的，不予计分。</w:t>
            </w:r>
          </w:p>
          <w:p w14:paraId="0A38513B">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3.本项最高得12分。</w:t>
            </w:r>
          </w:p>
        </w:tc>
        <w:tc>
          <w:tcPr>
            <w:tcW w:w="3794" w:type="dxa"/>
            <w:noWrap w:val="0"/>
            <w:vAlign w:val="center"/>
          </w:tcPr>
          <w:p w14:paraId="251D2E6E">
            <w:pPr>
              <w:spacing w:line="38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1.允许投标人提交多个业绩，但同一业绩只按最高级别奖项计分一次。</w:t>
            </w:r>
          </w:p>
          <w:p w14:paraId="02FFD104">
            <w:pPr>
              <w:spacing w:line="38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2.需提供获奖证书彩色扫描件，获奖时间以获奖证书(或荣誉证书)的落款日期为准。</w:t>
            </w:r>
          </w:p>
          <w:p w14:paraId="05F37C06">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color w:val="auto"/>
                <w:szCs w:val="24"/>
                <w:highlight w:val="none"/>
              </w:rPr>
              <w:t>3.</w:t>
            </w:r>
            <w:r>
              <w:rPr>
                <w:rFonts w:hint="eastAsia" w:ascii="宋体" w:hAnsi="宋体" w:eastAsia="宋体" w:cs="宋体"/>
                <w:snapToGrid w:val="0"/>
                <w:color w:val="auto"/>
                <w:kern w:val="0"/>
                <w:szCs w:val="24"/>
                <w:highlight w:val="none"/>
              </w:rPr>
              <w:t>颁发机构限定以下范围：</w:t>
            </w:r>
          </w:p>
          <w:p w14:paraId="242FD00D">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①国家级奖项：国家级建设行政主管部门或建筑行业协会或市政行业协会；</w:t>
            </w:r>
          </w:p>
          <w:p w14:paraId="474FA2B9">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②省级奖项：省级建设行政主管部门或建筑行业协会或市政行业协会；</w:t>
            </w:r>
          </w:p>
          <w:p w14:paraId="4442C003">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③地市级奖项：地市级建设行政主管部门或建筑行业协会或市政行业协会。</w:t>
            </w:r>
          </w:p>
          <w:p w14:paraId="76CAC160">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4.任一奖项有以下情形之一的，该奖项视为无效，不予计分：</w:t>
            </w:r>
          </w:p>
          <w:p w14:paraId="42F5FE8C">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①奖项不属于指定类别的；</w:t>
            </w:r>
          </w:p>
          <w:p w14:paraId="0B26D37B">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②颁发机构不符合要求的；</w:t>
            </w:r>
          </w:p>
          <w:p w14:paraId="081041B9">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③获奖时间不符合要求的。</w:t>
            </w:r>
          </w:p>
        </w:tc>
      </w:tr>
      <w:tr w14:paraId="3F13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6066D992">
            <w:pPr>
              <w:adjustRightInd w:val="0"/>
              <w:snapToGrid w:val="0"/>
              <w:spacing w:line="240" w:lineRule="auto"/>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企业业绩</w:t>
            </w:r>
          </w:p>
          <w:p w14:paraId="45BA43B2">
            <w:pPr>
              <w:adjustRightInd w:val="0"/>
              <w:snapToGrid w:val="0"/>
              <w:spacing w:line="240" w:lineRule="auto"/>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（12分）</w:t>
            </w:r>
          </w:p>
        </w:tc>
        <w:tc>
          <w:tcPr>
            <w:tcW w:w="4681" w:type="dxa"/>
            <w:gridSpan w:val="2"/>
            <w:noWrap w:val="0"/>
            <w:vAlign w:val="center"/>
          </w:tcPr>
          <w:p w14:paraId="5E11FEC9">
            <w:pPr>
              <w:spacing w:line="38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企业近年来（2021年1月1日至今）业绩情况：</w:t>
            </w:r>
          </w:p>
          <w:p w14:paraId="7C322C0D">
            <w:pPr>
              <w:spacing w:line="38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1.完成过类似工程监理的，每个得4分。</w:t>
            </w:r>
          </w:p>
          <w:p w14:paraId="29E67995">
            <w:pPr>
              <w:spacing w:line="38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2.未完成过类似工程监理的，不予计分。</w:t>
            </w:r>
          </w:p>
          <w:p w14:paraId="3471A83B">
            <w:pPr>
              <w:spacing w:line="380" w:lineRule="exact"/>
              <w:rPr>
                <w:rFonts w:hint="eastAsia" w:ascii="宋体" w:hAnsi="宋体" w:eastAsia="宋体" w:cs="宋体"/>
                <w:color w:val="auto"/>
                <w:highlight w:val="none"/>
              </w:rPr>
            </w:pPr>
            <w:r>
              <w:rPr>
                <w:rFonts w:hint="eastAsia" w:ascii="宋体" w:hAnsi="宋体" w:eastAsia="宋体" w:cs="宋体"/>
                <w:color w:val="auto"/>
                <w:szCs w:val="24"/>
                <w:highlight w:val="none"/>
              </w:rPr>
              <w:t>3.本项最高得12分。</w:t>
            </w:r>
          </w:p>
        </w:tc>
        <w:tc>
          <w:tcPr>
            <w:tcW w:w="3794" w:type="dxa"/>
            <w:noWrap w:val="0"/>
            <w:vAlign w:val="center"/>
          </w:tcPr>
          <w:p w14:paraId="0820FC37">
            <w:pPr>
              <w:widowControl w:val="0"/>
              <w:wordWrap w:val="0"/>
              <w:adjustRightInd w:val="0"/>
              <w:snapToGrid w:val="0"/>
              <w:spacing w:after="0" w:afterLines="0" w:afterAutospacing="0" w:line="240" w:lineRule="auto"/>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1.类似工程指：</w:t>
            </w:r>
            <w:r>
              <w:rPr>
                <w:rFonts w:hint="eastAsia" w:ascii="宋体" w:hAnsi="宋体" w:eastAsia="宋体" w:cs="宋体"/>
                <w:bCs/>
                <w:snapToGrid w:val="0"/>
                <w:color w:val="auto"/>
                <w:kern w:val="0"/>
                <w:sz w:val="24"/>
                <w:szCs w:val="24"/>
                <w:highlight w:val="none"/>
                <w:u w:val="single"/>
                <w:lang w:val="en-US" w:eastAsia="zh-CN" w:bidi="ar-SA"/>
              </w:rPr>
              <w:t>市政工程监理项目</w:t>
            </w:r>
            <w:r>
              <w:rPr>
                <w:rFonts w:hint="eastAsia" w:ascii="宋体" w:hAnsi="宋体" w:eastAsia="宋体" w:cs="宋体"/>
                <w:bCs/>
                <w:snapToGrid w:val="0"/>
                <w:color w:val="auto"/>
                <w:kern w:val="0"/>
                <w:sz w:val="24"/>
                <w:szCs w:val="24"/>
                <w:highlight w:val="none"/>
                <w:lang w:val="en-US" w:eastAsia="zh-CN" w:bidi="ar-SA"/>
              </w:rPr>
              <w:t>。</w:t>
            </w:r>
          </w:p>
          <w:p w14:paraId="0F256B9E">
            <w:pPr>
              <w:widowControl w:val="0"/>
              <w:wordWrap w:val="0"/>
              <w:adjustRightInd w:val="0"/>
              <w:snapToGrid w:val="0"/>
              <w:spacing w:after="0" w:afterLines="0" w:afterAutospacing="0" w:line="240" w:lineRule="auto"/>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2.需附业绩合同协议书关键页及中标通知书的彩色扫描件。</w:t>
            </w:r>
          </w:p>
          <w:p w14:paraId="2E352657">
            <w:pPr>
              <w:widowControl w:val="0"/>
              <w:wordWrap w:val="0"/>
              <w:adjustRightInd w:val="0"/>
              <w:snapToGrid w:val="0"/>
              <w:spacing w:after="0" w:afterLines="0" w:afterAutospacing="0" w:line="240" w:lineRule="auto"/>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3.业绩时间以合同签订日期为准。</w:t>
            </w:r>
          </w:p>
          <w:p w14:paraId="7513571A">
            <w:pPr>
              <w:widowControl w:val="0"/>
              <w:wordWrap w:val="0"/>
              <w:adjustRightInd w:val="0"/>
              <w:snapToGrid w:val="0"/>
              <w:spacing w:after="0" w:afterLines="0" w:afterAutospacing="0" w:line="240" w:lineRule="auto"/>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4.任一业绩有以下情形之一的，该业绩视为无效，不予计分：</w:t>
            </w:r>
          </w:p>
          <w:p w14:paraId="2B8837AF">
            <w:pPr>
              <w:widowControl w:val="0"/>
              <w:wordWrap w:val="0"/>
              <w:adjustRightInd w:val="0"/>
              <w:snapToGrid w:val="0"/>
              <w:spacing w:after="0" w:afterLines="0" w:afterAutospacing="0" w:line="240" w:lineRule="auto"/>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①未提供业绩证明材料</w:t>
            </w:r>
            <w:r>
              <w:rPr>
                <w:rFonts w:hint="eastAsia" w:ascii="宋体" w:hAnsi="宋体" w:eastAsia="宋体" w:cs="宋体"/>
                <w:snapToGrid w:val="0"/>
                <w:color w:val="auto"/>
                <w:kern w:val="0"/>
                <w:sz w:val="24"/>
                <w:szCs w:val="24"/>
                <w:highlight w:val="none"/>
                <w:lang w:val="en-US" w:eastAsia="zh-CN" w:bidi="ar-SA"/>
              </w:rPr>
              <w:t>彩色扫描件</w:t>
            </w:r>
            <w:r>
              <w:rPr>
                <w:rFonts w:hint="eastAsia" w:ascii="宋体" w:hAnsi="宋体" w:eastAsia="宋体" w:cs="宋体"/>
                <w:bCs/>
                <w:snapToGrid w:val="0"/>
                <w:color w:val="auto"/>
                <w:kern w:val="0"/>
                <w:sz w:val="24"/>
                <w:szCs w:val="24"/>
                <w:highlight w:val="none"/>
                <w:lang w:val="en-US" w:eastAsia="zh-CN" w:bidi="ar-SA"/>
              </w:rPr>
              <w:t>的；</w:t>
            </w:r>
          </w:p>
          <w:p w14:paraId="4C3988A0">
            <w:pPr>
              <w:widowControl w:val="0"/>
              <w:wordWrap w:val="0"/>
              <w:adjustRightInd w:val="0"/>
              <w:snapToGrid w:val="0"/>
              <w:spacing w:after="0" w:afterLines="0" w:afterAutospacing="0" w:line="240" w:lineRule="auto"/>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②业绩不属于类似项目的；</w:t>
            </w:r>
          </w:p>
          <w:p w14:paraId="0B38A9FA">
            <w:pPr>
              <w:widowControl w:val="0"/>
              <w:wordWrap w:val="0"/>
              <w:adjustRightInd w:val="0"/>
              <w:snapToGrid w:val="0"/>
              <w:spacing w:after="0" w:afterLines="0" w:afterAutospacing="0" w:line="240" w:lineRule="auto"/>
              <w:jc w:val="both"/>
              <w:rPr>
                <w:rFonts w:hint="eastAsia" w:ascii="宋体" w:hAnsi="宋体" w:eastAsia="宋体" w:cs="宋体"/>
                <w:bCs/>
                <w:snapToGrid w:val="0"/>
                <w:color w:val="auto"/>
                <w:kern w:val="2"/>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③业绩时间不符合要求的。</w:t>
            </w:r>
          </w:p>
        </w:tc>
      </w:tr>
      <w:tr w14:paraId="3654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20A65FA6">
            <w:pPr>
              <w:adjustRightInd w:val="0"/>
              <w:snapToGrid w:val="0"/>
              <w:spacing w:line="240" w:lineRule="auto"/>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企业管理体系认证</w:t>
            </w:r>
          </w:p>
          <w:p w14:paraId="7CF47AF7">
            <w:pPr>
              <w:adjustRightInd w:val="0"/>
              <w:snapToGrid w:val="0"/>
              <w:spacing w:line="240" w:lineRule="auto"/>
              <w:jc w:val="center"/>
              <w:rPr>
                <w:rFonts w:hint="eastAsia" w:ascii="宋体" w:hAnsi="宋体" w:eastAsia="宋体" w:cs="宋体"/>
                <w:color w:val="auto"/>
                <w:szCs w:val="24"/>
                <w:highlight w:val="none"/>
              </w:rPr>
            </w:pPr>
            <w:r>
              <w:rPr>
                <w:rFonts w:hint="eastAsia" w:ascii="宋体" w:hAnsi="宋体" w:eastAsia="宋体" w:cs="宋体"/>
                <w:snapToGrid w:val="0"/>
                <w:color w:val="auto"/>
                <w:kern w:val="0"/>
                <w:szCs w:val="24"/>
                <w:highlight w:val="none"/>
              </w:rPr>
              <w:t>（9分）</w:t>
            </w:r>
          </w:p>
        </w:tc>
        <w:tc>
          <w:tcPr>
            <w:tcW w:w="4681" w:type="dxa"/>
            <w:gridSpan w:val="2"/>
            <w:noWrap w:val="0"/>
            <w:vAlign w:val="center"/>
          </w:tcPr>
          <w:p w14:paraId="603A7CA2">
            <w:pPr>
              <w:spacing w:line="380" w:lineRule="exact"/>
              <w:ind w:right="24" w:rightChars="10"/>
              <w:rPr>
                <w:rFonts w:hint="eastAsia" w:ascii="宋体" w:hAnsi="宋体" w:eastAsia="宋体" w:cs="宋体"/>
                <w:snapToGrid w:val="0"/>
                <w:color w:val="auto"/>
                <w:kern w:val="0"/>
                <w:szCs w:val="24"/>
                <w:highlight w:val="none"/>
              </w:rPr>
            </w:pPr>
            <w:r>
              <w:rPr>
                <w:rFonts w:hint="eastAsia" w:ascii="宋体" w:hAnsi="宋体" w:eastAsia="宋体" w:cs="宋体"/>
                <w:color w:val="auto"/>
                <w:szCs w:val="24"/>
                <w:highlight w:val="none"/>
              </w:rPr>
              <w:t>投标人获得有效期内的质量管理体系认证、环境管理体系认证、职业健康安全管理体系认证的，每提供一项得3分，最高得9分。</w:t>
            </w:r>
          </w:p>
        </w:tc>
        <w:tc>
          <w:tcPr>
            <w:tcW w:w="3794" w:type="dxa"/>
            <w:noWrap w:val="0"/>
            <w:vAlign w:val="center"/>
          </w:tcPr>
          <w:p w14:paraId="0DD13611">
            <w:pPr>
              <w:widowControl w:val="0"/>
              <w:wordWrap w:val="0"/>
              <w:adjustRightInd w:val="0"/>
              <w:snapToGrid w:val="0"/>
              <w:spacing w:after="0" w:afterLines="0" w:afterAutospacing="0" w:line="240" w:lineRule="auto"/>
              <w:jc w:val="both"/>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kern w:val="2"/>
                <w:sz w:val="24"/>
                <w:highlight w:val="none"/>
                <w:lang w:val="en-US" w:eastAsia="zh-CN" w:bidi="ar-SA"/>
              </w:rPr>
              <w:t>须提供有效期内的认证证书彩色扫描件及在“国家认证认可监督管理委员（http://www.cnca.gov.cn）”的全国认证认可信息公共服务平台上查询到的在有效期的官网截图，否则不得分。</w:t>
            </w:r>
          </w:p>
        </w:tc>
      </w:tr>
      <w:tr w14:paraId="2C4C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vMerge w:val="restart"/>
            <w:noWrap w:val="0"/>
            <w:vAlign w:val="center"/>
          </w:tcPr>
          <w:p w14:paraId="4ABF421F">
            <w:pPr>
              <w:adjustRightInd w:val="0"/>
              <w:snapToGrid w:val="0"/>
              <w:spacing w:line="240" w:lineRule="auto"/>
              <w:jc w:val="center"/>
              <w:rPr>
                <w:rFonts w:hint="eastAsia" w:ascii="宋体" w:hAnsi="宋体" w:eastAsia="宋体" w:cs="宋体"/>
                <w:snapToGrid w:val="0"/>
                <w:color w:val="auto"/>
                <w:kern w:val="0"/>
                <w:szCs w:val="24"/>
                <w:highlight w:val="none"/>
                <w:lang w:val="zh-TW" w:eastAsia="zh-TW"/>
              </w:rPr>
            </w:pPr>
            <w:r>
              <w:rPr>
                <w:rFonts w:hint="eastAsia" w:ascii="宋体" w:hAnsi="宋体" w:eastAsia="宋体" w:cs="宋体"/>
                <w:snapToGrid w:val="0"/>
                <w:color w:val="auto"/>
                <w:kern w:val="0"/>
                <w:szCs w:val="24"/>
                <w:highlight w:val="none"/>
                <w:lang w:val="zh-TW"/>
              </w:rPr>
              <w:t>监理</w:t>
            </w:r>
            <w:r>
              <w:rPr>
                <w:rFonts w:hint="eastAsia" w:ascii="宋体" w:hAnsi="宋体" w:eastAsia="宋体" w:cs="宋体"/>
                <w:snapToGrid w:val="0"/>
                <w:color w:val="auto"/>
                <w:kern w:val="0"/>
                <w:szCs w:val="24"/>
                <w:highlight w:val="none"/>
                <w:lang w:val="zh-TW" w:eastAsia="zh-TW"/>
              </w:rPr>
              <w:t>人员配备</w:t>
            </w:r>
          </w:p>
          <w:p w14:paraId="1CC6074B">
            <w:pPr>
              <w:adjustRightInd w:val="0"/>
              <w:snapToGrid w:val="0"/>
              <w:spacing w:line="240" w:lineRule="auto"/>
              <w:jc w:val="center"/>
              <w:rPr>
                <w:rFonts w:hint="eastAsia" w:ascii="宋体" w:hAnsi="宋体" w:eastAsia="宋体" w:cs="宋体"/>
                <w:snapToGrid w:val="0"/>
                <w:color w:val="auto"/>
                <w:szCs w:val="24"/>
                <w:highlight w:val="none"/>
              </w:rPr>
            </w:pPr>
            <w:r>
              <w:rPr>
                <w:rFonts w:hint="eastAsia" w:ascii="宋体" w:hAnsi="宋体" w:eastAsia="宋体" w:cs="宋体"/>
                <w:snapToGrid w:val="0"/>
                <w:color w:val="auto"/>
                <w:kern w:val="0"/>
                <w:szCs w:val="24"/>
                <w:highlight w:val="none"/>
              </w:rPr>
              <w:t>（27分）</w:t>
            </w:r>
          </w:p>
        </w:tc>
        <w:tc>
          <w:tcPr>
            <w:tcW w:w="4681" w:type="dxa"/>
            <w:gridSpan w:val="2"/>
            <w:noWrap w:val="0"/>
            <w:vAlign w:val="center"/>
          </w:tcPr>
          <w:p w14:paraId="758D0BBE">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拟委派本项目监理人员数量和专业完全满足表2《项目监理机构其他人员需求表》（以下简称《需求表》）要求的得4分。不符合要求的，每人扣1分，直至扣完。</w:t>
            </w:r>
          </w:p>
          <w:p w14:paraId="4BF3DDA4">
            <w:pPr>
              <w:spacing w:line="380" w:lineRule="exact"/>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本项最高得4分。</w:t>
            </w:r>
          </w:p>
        </w:tc>
        <w:tc>
          <w:tcPr>
            <w:tcW w:w="3794" w:type="dxa"/>
            <w:noWrap w:val="0"/>
            <w:vAlign w:val="center"/>
          </w:tcPr>
          <w:p w14:paraId="39420AA8">
            <w:pPr>
              <w:spacing w:line="38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1.须提供相关证书、证明材料彩色扫描件。</w:t>
            </w:r>
          </w:p>
          <w:p w14:paraId="16F40E7C">
            <w:pPr>
              <w:spacing w:line="38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2.拟派专业监理工程师按照《需求表》“持证要求”栏目提供的证书中，有任意一类符合专业要求的，即视其专业满足要求。</w:t>
            </w:r>
          </w:p>
        </w:tc>
      </w:tr>
      <w:tr w14:paraId="09A5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5" w:hRule="atLeast"/>
          <w:jc w:val="center"/>
        </w:trPr>
        <w:tc>
          <w:tcPr>
            <w:tcW w:w="1378" w:type="dxa"/>
            <w:vMerge w:val="continue"/>
            <w:noWrap w:val="0"/>
            <w:vAlign w:val="center"/>
          </w:tcPr>
          <w:p w14:paraId="3786BDD2">
            <w:pPr>
              <w:widowControl w:val="0"/>
              <w:spacing w:line="500" w:lineRule="exact"/>
              <w:jc w:val="center"/>
              <w:rPr>
                <w:rFonts w:hint="eastAsia" w:ascii="宋体" w:hAnsi="宋体" w:eastAsia="宋体" w:cs="宋体"/>
                <w:snapToGrid w:val="0"/>
                <w:color w:val="auto"/>
                <w:kern w:val="2"/>
                <w:sz w:val="24"/>
                <w:szCs w:val="24"/>
                <w:highlight w:val="none"/>
                <w:lang w:val="en-US" w:eastAsia="zh-CN" w:bidi="ar-SA"/>
              </w:rPr>
            </w:pPr>
          </w:p>
        </w:tc>
        <w:tc>
          <w:tcPr>
            <w:tcW w:w="4681" w:type="dxa"/>
            <w:gridSpan w:val="2"/>
            <w:noWrap w:val="0"/>
            <w:vAlign w:val="center"/>
          </w:tcPr>
          <w:p w14:paraId="262E28AB">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（1）</w:t>
            </w:r>
            <w:r>
              <w:rPr>
                <w:rFonts w:hint="eastAsia" w:ascii="宋体" w:hAnsi="宋体" w:eastAsia="宋体" w:cs="宋体"/>
                <w:color w:val="auto"/>
                <w:szCs w:val="24"/>
                <w:highlight w:val="none"/>
              </w:rPr>
              <w:t>拟派本工程总监理工程师代表：</w:t>
            </w:r>
          </w:p>
          <w:p w14:paraId="1971423C">
            <w:pPr>
              <w:widowControl/>
              <w:spacing w:line="360" w:lineRule="auto"/>
              <w:ind w:right="34"/>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val="en-US" w:eastAsia="zh-CN"/>
              </w:rPr>
              <w:t>1.</w:t>
            </w:r>
            <w:r>
              <w:rPr>
                <w:rFonts w:hint="eastAsia" w:ascii="宋体" w:hAnsi="宋体" w:eastAsia="宋体" w:cs="宋体"/>
                <w:color w:val="auto"/>
                <w:szCs w:val="24"/>
                <w:highlight w:val="none"/>
              </w:rPr>
              <w:t>同时具有注册监理工程师</w:t>
            </w:r>
            <w:r>
              <w:rPr>
                <w:rFonts w:hint="eastAsia" w:ascii="宋体" w:hAnsi="宋体" w:eastAsia="宋体" w:cs="宋体"/>
                <w:color w:val="auto"/>
                <w:szCs w:val="24"/>
                <w:highlight w:val="none"/>
                <w:lang w:val="en-US" w:eastAsia="zh-CN"/>
              </w:rPr>
              <w:t>证书</w:t>
            </w:r>
            <w:r>
              <w:rPr>
                <w:rFonts w:hint="eastAsia" w:ascii="宋体" w:hAnsi="宋体" w:eastAsia="宋体" w:cs="宋体"/>
                <w:color w:val="auto"/>
                <w:szCs w:val="24"/>
                <w:highlight w:val="none"/>
              </w:rPr>
              <w:t>、高级工程师</w:t>
            </w:r>
            <w:r>
              <w:rPr>
                <w:rFonts w:hint="eastAsia" w:ascii="宋体" w:hAnsi="宋体" w:eastAsia="宋体" w:cs="宋体"/>
                <w:color w:val="auto"/>
                <w:szCs w:val="24"/>
                <w:highlight w:val="none"/>
                <w:lang w:val="en-US" w:eastAsia="zh-CN"/>
              </w:rPr>
              <w:t>或以上</w:t>
            </w:r>
            <w:r>
              <w:rPr>
                <w:rFonts w:hint="eastAsia" w:ascii="宋体" w:hAnsi="宋体" w:eastAsia="宋体" w:cs="宋体"/>
                <w:color w:val="auto"/>
                <w:szCs w:val="24"/>
                <w:highlight w:val="none"/>
              </w:rPr>
              <w:t>职称</w:t>
            </w:r>
            <w:r>
              <w:rPr>
                <w:rFonts w:hint="eastAsia" w:ascii="宋体" w:hAnsi="宋体" w:eastAsia="宋体" w:cs="宋体"/>
                <w:color w:val="auto"/>
                <w:szCs w:val="24"/>
                <w:highlight w:val="none"/>
                <w:lang w:val="en-US" w:eastAsia="zh-CN"/>
              </w:rPr>
              <w:t>及</w:t>
            </w:r>
            <w:r>
              <w:rPr>
                <w:rFonts w:hint="eastAsia" w:ascii="宋体" w:hAnsi="宋体" w:eastAsia="宋体" w:cs="宋体"/>
                <w:color w:val="auto"/>
                <w:szCs w:val="24"/>
                <w:highlight w:val="none"/>
              </w:rPr>
              <w:t>注册咨询工程师资格的，得3分</w:t>
            </w:r>
            <w:r>
              <w:rPr>
                <w:rFonts w:hint="eastAsia" w:ascii="宋体" w:hAnsi="宋体" w:eastAsia="宋体" w:cs="宋体"/>
                <w:color w:val="auto"/>
                <w:szCs w:val="24"/>
                <w:highlight w:val="none"/>
                <w:lang w:eastAsia="zh-CN"/>
              </w:rPr>
              <w:t>；</w:t>
            </w:r>
          </w:p>
          <w:p w14:paraId="5C6FF9A4">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2.</w:t>
            </w:r>
            <w:r>
              <w:rPr>
                <w:rFonts w:hint="eastAsia" w:ascii="宋体" w:hAnsi="宋体" w:eastAsia="宋体" w:cs="宋体"/>
                <w:color w:val="auto"/>
                <w:szCs w:val="24"/>
                <w:highlight w:val="none"/>
              </w:rPr>
              <w:t>同时具有一级注册造价工程师</w:t>
            </w:r>
            <w:r>
              <w:rPr>
                <w:rFonts w:hint="eastAsia" w:ascii="宋体" w:hAnsi="宋体" w:eastAsia="宋体" w:cs="宋体"/>
                <w:color w:val="auto"/>
                <w:szCs w:val="24"/>
                <w:highlight w:val="none"/>
                <w:lang w:val="en-US" w:eastAsia="zh-CN"/>
              </w:rPr>
              <w:t>证书</w:t>
            </w:r>
            <w:r>
              <w:rPr>
                <w:rFonts w:hint="eastAsia" w:ascii="宋体" w:hAnsi="宋体" w:eastAsia="宋体" w:cs="宋体"/>
                <w:color w:val="auto"/>
                <w:szCs w:val="24"/>
                <w:highlight w:val="none"/>
              </w:rPr>
              <w:t>及一级注册建造师</w:t>
            </w:r>
            <w:r>
              <w:rPr>
                <w:rFonts w:hint="eastAsia" w:ascii="宋体" w:hAnsi="宋体" w:eastAsia="宋体" w:cs="宋体"/>
                <w:color w:val="auto"/>
                <w:szCs w:val="24"/>
                <w:highlight w:val="none"/>
                <w:lang w:val="en-US" w:eastAsia="zh-CN"/>
              </w:rPr>
              <w:t>证书</w:t>
            </w:r>
            <w:r>
              <w:rPr>
                <w:rFonts w:hint="eastAsia" w:ascii="宋体" w:hAnsi="宋体" w:eastAsia="宋体" w:cs="宋体"/>
                <w:color w:val="auto"/>
                <w:szCs w:val="24"/>
                <w:highlight w:val="none"/>
              </w:rPr>
              <w:t>的，</w:t>
            </w:r>
            <w:r>
              <w:rPr>
                <w:rFonts w:hint="eastAsia" w:ascii="宋体" w:hAnsi="宋体" w:eastAsia="宋体" w:cs="宋体"/>
                <w:color w:val="auto"/>
                <w:szCs w:val="24"/>
                <w:highlight w:val="none"/>
                <w:lang w:val="en-US" w:eastAsia="zh-CN"/>
              </w:rPr>
              <w:t>得</w:t>
            </w:r>
            <w:r>
              <w:rPr>
                <w:rFonts w:hint="eastAsia" w:ascii="宋体" w:hAnsi="宋体" w:eastAsia="宋体" w:cs="宋体"/>
                <w:color w:val="auto"/>
                <w:szCs w:val="24"/>
                <w:highlight w:val="none"/>
              </w:rPr>
              <w:t>2分</w:t>
            </w:r>
            <w:r>
              <w:rPr>
                <w:rFonts w:hint="eastAsia" w:ascii="宋体" w:hAnsi="宋体" w:eastAsia="宋体" w:cs="宋体"/>
                <w:color w:val="auto"/>
                <w:szCs w:val="24"/>
                <w:highlight w:val="none"/>
                <w:lang w:eastAsia="zh-CN"/>
              </w:rPr>
              <w:t>；同时具有一级注册造价工程师</w:t>
            </w:r>
            <w:r>
              <w:rPr>
                <w:rFonts w:hint="eastAsia" w:ascii="宋体" w:hAnsi="宋体" w:eastAsia="宋体" w:cs="宋体"/>
                <w:color w:val="auto"/>
                <w:szCs w:val="24"/>
                <w:highlight w:val="none"/>
                <w:lang w:val="en-US" w:eastAsia="zh-CN"/>
              </w:rPr>
              <w:t>证书或</w:t>
            </w:r>
            <w:r>
              <w:rPr>
                <w:rFonts w:hint="eastAsia" w:ascii="宋体" w:hAnsi="宋体" w:eastAsia="宋体" w:cs="宋体"/>
                <w:color w:val="auto"/>
                <w:szCs w:val="24"/>
                <w:highlight w:val="none"/>
                <w:lang w:eastAsia="zh-CN"/>
              </w:rPr>
              <w:t>一级注册建造师</w:t>
            </w:r>
            <w:r>
              <w:rPr>
                <w:rFonts w:hint="eastAsia" w:ascii="宋体" w:hAnsi="宋体" w:eastAsia="宋体" w:cs="宋体"/>
                <w:color w:val="auto"/>
                <w:szCs w:val="24"/>
                <w:highlight w:val="none"/>
                <w:lang w:val="en-US" w:eastAsia="zh-CN"/>
              </w:rPr>
              <w:t>证书</w:t>
            </w:r>
            <w:r>
              <w:rPr>
                <w:rFonts w:hint="eastAsia" w:ascii="宋体" w:hAnsi="宋体" w:eastAsia="宋体" w:cs="宋体"/>
                <w:color w:val="auto"/>
                <w:szCs w:val="24"/>
                <w:highlight w:val="none"/>
                <w:lang w:eastAsia="zh-CN"/>
              </w:rPr>
              <w:t>的，</w:t>
            </w:r>
            <w:r>
              <w:rPr>
                <w:rFonts w:hint="eastAsia" w:ascii="宋体" w:hAnsi="宋体" w:eastAsia="宋体" w:cs="宋体"/>
                <w:color w:val="auto"/>
                <w:szCs w:val="24"/>
                <w:highlight w:val="none"/>
                <w:lang w:val="en-US" w:eastAsia="zh-CN"/>
              </w:rPr>
              <w:t>得0.5</w:t>
            </w:r>
            <w:r>
              <w:rPr>
                <w:rFonts w:hint="eastAsia" w:ascii="宋体" w:hAnsi="宋体" w:eastAsia="宋体" w:cs="宋体"/>
                <w:color w:val="auto"/>
                <w:szCs w:val="24"/>
                <w:highlight w:val="none"/>
                <w:lang w:eastAsia="zh-CN"/>
              </w:rPr>
              <w:t>分</w:t>
            </w:r>
            <w:r>
              <w:rPr>
                <w:rFonts w:hint="eastAsia" w:ascii="宋体" w:hAnsi="宋体" w:eastAsia="宋体" w:cs="宋体"/>
                <w:color w:val="auto"/>
                <w:szCs w:val="24"/>
                <w:highlight w:val="none"/>
              </w:rPr>
              <w:t>。其他情况不得分。</w:t>
            </w:r>
          </w:p>
          <w:p w14:paraId="6F59BB36">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本小项最高得5分。</w:t>
            </w:r>
          </w:p>
          <w:p w14:paraId="57F8DA5C">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lang w:val="en-US" w:eastAsia="zh-CN"/>
              </w:rPr>
              <w:t>2</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拟派本工程市政专业监理工程师：</w:t>
            </w:r>
          </w:p>
          <w:p w14:paraId="7460AED6">
            <w:pPr>
              <w:widowControl/>
              <w:spacing w:line="360" w:lineRule="auto"/>
              <w:ind w:right="34"/>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val="en-US" w:eastAsia="zh-CN"/>
              </w:rPr>
              <w:t>1.同时</w:t>
            </w:r>
            <w:r>
              <w:rPr>
                <w:rFonts w:hint="eastAsia" w:ascii="宋体" w:hAnsi="宋体" w:eastAsia="宋体" w:cs="宋体"/>
                <w:color w:val="auto"/>
                <w:szCs w:val="24"/>
                <w:highlight w:val="none"/>
              </w:rPr>
              <w:t>具有注册监理工程师</w:t>
            </w:r>
            <w:r>
              <w:rPr>
                <w:rFonts w:hint="eastAsia" w:ascii="宋体" w:hAnsi="宋体" w:eastAsia="宋体" w:cs="宋体"/>
                <w:color w:val="auto"/>
                <w:szCs w:val="24"/>
                <w:highlight w:val="none"/>
                <w:lang w:val="en-US" w:eastAsia="zh-CN"/>
              </w:rPr>
              <w:t>证书及</w:t>
            </w:r>
            <w:r>
              <w:rPr>
                <w:rFonts w:hint="eastAsia" w:ascii="宋体" w:hAnsi="宋体" w:eastAsia="宋体" w:cs="宋体"/>
                <w:color w:val="auto"/>
                <w:szCs w:val="24"/>
                <w:highlight w:val="none"/>
              </w:rPr>
              <w:t>市政公用工程专业中级或以上职称的</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得3分</w:t>
            </w:r>
            <w:r>
              <w:rPr>
                <w:rFonts w:hint="eastAsia" w:ascii="宋体" w:hAnsi="宋体" w:eastAsia="宋体" w:cs="宋体"/>
                <w:color w:val="auto"/>
                <w:szCs w:val="24"/>
                <w:highlight w:val="none"/>
                <w:lang w:eastAsia="zh-CN"/>
              </w:rPr>
              <w:t>；</w:t>
            </w:r>
          </w:p>
          <w:p w14:paraId="46A056B8">
            <w:pPr>
              <w:widowControl/>
              <w:spacing w:line="360" w:lineRule="auto"/>
              <w:ind w:right="34"/>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val="en-US" w:eastAsia="zh-CN"/>
              </w:rPr>
              <w:t>2.</w:t>
            </w:r>
            <w:r>
              <w:rPr>
                <w:rFonts w:hint="eastAsia" w:ascii="宋体" w:hAnsi="宋体" w:eastAsia="宋体" w:cs="宋体"/>
                <w:color w:val="auto"/>
                <w:szCs w:val="24"/>
                <w:highlight w:val="none"/>
                <w:lang w:eastAsia="zh-CN"/>
              </w:rPr>
              <w:t>具有注册监理工程师</w:t>
            </w:r>
            <w:r>
              <w:rPr>
                <w:rFonts w:hint="eastAsia" w:ascii="宋体" w:hAnsi="宋体" w:eastAsia="宋体" w:cs="宋体"/>
                <w:color w:val="auto"/>
                <w:szCs w:val="24"/>
                <w:highlight w:val="none"/>
                <w:lang w:val="en-US" w:eastAsia="zh-CN"/>
              </w:rPr>
              <w:t>证书或</w:t>
            </w:r>
            <w:r>
              <w:rPr>
                <w:rFonts w:hint="eastAsia" w:ascii="宋体" w:hAnsi="宋体" w:eastAsia="宋体" w:cs="宋体"/>
                <w:color w:val="auto"/>
                <w:szCs w:val="24"/>
                <w:highlight w:val="none"/>
                <w:lang w:eastAsia="zh-CN"/>
              </w:rPr>
              <w:t>市政公用工程专业中级或以上职称的，得</w:t>
            </w:r>
            <w:r>
              <w:rPr>
                <w:rFonts w:hint="eastAsia" w:ascii="宋体" w:hAnsi="宋体" w:eastAsia="宋体" w:cs="宋体"/>
                <w:color w:val="auto"/>
                <w:szCs w:val="24"/>
                <w:highlight w:val="none"/>
                <w:lang w:val="en-US" w:eastAsia="zh-CN"/>
              </w:rPr>
              <w:t>1</w:t>
            </w:r>
            <w:r>
              <w:rPr>
                <w:rFonts w:hint="eastAsia" w:ascii="宋体" w:hAnsi="宋体" w:eastAsia="宋体" w:cs="宋体"/>
                <w:color w:val="auto"/>
                <w:szCs w:val="24"/>
                <w:highlight w:val="none"/>
                <w:lang w:eastAsia="zh-CN"/>
              </w:rPr>
              <w:t>分。</w:t>
            </w:r>
          </w:p>
          <w:p w14:paraId="2E1FDFBE">
            <w:pPr>
              <w:widowControl/>
              <w:spacing w:line="360" w:lineRule="auto"/>
              <w:ind w:right="34"/>
              <w:rPr>
                <w:rFonts w:hint="eastAsia" w:ascii="宋体" w:hAnsi="宋体" w:eastAsia="宋体" w:cs="宋体"/>
                <w:color w:val="auto"/>
                <w:highlight w:val="none"/>
                <w:lang w:eastAsia="zh-CN"/>
              </w:rPr>
            </w:pPr>
            <w:r>
              <w:rPr>
                <w:rFonts w:hint="eastAsia" w:ascii="宋体" w:hAnsi="宋体" w:eastAsia="宋体" w:cs="宋体"/>
                <w:b/>
                <w:bCs/>
                <w:color w:val="auto"/>
                <w:szCs w:val="24"/>
                <w:highlight w:val="none"/>
              </w:rPr>
              <w:t>本小项最高得</w:t>
            </w:r>
            <w:r>
              <w:rPr>
                <w:rFonts w:hint="eastAsia" w:ascii="宋体" w:hAnsi="宋体" w:eastAsia="宋体" w:cs="宋体"/>
                <w:b/>
                <w:bCs/>
                <w:color w:val="auto"/>
                <w:szCs w:val="24"/>
                <w:highlight w:val="none"/>
                <w:lang w:val="en-US" w:eastAsia="zh-CN"/>
              </w:rPr>
              <w:t>3</w:t>
            </w:r>
            <w:r>
              <w:rPr>
                <w:rFonts w:hint="eastAsia" w:ascii="宋体" w:hAnsi="宋体" w:eastAsia="宋体" w:cs="宋体"/>
                <w:b/>
                <w:bCs/>
                <w:color w:val="auto"/>
                <w:szCs w:val="24"/>
                <w:highlight w:val="none"/>
              </w:rPr>
              <w:t>分</w:t>
            </w:r>
            <w:r>
              <w:rPr>
                <w:rFonts w:hint="eastAsia" w:ascii="宋体" w:hAnsi="宋体" w:eastAsia="宋体" w:cs="宋体"/>
                <w:b/>
                <w:bCs/>
                <w:color w:val="auto"/>
                <w:szCs w:val="24"/>
                <w:highlight w:val="none"/>
                <w:lang w:eastAsia="zh-CN"/>
              </w:rPr>
              <w:t>。</w:t>
            </w:r>
          </w:p>
          <w:p w14:paraId="42B911DC">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lang w:val="en-US" w:eastAsia="zh-CN"/>
              </w:rPr>
              <w:t>3</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拟派本工程给排水专业监理工程师：</w:t>
            </w:r>
          </w:p>
          <w:p w14:paraId="040777FA">
            <w:pPr>
              <w:widowControl/>
              <w:spacing w:line="360" w:lineRule="auto"/>
              <w:ind w:right="34"/>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val="en-US" w:eastAsia="zh-CN"/>
              </w:rPr>
              <w:t>1.同时</w:t>
            </w:r>
            <w:r>
              <w:rPr>
                <w:rFonts w:hint="eastAsia" w:ascii="宋体" w:hAnsi="宋体" w:eastAsia="宋体" w:cs="宋体"/>
                <w:color w:val="auto"/>
                <w:szCs w:val="24"/>
                <w:highlight w:val="none"/>
              </w:rPr>
              <w:t>具有注册公用设备工程师（给水排水）</w:t>
            </w:r>
            <w:r>
              <w:rPr>
                <w:rFonts w:hint="eastAsia" w:ascii="宋体" w:hAnsi="宋体" w:eastAsia="宋体" w:cs="宋体"/>
                <w:color w:val="auto"/>
                <w:szCs w:val="24"/>
                <w:highlight w:val="none"/>
                <w:lang w:val="en-US" w:eastAsia="zh-CN"/>
              </w:rPr>
              <w:t>及</w:t>
            </w:r>
            <w:r>
              <w:rPr>
                <w:rFonts w:hint="eastAsia" w:ascii="宋体" w:hAnsi="宋体" w:eastAsia="宋体" w:cs="宋体"/>
                <w:color w:val="auto"/>
                <w:szCs w:val="24"/>
                <w:highlight w:val="none"/>
              </w:rPr>
              <w:t>给排水专业中级或以上职称的</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得3分</w:t>
            </w:r>
            <w:r>
              <w:rPr>
                <w:rFonts w:hint="eastAsia" w:ascii="宋体" w:hAnsi="宋体" w:eastAsia="宋体" w:cs="宋体"/>
                <w:color w:val="auto"/>
                <w:szCs w:val="24"/>
                <w:highlight w:val="none"/>
                <w:lang w:eastAsia="zh-CN"/>
              </w:rPr>
              <w:t>；</w:t>
            </w:r>
          </w:p>
          <w:p w14:paraId="395308DD">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2.</w:t>
            </w:r>
            <w:r>
              <w:rPr>
                <w:rFonts w:hint="eastAsia" w:ascii="宋体" w:hAnsi="宋体" w:eastAsia="宋体" w:cs="宋体"/>
                <w:color w:val="auto"/>
                <w:szCs w:val="24"/>
                <w:highlight w:val="none"/>
                <w:lang w:eastAsia="zh-CN"/>
              </w:rPr>
              <w:t>具有注册公用设备工程师（给水排水）</w:t>
            </w:r>
            <w:r>
              <w:rPr>
                <w:rFonts w:hint="eastAsia" w:ascii="宋体" w:hAnsi="宋体" w:eastAsia="宋体" w:cs="宋体"/>
                <w:color w:val="auto"/>
                <w:szCs w:val="24"/>
                <w:highlight w:val="none"/>
                <w:lang w:val="en-US" w:eastAsia="zh-CN"/>
              </w:rPr>
              <w:t>或</w:t>
            </w:r>
            <w:r>
              <w:rPr>
                <w:rFonts w:hint="eastAsia" w:ascii="宋体" w:hAnsi="宋体" w:eastAsia="宋体" w:cs="宋体"/>
                <w:color w:val="auto"/>
                <w:szCs w:val="24"/>
                <w:highlight w:val="none"/>
                <w:lang w:eastAsia="zh-CN"/>
              </w:rPr>
              <w:t>给排水专业中级或以上职称的，得</w:t>
            </w:r>
            <w:r>
              <w:rPr>
                <w:rFonts w:hint="eastAsia" w:ascii="宋体" w:hAnsi="宋体" w:eastAsia="宋体" w:cs="宋体"/>
                <w:color w:val="auto"/>
                <w:szCs w:val="24"/>
                <w:highlight w:val="none"/>
                <w:lang w:val="en-US" w:eastAsia="zh-CN"/>
              </w:rPr>
              <w:t>1</w:t>
            </w:r>
            <w:r>
              <w:rPr>
                <w:rFonts w:hint="eastAsia" w:ascii="宋体" w:hAnsi="宋体" w:eastAsia="宋体" w:cs="宋体"/>
                <w:color w:val="auto"/>
                <w:szCs w:val="24"/>
                <w:highlight w:val="none"/>
                <w:lang w:eastAsia="zh-CN"/>
              </w:rPr>
              <w:t>分</w:t>
            </w:r>
            <w:r>
              <w:rPr>
                <w:rFonts w:hint="eastAsia" w:ascii="宋体" w:hAnsi="宋体" w:eastAsia="宋体" w:cs="宋体"/>
                <w:color w:val="auto"/>
                <w:szCs w:val="24"/>
                <w:highlight w:val="none"/>
              </w:rPr>
              <w:t>。</w:t>
            </w:r>
          </w:p>
          <w:p w14:paraId="75A8308D">
            <w:pPr>
              <w:widowControl/>
              <w:spacing w:line="360" w:lineRule="auto"/>
              <w:ind w:right="34"/>
              <w:rPr>
                <w:rFonts w:hint="eastAsia" w:ascii="宋体" w:hAnsi="宋体" w:eastAsia="宋体" w:cs="宋体"/>
                <w:color w:val="auto"/>
                <w:szCs w:val="24"/>
                <w:highlight w:val="none"/>
                <w:lang w:val="en-US" w:eastAsia="zh-CN"/>
              </w:rPr>
            </w:pPr>
            <w:r>
              <w:rPr>
                <w:rFonts w:hint="eastAsia" w:ascii="宋体" w:hAnsi="宋体" w:eastAsia="宋体" w:cs="宋体"/>
                <w:b/>
                <w:bCs/>
                <w:color w:val="auto"/>
                <w:szCs w:val="24"/>
                <w:highlight w:val="none"/>
              </w:rPr>
              <w:t>本小项最高得</w:t>
            </w:r>
            <w:r>
              <w:rPr>
                <w:rFonts w:hint="eastAsia" w:ascii="宋体" w:hAnsi="宋体" w:eastAsia="宋体" w:cs="宋体"/>
                <w:b/>
                <w:bCs/>
                <w:color w:val="auto"/>
                <w:szCs w:val="24"/>
                <w:highlight w:val="none"/>
                <w:lang w:val="en-US" w:eastAsia="zh-CN"/>
              </w:rPr>
              <w:t>3</w:t>
            </w:r>
            <w:r>
              <w:rPr>
                <w:rFonts w:hint="eastAsia" w:ascii="宋体" w:hAnsi="宋体" w:eastAsia="宋体" w:cs="宋体"/>
                <w:b/>
                <w:bCs/>
                <w:color w:val="auto"/>
                <w:szCs w:val="24"/>
                <w:highlight w:val="none"/>
              </w:rPr>
              <w:t>分</w:t>
            </w:r>
            <w:r>
              <w:rPr>
                <w:rFonts w:hint="eastAsia" w:ascii="宋体" w:hAnsi="宋体" w:eastAsia="宋体" w:cs="宋体"/>
                <w:b/>
                <w:bCs/>
                <w:color w:val="auto"/>
                <w:szCs w:val="24"/>
                <w:highlight w:val="none"/>
                <w:lang w:eastAsia="zh-CN"/>
              </w:rPr>
              <w:t>。</w:t>
            </w:r>
          </w:p>
          <w:p w14:paraId="24F94B74">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（4）</w:t>
            </w:r>
            <w:r>
              <w:rPr>
                <w:rFonts w:hint="eastAsia" w:ascii="宋体" w:hAnsi="宋体" w:eastAsia="宋体" w:cs="宋体"/>
                <w:color w:val="auto"/>
                <w:szCs w:val="24"/>
                <w:highlight w:val="none"/>
              </w:rPr>
              <w:t>拟派本工程安全</w:t>
            </w:r>
            <w:r>
              <w:rPr>
                <w:rFonts w:hint="eastAsia" w:ascii="宋体" w:hAnsi="宋体" w:eastAsia="宋体" w:cs="宋体"/>
                <w:color w:val="auto"/>
                <w:szCs w:val="24"/>
                <w:highlight w:val="none"/>
                <w:lang w:val="en-US" w:eastAsia="zh-CN"/>
              </w:rPr>
              <w:t>监理员</w:t>
            </w:r>
            <w:r>
              <w:rPr>
                <w:rFonts w:hint="eastAsia" w:ascii="宋体" w:hAnsi="宋体" w:eastAsia="宋体" w:cs="宋体"/>
                <w:color w:val="auto"/>
                <w:szCs w:val="24"/>
                <w:highlight w:val="none"/>
              </w:rPr>
              <w:t>：</w:t>
            </w:r>
          </w:p>
          <w:p w14:paraId="6610E8B4">
            <w:pPr>
              <w:widowControl/>
              <w:spacing w:line="360" w:lineRule="auto"/>
              <w:ind w:right="34"/>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val="en-US" w:eastAsia="zh-CN"/>
              </w:rPr>
              <w:t>1.同时</w:t>
            </w:r>
            <w:r>
              <w:rPr>
                <w:rFonts w:hint="eastAsia" w:ascii="宋体" w:hAnsi="宋体" w:eastAsia="宋体" w:cs="宋体"/>
                <w:color w:val="auto"/>
                <w:kern w:val="0"/>
                <w:highlight w:val="none"/>
              </w:rPr>
              <w:t>具有注册安全工程师</w:t>
            </w:r>
            <w:r>
              <w:rPr>
                <w:rFonts w:hint="eastAsia" w:ascii="宋体" w:hAnsi="宋体" w:eastAsia="宋体" w:cs="宋体"/>
                <w:color w:val="auto"/>
                <w:kern w:val="0"/>
                <w:highlight w:val="none"/>
                <w:lang w:val="en-US" w:eastAsia="zh-CN"/>
              </w:rPr>
              <w:t>证书及</w:t>
            </w:r>
            <w:r>
              <w:rPr>
                <w:rFonts w:hint="eastAsia" w:ascii="宋体" w:hAnsi="宋体" w:eastAsia="宋体" w:cs="宋体"/>
                <w:color w:val="auto"/>
                <w:kern w:val="0"/>
                <w:highlight w:val="none"/>
              </w:rPr>
              <w:t>安全工程高级或以上职称的</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得3分</w:t>
            </w:r>
            <w:r>
              <w:rPr>
                <w:rFonts w:hint="eastAsia" w:ascii="宋体" w:hAnsi="宋体" w:eastAsia="宋体" w:cs="宋体"/>
                <w:color w:val="auto"/>
                <w:kern w:val="0"/>
                <w:highlight w:val="none"/>
                <w:lang w:eastAsia="zh-CN"/>
              </w:rPr>
              <w:t>；</w:t>
            </w:r>
          </w:p>
          <w:p w14:paraId="6468C1BB">
            <w:pPr>
              <w:widowControl/>
              <w:spacing w:line="360" w:lineRule="auto"/>
              <w:ind w:right="34"/>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2.同时</w:t>
            </w:r>
            <w:r>
              <w:rPr>
                <w:rFonts w:hint="eastAsia" w:ascii="宋体" w:hAnsi="宋体" w:eastAsia="宋体" w:cs="宋体"/>
                <w:color w:val="auto"/>
                <w:kern w:val="0"/>
                <w:highlight w:val="none"/>
                <w:lang w:eastAsia="zh-CN"/>
              </w:rPr>
              <w:t>具有注册安全工程师</w:t>
            </w:r>
            <w:r>
              <w:rPr>
                <w:rFonts w:hint="eastAsia" w:ascii="宋体" w:hAnsi="宋体" w:eastAsia="宋体" w:cs="宋体"/>
                <w:color w:val="auto"/>
                <w:kern w:val="0"/>
                <w:highlight w:val="none"/>
                <w:lang w:val="en-US" w:eastAsia="zh-CN"/>
              </w:rPr>
              <w:t>及</w:t>
            </w:r>
            <w:r>
              <w:rPr>
                <w:rFonts w:hint="eastAsia" w:ascii="宋体" w:hAnsi="宋体" w:eastAsia="宋体" w:cs="宋体"/>
                <w:color w:val="auto"/>
                <w:kern w:val="0"/>
                <w:highlight w:val="none"/>
                <w:lang w:eastAsia="zh-CN"/>
              </w:rPr>
              <w:t>安全工程</w:t>
            </w:r>
            <w:r>
              <w:rPr>
                <w:rFonts w:hint="eastAsia" w:ascii="宋体" w:hAnsi="宋体" w:eastAsia="宋体" w:cs="宋体"/>
                <w:color w:val="auto"/>
                <w:kern w:val="0"/>
                <w:highlight w:val="none"/>
                <w:lang w:val="en-US" w:eastAsia="zh-CN"/>
              </w:rPr>
              <w:t>证书中级</w:t>
            </w:r>
            <w:r>
              <w:rPr>
                <w:rFonts w:hint="eastAsia" w:ascii="宋体" w:hAnsi="宋体" w:eastAsia="宋体" w:cs="宋体"/>
                <w:color w:val="auto"/>
                <w:kern w:val="0"/>
                <w:highlight w:val="none"/>
                <w:lang w:eastAsia="zh-CN"/>
              </w:rPr>
              <w:t>职称的，</w:t>
            </w:r>
            <w:r>
              <w:rPr>
                <w:rFonts w:hint="eastAsia" w:ascii="宋体" w:hAnsi="宋体" w:eastAsia="宋体" w:cs="宋体"/>
                <w:color w:val="auto"/>
                <w:kern w:val="0"/>
                <w:highlight w:val="none"/>
                <w:lang w:val="en-US" w:eastAsia="zh-CN"/>
              </w:rPr>
              <w:t>得1分</w:t>
            </w:r>
            <w:r>
              <w:rPr>
                <w:rFonts w:hint="eastAsia" w:ascii="宋体" w:hAnsi="宋体" w:eastAsia="宋体" w:cs="宋体"/>
                <w:color w:val="auto"/>
                <w:kern w:val="0"/>
                <w:highlight w:val="none"/>
              </w:rPr>
              <w:t>。</w:t>
            </w:r>
          </w:p>
          <w:p w14:paraId="25DDC3CC">
            <w:pPr>
              <w:widowControl/>
              <w:spacing w:line="360" w:lineRule="auto"/>
              <w:ind w:right="34"/>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本小项最高得</w:t>
            </w:r>
            <w:r>
              <w:rPr>
                <w:rFonts w:hint="eastAsia" w:ascii="宋体" w:hAnsi="宋体" w:eastAsia="宋体" w:cs="宋体"/>
                <w:b/>
                <w:bCs/>
                <w:color w:val="auto"/>
                <w:szCs w:val="24"/>
                <w:highlight w:val="none"/>
                <w:lang w:val="en-US" w:eastAsia="zh-CN"/>
              </w:rPr>
              <w:t>3</w:t>
            </w:r>
            <w:r>
              <w:rPr>
                <w:rFonts w:hint="eastAsia" w:ascii="宋体" w:hAnsi="宋体" w:eastAsia="宋体" w:cs="宋体"/>
                <w:b/>
                <w:bCs/>
                <w:color w:val="auto"/>
                <w:szCs w:val="24"/>
                <w:highlight w:val="none"/>
              </w:rPr>
              <w:t>分。</w:t>
            </w:r>
          </w:p>
          <w:p w14:paraId="5D999154">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lang w:val="en-US" w:eastAsia="zh-CN"/>
              </w:rPr>
              <w:t>5</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拟派本工程</w:t>
            </w:r>
            <w:r>
              <w:rPr>
                <w:rFonts w:hint="eastAsia" w:ascii="宋体" w:hAnsi="宋体" w:eastAsia="宋体" w:cs="宋体"/>
                <w:color w:val="auto"/>
                <w:szCs w:val="24"/>
                <w:highlight w:val="none"/>
                <w:lang w:val="en-US" w:eastAsia="zh-CN"/>
              </w:rPr>
              <w:t>监理员</w:t>
            </w:r>
            <w:r>
              <w:rPr>
                <w:rFonts w:hint="eastAsia" w:ascii="宋体" w:hAnsi="宋体" w:eastAsia="宋体" w:cs="宋体"/>
                <w:color w:val="auto"/>
                <w:szCs w:val="24"/>
                <w:highlight w:val="none"/>
              </w:rPr>
              <w:t>：</w:t>
            </w:r>
          </w:p>
          <w:p w14:paraId="46789594">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1.同时</w:t>
            </w:r>
            <w:r>
              <w:rPr>
                <w:rFonts w:hint="eastAsia" w:ascii="宋体" w:hAnsi="宋体" w:eastAsia="宋体" w:cs="宋体"/>
                <w:color w:val="auto"/>
                <w:szCs w:val="24"/>
                <w:highlight w:val="none"/>
              </w:rPr>
              <w:t>具有注册监理工程师</w:t>
            </w:r>
            <w:r>
              <w:rPr>
                <w:rFonts w:hint="eastAsia" w:ascii="宋体" w:hAnsi="宋体" w:eastAsia="宋体" w:cs="宋体"/>
                <w:color w:val="auto"/>
                <w:szCs w:val="24"/>
                <w:highlight w:val="none"/>
                <w:lang w:val="en-US" w:eastAsia="zh-CN"/>
              </w:rPr>
              <w:t>证书及</w:t>
            </w:r>
            <w:r>
              <w:rPr>
                <w:rFonts w:hint="eastAsia" w:ascii="宋体" w:hAnsi="宋体" w:eastAsia="宋体" w:cs="宋体"/>
                <w:color w:val="auto"/>
                <w:szCs w:val="24"/>
                <w:highlight w:val="none"/>
              </w:rPr>
              <w:t>中级或以上职称的</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得3分。</w:t>
            </w:r>
          </w:p>
          <w:p w14:paraId="470E1612">
            <w:pPr>
              <w:widowControl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2.具有注册监理工程师证书或中级或以上职称的，得1分。</w:t>
            </w:r>
          </w:p>
          <w:p w14:paraId="399426ED">
            <w:pPr>
              <w:widowControl/>
              <w:spacing w:line="360" w:lineRule="auto"/>
              <w:ind w:right="34"/>
              <w:rPr>
                <w:rFonts w:hint="eastAsia" w:ascii="宋体" w:hAnsi="宋体" w:eastAsia="宋体" w:cs="宋体"/>
                <w:color w:val="auto"/>
                <w:highlight w:val="none"/>
                <w:lang w:val="en-US" w:eastAsia="zh-CN"/>
              </w:rPr>
            </w:pPr>
            <w:r>
              <w:rPr>
                <w:rFonts w:hint="eastAsia" w:ascii="宋体" w:hAnsi="宋体" w:eastAsia="宋体" w:cs="宋体"/>
                <w:b/>
                <w:bCs/>
                <w:color w:val="auto"/>
                <w:szCs w:val="24"/>
                <w:highlight w:val="none"/>
              </w:rPr>
              <w:t>本小项最高得</w:t>
            </w:r>
            <w:r>
              <w:rPr>
                <w:rFonts w:hint="eastAsia" w:ascii="宋体" w:hAnsi="宋体" w:eastAsia="宋体" w:cs="宋体"/>
                <w:b/>
                <w:bCs/>
                <w:color w:val="auto"/>
                <w:szCs w:val="24"/>
                <w:highlight w:val="none"/>
                <w:lang w:val="en-US" w:eastAsia="zh-CN"/>
              </w:rPr>
              <w:t>3</w:t>
            </w:r>
            <w:r>
              <w:rPr>
                <w:rFonts w:hint="eastAsia" w:ascii="宋体" w:hAnsi="宋体" w:eastAsia="宋体" w:cs="宋体"/>
                <w:b/>
                <w:bCs/>
                <w:color w:val="auto"/>
                <w:szCs w:val="24"/>
                <w:highlight w:val="none"/>
              </w:rPr>
              <w:t>分。</w:t>
            </w:r>
          </w:p>
          <w:p w14:paraId="46F94CA0">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lang w:val="en-US" w:eastAsia="zh-CN"/>
              </w:rPr>
              <w:t>6</w:t>
            </w:r>
            <w:r>
              <w:rPr>
                <w:rFonts w:hint="eastAsia" w:ascii="宋体" w:hAnsi="宋体" w:eastAsia="宋体" w:cs="宋体"/>
                <w:color w:val="auto"/>
                <w:szCs w:val="24"/>
                <w:highlight w:val="none"/>
                <w:lang w:eastAsia="zh-CN"/>
              </w:rPr>
              <w:t>）拟</w:t>
            </w:r>
            <w:r>
              <w:rPr>
                <w:rFonts w:hint="eastAsia" w:ascii="宋体" w:hAnsi="宋体" w:eastAsia="宋体" w:cs="宋体"/>
                <w:color w:val="auto"/>
                <w:szCs w:val="24"/>
                <w:highlight w:val="none"/>
                <w:lang w:val="en-US" w:eastAsia="zh-CN"/>
              </w:rPr>
              <w:t>增</w:t>
            </w:r>
            <w:r>
              <w:rPr>
                <w:rFonts w:hint="eastAsia" w:ascii="宋体" w:hAnsi="宋体" w:eastAsia="宋体" w:cs="宋体"/>
                <w:color w:val="auto"/>
                <w:szCs w:val="24"/>
                <w:highlight w:val="none"/>
              </w:rPr>
              <w:t>派本工程</w:t>
            </w:r>
            <w:r>
              <w:rPr>
                <w:rFonts w:hint="eastAsia" w:ascii="宋体" w:hAnsi="宋体" w:eastAsia="宋体" w:cs="宋体"/>
                <w:color w:val="auto"/>
                <w:szCs w:val="24"/>
                <w:highlight w:val="none"/>
                <w:lang w:val="en-US" w:eastAsia="zh-CN"/>
              </w:rPr>
              <w:t>造价</w:t>
            </w:r>
            <w:r>
              <w:rPr>
                <w:rFonts w:hint="eastAsia" w:ascii="宋体" w:hAnsi="宋体" w:eastAsia="宋体" w:cs="宋体"/>
                <w:color w:val="auto"/>
                <w:szCs w:val="24"/>
                <w:highlight w:val="none"/>
              </w:rPr>
              <w:t>工程师：</w:t>
            </w:r>
          </w:p>
          <w:p w14:paraId="1044FFEA">
            <w:pPr>
              <w:widowControl/>
              <w:spacing w:line="360" w:lineRule="auto"/>
              <w:ind w:right="34"/>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1.同时</w:t>
            </w:r>
            <w:r>
              <w:rPr>
                <w:rFonts w:hint="eastAsia" w:ascii="宋体" w:hAnsi="宋体" w:eastAsia="宋体" w:cs="宋体"/>
                <w:color w:val="auto"/>
                <w:szCs w:val="24"/>
                <w:highlight w:val="none"/>
              </w:rPr>
              <w:t>具有一级注册造价工程师</w:t>
            </w:r>
            <w:r>
              <w:rPr>
                <w:rFonts w:hint="eastAsia" w:ascii="宋体" w:hAnsi="宋体" w:eastAsia="宋体" w:cs="宋体"/>
                <w:color w:val="auto"/>
                <w:szCs w:val="24"/>
                <w:highlight w:val="none"/>
                <w:lang w:val="en-US" w:eastAsia="zh-CN"/>
              </w:rPr>
              <w:t>证书及</w:t>
            </w:r>
            <w:r>
              <w:rPr>
                <w:rFonts w:hint="eastAsia" w:ascii="宋体" w:hAnsi="宋体" w:eastAsia="宋体" w:cs="宋体"/>
                <w:color w:val="auto"/>
                <w:szCs w:val="24"/>
                <w:highlight w:val="none"/>
              </w:rPr>
              <w:t>工程造价中级或以上职称的</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得3分。</w:t>
            </w:r>
          </w:p>
          <w:p w14:paraId="236D293D">
            <w:pPr>
              <w:widowControl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2.具有一级注册造价工程师证书或工程造价中级或以上职称的，得1分。</w:t>
            </w:r>
          </w:p>
          <w:p w14:paraId="73C854AE">
            <w:pPr>
              <w:widowControl/>
              <w:spacing w:line="360" w:lineRule="auto"/>
              <w:ind w:right="34"/>
              <w:rPr>
                <w:rFonts w:hint="eastAsia" w:ascii="宋体" w:hAnsi="宋体" w:eastAsia="宋体" w:cs="宋体"/>
                <w:color w:val="auto"/>
                <w:highlight w:val="none"/>
              </w:rPr>
            </w:pPr>
            <w:r>
              <w:rPr>
                <w:rFonts w:hint="eastAsia" w:ascii="宋体" w:hAnsi="宋体" w:eastAsia="宋体" w:cs="宋体"/>
                <w:b/>
                <w:bCs/>
                <w:color w:val="auto"/>
                <w:szCs w:val="24"/>
                <w:highlight w:val="none"/>
              </w:rPr>
              <w:t>本小项最高得</w:t>
            </w:r>
            <w:r>
              <w:rPr>
                <w:rFonts w:hint="eastAsia" w:ascii="宋体" w:hAnsi="宋体" w:eastAsia="宋体" w:cs="宋体"/>
                <w:b/>
                <w:bCs/>
                <w:color w:val="auto"/>
                <w:szCs w:val="24"/>
                <w:highlight w:val="none"/>
                <w:lang w:val="en-US" w:eastAsia="zh-CN"/>
              </w:rPr>
              <w:t>3</w:t>
            </w:r>
            <w:r>
              <w:rPr>
                <w:rFonts w:hint="eastAsia" w:ascii="宋体" w:hAnsi="宋体" w:eastAsia="宋体" w:cs="宋体"/>
                <w:b/>
                <w:bCs/>
                <w:color w:val="auto"/>
                <w:szCs w:val="24"/>
                <w:highlight w:val="none"/>
              </w:rPr>
              <w:t>分。</w:t>
            </w:r>
          </w:p>
        </w:tc>
        <w:tc>
          <w:tcPr>
            <w:tcW w:w="3794" w:type="dxa"/>
            <w:noWrap w:val="0"/>
            <w:vAlign w:val="center"/>
          </w:tcPr>
          <w:p w14:paraId="1872B1FD">
            <w:pPr>
              <w:spacing w:line="38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须提供相关证书、证明材料彩色扫描件，同时提供在本单位缴纳的近3个月的社保证明文件（必须包含2026年</w:t>
            </w:r>
            <w:r>
              <w:rPr>
                <w:rFonts w:hint="eastAsia" w:ascii="宋体" w:hAnsi="宋体" w:eastAsia="宋体" w:cs="宋体"/>
                <w:color w:val="auto"/>
                <w:szCs w:val="24"/>
                <w:highlight w:val="none"/>
                <w:lang w:val="en-US" w:eastAsia="zh-CN"/>
              </w:rPr>
              <w:t>8</w:t>
            </w:r>
            <w:r>
              <w:rPr>
                <w:rFonts w:hint="eastAsia" w:ascii="宋体" w:hAnsi="宋体" w:eastAsia="宋体" w:cs="宋体"/>
                <w:color w:val="auto"/>
                <w:szCs w:val="24"/>
                <w:highlight w:val="none"/>
              </w:rPr>
              <w:t>月）社保的证明文件（注：如监理工程师为离退休人员的无需提供社保证明材料，但须提供离退休证、与投标人签署的有效劳务合同），否则不得分。</w:t>
            </w:r>
          </w:p>
        </w:tc>
      </w:tr>
      <w:tr w14:paraId="05B1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53" w:type="dxa"/>
            <w:gridSpan w:val="4"/>
            <w:noWrap w:val="0"/>
            <w:vAlign w:val="center"/>
          </w:tcPr>
          <w:p w14:paraId="718029AF">
            <w:pPr>
              <w:widowControl w:val="0"/>
              <w:adjustRightInd w:val="0"/>
              <w:snapToGrid w:val="0"/>
              <w:spacing w:line="360" w:lineRule="auto"/>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技术部分（监理大纲），满分：</w:t>
            </w:r>
            <w:r>
              <w:rPr>
                <w:rFonts w:hint="eastAsia" w:ascii="宋体" w:hAnsi="宋体" w:eastAsia="宋体" w:cs="宋体"/>
                <w:b/>
                <w:bCs/>
                <w:color w:val="auto"/>
                <w:kern w:val="2"/>
                <w:sz w:val="24"/>
                <w:szCs w:val="24"/>
                <w:highlight w:val="none"/>
                <w:u w:val="single"/>
                <w:lang w:val="en-US" w:eastAsia="zh-CN" w:bidi="ar-SA"/>
              </w:rPr>
              <w:t>20</w:t>
            </w:r>
            <w:r>
              <w:rPr>
                <w:rFonts w:hint="eastAsia" w:ascii="宋体" w:hAnsi="宋体" w:eastAsia="宋体" w:cs="宋体"/>
                <w:b/>
                <w:bCs/>
                <w:color w:val="auto"/>
                <w:kern w:val="2"/>
                <w:sz w:val="24"/>
                <w:szCs w:val="24"/>
                <w:highlight w:val="none"/>
                <w:lang w:val="en-US" w:eastAsia="zh-CN" w:bidi="ar-SA"/>
              </w:rPr>
              <w:t>分。</w:t>
            </w:r>
          </w:p>
        </w:tc>
      </w:tr>
      <w:tr w14:paraId="79B7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22EDC794">
            <w:pPr>
              <w:widowControl w:val="0"/>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评分因素</w:t>
            </w:r>
          </w:p>
        </w:tc>
        <w:tc>
          <w:tcPr>
            <w:tcW w:w="4681" w:type="dxa"/>
            <w:gridSpan w:val="2"/>
            <w:noWrap w:val="0"/>
            <w:vAlign w:val="center"/>
          </w:tcPr>
          <w:p w14:paraId="447D8881">
            <w:pPr>
              <w:widowControl w:val="0"/>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评分标准</w:t>
            </w:r>
          </w:p>
        </w:tc>
        <w:tc>
          <w:tcPr>
            <w:tcW w:w="3794" w:type="dxa"/>
            <w:noWrap w:val="0"/>
            <w:vAlign w:val="center"/>
          </w:tcPr>
          <w:p w14:paraId="5D6C3781">
            <w:pPr>
              <w:widowControl w:val="0"/>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备注</w:t>
            </w:r>
          </w:p>
        </w:tc>
      </w:tr>
      <w:tr w14:paraId="1BE6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46A60660">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监理依据及工作目标</w:t>
            </w:r>
          </w:p>
          <w:p w14:paraId="38B7A2F1">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068C31F1">
            <w:pPr>
              <w:widowControl w:val="0"/>
              <w:wordWrap w:val="0"/>
              <w:adjustRightInd w:val="0"/>
              <w:snapToGrid w:val="0"/>
              <w:spacing w:after="0" w:afterLines="0" w:afterAutospacing="0"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2393D62B">
            <w:pPr>
              <w:widowControl w:val="0"/>
              <w:wordWrap w:val="0"/>
              <w:adjustRightInd w:val="0"/>
              <w:snapToGrid w:val="0"/>
              <w:spacing w:after="0" w:afterLines="0" w:afterAutospacing="0"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07EF9C65">
            <w:pPr>
              <w:widowControl w:val="0"/>
              <w:wordWrap w:val="0"/>
              <w:adjustRightInd w:val="0"/>
              <w:snapToGrid w:val="0"/>
              <w:spacing w:after="0" w:afterLines="0" w:afterAutospacing="0"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402CDFAB">
            <w:pPr>
              <w:widowControl w:val="0"/>
              <w:wordWrap w:val="0"/>
              <w:adjustRightInd w:val="0"/>
              <w:snapToGrid w:val="0"/>
              <w:spacing w:after="0" w:afterLines="0" w:afterAutospacing="0"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noWrap w:val="0"/>
            <w:vAlign w:val="center"/>
          </w:tcPr>
          <w:p w14:paraId="5756EEA3">
            <w:pPr>
              <w:widowControl w:val="0"/>
              <w:wordWrap w:val="0"/>
              <w:adjustRightInd w:val="0"/>
              <w:snapToGrid w:val="0"/>
              <w:spacing w:line="400" w:lineRule="exact"/>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要求依据全面、适用；目标清晰、正确；针对性强。</w:t>
            </w:r>
          </w:p>
        </w:tc>
      </w:tr>
      <w:tr w14:paraId="28F9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234BAF4F">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工程质量监理措施</w:t>
            </w:r>
          </w:p>
          <w:p w14:paraId="76A5D319">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338BD125">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0839B334">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205832D0">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26F61BFD">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vMerge w:val="restart"/>
            <w:noWrap w:val="0"/>
            <w:vAlign w:val="center"/>
          </w:tcPr>
          <w:p w14:paraId="3F436D4D">
            <w:pPr>
              <w:widowControl w:val="0"/>
              <w:adjustRightInd w:val="0"/>
              <w:snapToGrid w:val="0"/>
              <w:spacing w:line="360" w:lineRule="auto"/>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要求目标正确、方法可行、预控和动态管理措施具体、针对性强。脱离本工程实际、机械照搬照抄规范和技术标准的，不能得满分。</w:t>
            </w:r>
          </w:p>
        </w:tc>
      </w:tr>
      <w:tr w14:paraId="10CC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600EEE76">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工程进度监理措施</w:t>
            </w:r>
          </w:p>
          <w:p w14:paraId="05CD1D37">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72691A9F">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54B7C92A">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1553C81E">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7526B2CC">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vMerge w:val="continue"/>
            <w:noWrap w:val="0"/>
            <w:vAlign w:val="center"/>
          </w:tcPr>
          <w:p w14:paraId="31BF4B15">
            <w:pPr>
              <w:widowControl w:val="0"/>
              <w:adjustRightInd w:val="0"/>
              <w:snapToGrid w:val="0"/>
              <w:spacing w:line="360" w:lineRule="auto"/>
              <w:jc w:val="both"/>
              <w:rPr>
                <w:rFonts w:hint="eastAsia" w:ascii="宋体" w:hAnsi="宋体" w:eastAsia="宋体" w:cs="宋体"/>
                <w:b/>
                <w:bCs/>
                <w:color w:val="auto"/>
                <w:kern w:val="2"/>
                <w:sz w:val="24"/>
                <w:szCs w:val="24"/>
                <w:highlight w:val="none"/>
                <w:lang w:val="en-US" w:eastAsia="zh-CN" w:bidi="ar-SA"/>
              </w:rPr>
            </w:pPr>
          </w:p>
        </w:tc>
      </w:tr>
      <w:tr w14:paraId="5627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3E01F374">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工程造价监理措施</w:t>
            </w:r>
          </w:p>
          <w:p w14:paraId="4277D83C">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224D30C1">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4657DF1A">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73B5408C">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48C5EB19">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vMerge w:val="continue"/>
            <w:noWrap w:val="0"/>
            <w:vAlign w:val="center"/>
          </w:tcPr>
          <w:p w14:paraId="5840D9AE">
            <w:pPr>
              <w:widowControl w:val="0"/>
              <w:adjustRightInd w:val="0"/>
              <w:snapToGrid w:val="0"/>
              <w:spacing w:line="360" w:lineRule="auto"/>
              <w:jc w:val="both"/>
              <w:rPr>
                <w:rFonts w:hint="eastAsia" w:ascii="宋体" w:hAnsi="宋体" w:eastAsia="宋体" w:cs="宋体"/>
                <w:b/>
                <w:bCs/>
                <w:color w:val="auto"/>
                <w:kern w:val="2"/>
                <w:sz w:val="24"/>
                <w:szCs w:val="24"/>
                <w:highlight w:val="none"/>
                <w:lang w:val="en-US" w:eastAsia="zh-CN" w:bidi="ar-SA"/>
              </w:rPr>
            </w:pPr>
          </w:p>
        </w:tc>
      </w:tr>
      <w:tr w14:paraId="1C80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5940C8C3">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安全防护监理措施</w:t>
            </w:r>
          </w:p>
          <w:p w14:paraId="2DCE0234">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77A893A7">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12A27B1D">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080A3F6F">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5A2C8A6D">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vMerge w:val="continue"/>
            <w:noWrap w:val="0"/>
            <w:vAlign w:val="center"/>
          </w:tcPr>
          <w:p w14:paraId="24DCE1FE">
            <w:pPr>
              <w:widowControl w:val="0"/>
              <w:adjustRightInd w:val="0"/>
              <w:snapToGrid w:val="0"/>
              <w:spacing w:line="360" w:lineRule="auto"/>
              <w:jc w:val="both"/>
              <w:rPr>
                <w:rFonts w:hint="eastAsia" w:ascii="宋体" w:hAnsi="宋体" w:eastAsia="宋体" w:cs="宋体"/>
                <w:b/>
                <w:bCs/>
                <w:color w:val="auto"/>
                <w:kern w:val="2"/>
                <w:sz w:val="24"/>
                <w:szCs w:val="24"/>
                <w:highlight w:val="none"/>
                <w:lang w:val="en-US" w:eastAsia="zh-CN" w:bidi="ar-SA"/>
              </w:rPr>
            </w:pPr>
          </w:p>
        </w:tc>
      </w:tr>
      <w:tr w14:paraId="3A93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52E44483">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绿色施工、文明施工监理措施</w:t>
            </w:r>
          </w:p>
          <w:p w14:paraId="317DA3BE">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72F6AFAD">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352747CA">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14C58ADB">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19494637">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vMerge w:val="continue"/>
            <w:noWrap w:val="0"/>
            <w:vAlign w:val="center"/>
          </w:tcPr>
          <w:p w14:paraId="6B3273A5">
            <w:pPr>
              <w:widowControl w:val="0"/>
              <w:adjustRightInd w:val="0"/>
              <w:snapToGrid w:val="0"/>
              <w:spacing w:line="360" w:lineRule="auto"/>
              <w:jc w:val="both"/>
              <w:rPr>
                <w:rFonts w:hint="eastAsia" w:ascii="宋体" w:hAnsi="宋体" w:eastAsia="宋体" w:cs="宋体"/>
                <w:b/>
                <w:bCs/>
                <w:color w:val="auto"/>
                <w:kern w:val="2"/>
                <w:sz w:val="24"/>
                <w:szCs w:val="24"/>
                <w:highlight w:val="none"/>
                <w:lang w:val="en-US" w:eastAsia="zh-CN" w:bidi="ar-SA"/>
              </w:rPr>
            </w:pPr>
          </w:p>
        </w:tc>
      </w:tr>
      <w:tr w14:paraId="47B0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02C3A84E">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合同、信息管理方案</w:t>
            </w:r>
          </w:p>
          <w:p w14:paraId="57E07F2A">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384E68CC">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20216DBA">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3A67A204">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49B6E96C">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noWrap w:val="0"/>
            <w:vAlign w:val="center"/>
          </w:tcPr>
          <w:p w14:paraId="75F6365B">
            <w:pPr>
              <w:widowControl w:val="0"/>
              <w:wordWrap w:val="0"/>
              <w:adjustRightInd w:val="0"/>
              <w:snapToGrid w:val="0"/>
              <w:spacing w:line="400" w:lineRule="exact"/>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要求各项制度规范清晰，方法科学合理，措施及时有效，针对性强。能够切实防范和处理合同纠纷，提升监理工作效能。</w:t>
            </w:r>
          </w:p>
        </w:tc>
      </w:tr>
      <w:tr w14:paraId="14EA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1DE0C455">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组织协调内容及措施</w:t>
            </w:r>
          </w:p>
          <w:p w14:paraId="7E2F4729">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204D34DC">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3DDCAA12">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0578BB79">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4428CDC8">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noWrap w:val="0"/>
            <w:vAlign w:val="center"/>
          </w:tcPr>
          <w:p w14:paraId="21B2281E">
            <w:pPr>
              <w:widowControl w:val="0"/>
              <w:wordWrap w:val="0"/>
              <w:adjustRightInd w:val="0"/>
              <w:snapToGrid w:val="0"/>
              <w:spacing w:line="400" w:lineRule="exact"/>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要求各项制度规范清晰，方法科学合理，措施及时有效，针对性强。能够高效收集、协调、处理、反馈各方各类问题。</w:t>
            </w:r>
          </w:p>
        </w:tc>
      </w:tr>
      <w:tr w14:paraId="7D6D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4AB309E2">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监理工作重点、难点分析</w:t>
            </w:r>
          </w:p>
          <w:p w14:paraId="310F59DD">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5637379C">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7AF404E7">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564E9FCF">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00B82F44">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noWrap w:val="0"/>
            <w:vAlign w:val="center"/>
          </w:tcPr>
          <w:p w14:paraId="40B38CE5">
            <w:pPr>
              <w:widowControl w:val="0"/>
              <w:wordWrap w:val="0"/>
              <w:adjustRightInd w:val="0"/>
              <w:snapToGrid w:val="0"/>
              <w:spacing w:line="400" w:lineRule="exact"/>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要求方法可行、措施具体、针对性强。</w:t>
            </w:r>
          </w:p>
        </w:tc>
      </w:tr>
      <w:tr w14:paraId="46B0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181CFB9B">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合理化建议</w:t>
            </w:r>
          </w:p>
          <w:p w14:paraId="284A209C">
            <w:pPr>
              <w:adjustRightInd w:val="0"/>
              <w:snapToGrid w:val="0"/>
              <w:spacing w:line="360" w:lineRule="auto"/>
              <w:jc w:val="center"/>
              <w:rPr>
                <w:rFonts w:hint="eastAsia" w:ascii="宋体" w:hAnsi="宋体" w:eastAsia="宋体" w:cs="宋体"/>
                <w:snapToGrid w:val="0"/>
                <w:color w:val="auto"/>
                <w:kern w:val="0"/>
                <w:szCs w:val="24"/>
                <w:highlight w:val="none"/>
                <w:lang w:val="zh-TW"/>
              </w:rPr>
            </w:pPr>
            <w:r>
              <w:rPr>
                <w:rFonts w:hint="eastAsia" w:ascii="宋体" w:hAnsi="宋体" w:eastAsia="宋体" w:cs="宋体"/>
                <w:snapToGrid w:val="0"/>
                <w:color w:val="auto"/>
                <w:kern w:val="0"/>
                <w:szCs w:val="24"/>
                <w:highlight w:val="none"/>
                <w:lang w:val="zh-TW"/>
              </w:rPr>
              <w:t>（</w:t>
            </w: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zh-TW"/>
              </w:rPr>
              <w:t>分）</w:t>
            </w:r>
          </w:p>
        </w:tc>
        <w:tc>
          <w:tcPr>
            <w:tcW w:w="4681" w:type="dxa"/>
            <w:gridSpan w:val="2"/>
            <w:noWrap w:val="0"/>
            <w:vAlign w:val="center"/>
          </w:tcPr>
          <w:p w14:paraId="481CF3E0">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【优】得该项因素分的85%～100%（含85%）；</w:t>
            </w:r>
          </w:p>
          <w:p w14:paraId="275CC424">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【良】得该项因素分的70%～85%（含70%）；</w:t>
            </w:r>
          </w:p>
          <w:p w14:paraId="31BEA35C">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【中】得该项因素分的60%～70%（含60%）；</w:t>
            </w:r>
          </w:p>
          <w:p w14:paraId="66E398CB">
            <w:pPr>
              <w:widowControl w:val="0"/>
              <w:wordWrap w:val="0"/>
              <w:adjustRightInd w:val="0"/>
              <w:snapToGrid w:val="0"/>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【差】得该项因素分的0～60%（含0分）。</w:t>
            </w:r>
          </w:p>
        </w:tc>
        <w:tc>
          <w:tcPr>
            <w:tcW w:w="3794" w:type="dxa"/>
            <w:noWrap w:val="0"/>
            <w:vAlign w:val="center"/>
          </w:tcPr>
          <w:p w14:paraId="3E01E775">
            <w:pPr>
              <w:widowControl w:val="0"/>
              <w:wordWrap w:val="0"/>
              <w:adjustRightInd w:val="0"/>
              <w:snapToGrid w:val="0"/>
              <w:spacing w:line="400" w:lineRule="exact"/>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要求方法可行、措施具体、针对性强。</w:t>
            </w:r>
          </w:p>
        </w:tc>
      </w:tr>
      <w:tr w14:paraId="1049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53" w:type="dxa"/>
            <w:gridSpan w:val="4"/>
            <w:noWrap w:val="0"/>
            <w:vAlign w:val="center"/>
          </w:tcPr>
          <w:p w14:paraId="3DE601E0">
            <w:pPr>
              <w:widowControl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经济报价部分，满分：</w:t>
            </w:r>
            <w:r>
              <w:rPr>
                <w:rFonts w:hint="eastAsia" w:ascii="宋体" w:hAnsi="宋体" w:eastAsia="宋体" w:cs="宋体"/>
                <w:b/>
                <w:bCs/>
                <w:snapToGrid w:val="0"/>
                <w:color w:val="auto"/>
                <w:kern w:val="0"/>
                <w:sz w:val="24"/>
                <w:szCs w:val="24"/>
                <w:highlight w:val="none"/>
                <w:u w:val="single"/>
                <w:lang w:val="en-US" w:eastAsia="zh-CN" w:bidi="ar-SA"/>
              </w:rPr>
              <w:t>20</w:t>
            </w:r>
            <w:r>
              <w:rPr>
                <w:rFonts w:hint="eastAsia" w:ascii="宋体" w:hAnsi="宋体" w:eastAsia="宋体" w:cs="宋体"/>
                <w:b/>
                <w:bCs/>
                <w:snapToGrid w:val="0"/>
                <w:color w:val="auto"/>
                <w:kern w:val="0"/>
                <w:sz w:val="24"/>
                <w:szCs w:val="24"/>
                <w:highlight w:val="none"/>
                <w:lang w:val="en-US" w:eastAsia="zh-CN" w:bidi="ar-SA"/>
              </w:rPr>
              <w:t>分。</w:t>
            </w:r>
          </w:p>
        </w:tc>
      </w:tr>
      <w:tr w14:paraId="245A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2F7D536E">
            <w:pPr>
              <w:tabs>
                <w:tab w:val="left" w:pos="720"/>
              </w:tabs>
              <w:snapToGrid w:val="0"/>
              <w:spacing w:line="240" w:lineRule="auto"/>
              <w:jc w:val="center"/>
              <w:rPr>
                <w:rFonts w:hint="eastAsia" w:ascii="宋体" w:hAnsi="宋体" w:eastAsia="宋体" w:cs="宋体"/>
                <w:color w:val="auto"/>
                <w:szCs w:val="24"/>
                <w:highlight w:val="none"/>
              </w:rPr>
            </w:pPr>
            <w:r>
              <w:rPr>
                <w:rFonts w:hint="eastAsia" w:ascii="宋体" w:hAnsi="宋体" w:eastAsia="宋体" w:cs="宋体"/>
                <w:snapToGrid w:val="0"/>
                <w:color w:val="auto"/>
                <w:kern w:val="0"/>
                <w:szCs w:val="24"/>
                <w:highlight w:val="none"/>
              </w:rPr>
              <w:t>评标基准价D</w:t>
            </w:r>
          </w:p>
        </w:tc>
        <w:tc>
          <w:tcPr>
            <w:tcW w:w="8475" w:type="dxa"/>
            <w:gridSpan w:val="3"/>
            <w:noWrap w:val="0"/>
            <w:vAlign w:val="center"/>
          </w:tcPr>
          <w:p w14:paraId="53E27931">
            <w:pPr>
              <w:wordWrap w:val="0"/>
              <w:adjustRightInd w:val="0"/>
              <w:snapToGrid w:val="0"/>
              <w:spacing w:line="400" w:lineRule="exact"/>
              <w:ind w:firstLine="480" w:firstLineChars="200"/>
              <w:jc w:val="lef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（1）确定最高投标限价下浮系数n：用1～21号球分别代表一个下浮系数（%），由评委代表从这21个号码中随机抽取</w:t>
            </w:r>
            <w:r>
              <w:rPr>
                <w:rFonts w:hint="eastAsia" w:ascii="宋体" w:hAnsi="宋体" w:eastAsia="宋体" w:cs="宋体"/>
                <w:snapToGrid w:val="0"/>
                <w:color w:val="auto"/>
                <w:kern w:val="0"/>
                <w:szCs w:val="24"/>
                <w:highlight w:val="none"/>
                <w:u w:val="single"/>
              </w:rPr>
              <w:t xml:space="preserve"> 3 </w:t>
            </w:r>
            <w:r>
              <w:rPr>
                <w:rFonts w:hint="eastAsia" w:ascii="宋体" w:hAnsi="宋体" w:eastAsia="宋体" w:cs="宋体"/>
                <w:snapToGrid w:val="0"/>
                <w:color w:val="auto"/>
                <w:kern w:val="0"/>
                <w:szCs w:val="24"/>
                <w:highlight w:val="none"/>
              </w:rPr>
              <w:t>次，抽出的号球不参与下次抽取，每次抽取1个号码，所抽取的3个号码对应下浮系数的算术平均值作为最高投标限价下浮系数n。具体号码对应的下浮系数可参考下表。</w:t>
            </w:r>
          </w:p>
          <w:tbl>
            <w:tblPr>
              <w:tblStyle w:val="31"/>
              <w:tblW w:w="0" w:type="auto"/>
              <w:tblInd w:w="113" w:type="dxa"/>
              <w:tblLayout w:type="fixed"/>
              <w:tblCellMar>
                <w:top w:w="0" w:type="dxa"/>
                <w:left w:w="108" w:type="dxa"/>
                <w:bottom w:w="0" w:type="dxa"/>
                <w:right w:w="108" w:type="dxa"/>
              </w:tblCellMar>
            </w:tblPr>
            <w:tblGrid>
              <w:gridCol w:w="1809"/>
              <w:gridCol w:w="848"/>
              <w:gridCol w:w="887"/>
              <w:gridCol w:w="923"/>
              <w:gridCol w:w="906"/>
              <w:gridCol w:w="942"/>
              <w:gridCol w:w="886"/>
              <w:gridCol w:w="875"/>
            </w:tblGrid>
            <w:tr w14:paraId="07150F0B">
              <w:tblPrEx>
                <w:tblCellMar>
                  <w:top w:w="0" w:type="dxa"/>
                  <w:left w:w="108" w:type="dxa"/>
                  <w:bottom w:w="0" w:type="dxa"/>
                  <w:right w:w="108" w:type="dxa"/>
                </w:tblCellMar>
              </w:tblPrEx>
              <w:trPr>
                <w:trHeight w:val="468" w:hRule="atLeast"/>
              </w:trPr>
              <w:tc>
                <w:tcPr>
                  <w:tcW w:w="1809" w:type="dxa"/>
                  <w:tcBorders>
                    <w:top w:val="single" w:color="000000" w:sz="4" w:space="0"/>
                    <w:left w:val="single" w:color="000000" w:sz="4" w:space="0"/>
                    <w:bottom w:val="single" w:color="000000" w:sz="4" w:space="0"/>
                    <w:right w:val="single" w:color="000000" w:sz="4" w:space="0"/>
                  </w:tcBorders>
                  <w:noWrap w:val="0"/>
                  <w:vAlign w:val="center"/>
                </w:tcPr>
                <w:p w14:paraId="39732EC5">
                  <w:pPr>
                    <w:wordWrap w:val="0"/>
                    <w:adjustRightInd w:val="0"/>
                    <w:snapToGrid w:val="0"/>
                    <w:spacing w:line="400" w:lineRule="exact"/>
                    <w:jc w:val="center"/>
                    <w:rPr>
                      <w:rFonts w:hint="eastAsia" w:ascii="宋体" w:hAnsi="宋体" w:eastAsia="宋体" w:cs="宋体"/>
                      <w:b/>
                      <w:snapToGrid w:val="0"/>
                      <w:color w:val="auto"/>
                      <w:kern w:val="0"/>
                      <w:szCs w:val="24"/>
                      <w:highlight w:val="none"/>
                    </w:rPr>
                  </w:pPr>
                  <w:r>
                    <w:rPr>
                      <w:rFonts w:hint="eastAsia" w:ascii="宋体" w:hAnsi="宋体" w:eastAsia="宋体" w:cs="宋体"/>
                      <w:bCs/>
                      <w:snapToGrid w:val="0"/>
                      <w:color w:val="auto"/>
                      <w:kern w:val="0"/>
                      <w:szCs w:val="24"/>
                      <w:highlight w:val="none"/>
                    </w:rPr>
                    <w:t>号球</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4AC3A4C3">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2E81CB3B">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14:paraId="11C2A242">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75BFA7DC">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685FD875">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58A744A6">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066D7E80">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w:t>
                  </w:r>
                </w:p>
              </w:tc>
            </w:tr>
            <w:tr w14:paraId="22CA2641">
              <w:tblPrEx>
                <w:tblCellMar>
                  <w:top w:w="0" w:type="dxa"/>
                  <w:left w:w="108" w:type="dxa"/>
                  <w:bottom w:w="0" w:type="dxa"/>
                  <w:right w:w="108" w:type="dxa"/>
                </w:tblCellMar>
              </w:tblPrEx>
              <w:trPr>
                <w:trHeight w:val="468" w:hRule="atLeast"/>
              </w:trPr>
              <w:tc>
                <w:tcPr>
                  <w:tcW w:w="1809" w:type="dxa"/>
                  <w:tcBorders>
                    <w:top w:val="single" w:color="000000" w:sz="4" w:space="0"/>
                    <w:left w:val="single" w:color="000000" w:sz="4" w:space="0"/>
                    <w:bottom w:val="single" w:color="000000" w:sz="4" w:space="0"/>
                    <w:right w:val="single" w:color="000000" w:sz="4" w:space="0"/>
                  </w:tcBorders>
                  <w:noWrap w:val="0"/>
                  <w:vAlign w:val="center"/>
                </w:tcPr>
                <w:p w14:paraId="2AA56B58">
                  <w:pPr>
                    <w:wordWrap w:val="0"/>
                    <w:adjustRightInd w:val="0"/>
                    <w:snapToGrid w:val="0"/>
                    <w:spacing w:line="240" w:lineRule="auto"/>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下浮系数（%）</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6D482E1">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1.0</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2137682F">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1.1</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14:paraId="1A74C561">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1.2</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1B0D6F6">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1.3</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13602427">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1.4</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6656657">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1.5</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5ABC8071">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1.6</w:t>
                  </w:r>
                </w:p>
              </w:tc>
            </w:tr>
            <w:tr w14:paraId="31CD75E7">
              <w:tblPrEx>
                <w:tblCellMar>
                  <w:top w:w="0" w:type="dxa"/>
                  <w:left w:w="108" w:type="dxa"/>
                  <w:bottom w:w="0" w:type="dxa"/>
                  <w:right w:w="108" w:type="dxa"/>
                </w:tblCellMar>
              </w:tblPrEx>
              <w:trPr>
                <w:trHeight w:val="468" w:hRule="atLeast"/>
              </w:trPr>
              <w:tc>
                <w:tcPr>
                  <w:tcW w:w="1809" w:type="dxa"/>
                  <w:tcBorders>
                    <w:top w:val="single" w:color="000000" w:sz="4" w:space="0"/>
                    <w:left w:val="single" w:color="000000" w:sz="4" w:space="0"/>
                    <w:bottom w:val="single" w:color="000000" w:sz="4" w:space="0"/>
                    <w:right w:val="single" w:color="000000" w:sz="4" w:space="0"/>
                  </w:tcBorders>
                  <w:noWrap w:val="0"/>
                  <w:vAlign w:val="center"/>
                </w:tcPr>
                <w:p w14:paraId="1BE8B97E">
                  <w:pPr>
                    <w:wordWrap w:val="0"/>
                    <w:adjustRightInd w:val="0"/>
                    <w:snapToGrid w:val="0"/>
                    <w:spacing w:line="400" w:lineRule="exact"/>
                    <w:jc w:val="center"/>
                    <w:rPr>
                      <w:rFonts w:hint="eastAsia" w:ascii="宋体" w:hAnsi="宋体" w:eastAsia="宋体" w:cs="宋体"/>
                      <w:b/>
                      <w:snapToGrid w:val="0"/>
                      <w:color w:val="auto"/>
                      <w:kern w:val="0"/>
                      <w:szCs w:val="24"/>
                      <w:highlight w:val="none"/>
                    </w:rPr>
                  </w:pPr>
                  <w:r>
                    <w:rPr>
                      <w:rFonts w:hint="eastAsia" w:ascii="宋体" w:hAnsi="宋体" w:eastAsia="宋体" w:cs="宋体"/>
                      <w:bCs/>
                      <w:snapToGrid w:val="0"/>
                      <w:color w:val="auto"/>
                      <w:kern w:val="0"/>
                      <w:szCs w:val="24"/>
                      <w:highlight w:val="none"/>
                    </w:rPr>
                    <w:t>号球</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04F39923">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8</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7D300D88">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cr/>
                  </w:r>
                  <w:r>
                    <w:rPr>
                      <w:rFonts w:hint="eastAsia" w:ascii="宋体" w:hAnsi="宋体" w:eastAsia="宋体" w:cs="宋体"/>
                      <w:snapToGrid w:val="0"/>
                      <w:color w:val="auto"/>
                      <w:kern w:val="0"/>
                      <w:szCs w:val="24"/>
                      <w:highlight w:val="none"/>
                    </w:rPr>
                    <w:t>9</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14:paraId="09F0F97F">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10</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CB9D0E3">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11</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3E186E29">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12</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5A22B589">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13</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40A5CDB6">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14</w:t>
                  </w:r>
                </w:p>
              </w:tc>
            </w:tr>
            <w:tr w14:paraId="6DF76EF9">
              <w:tblPrEx>
                <w:tblCellMar>
                  <w:top w:w="0" w:type="dxa"/>
                  <w:left w:w="108" w:type="dxa"/>
                  <w:bottom w:w="0" w:type="dxa"/>
                  <w:right w:w="108" w:type="dxa"/>
                </w:tblCellMar>
              </w:tblPrEx>
              <w:trPr>
                <w:trHeight w:val="468" w:hRule="atLeast"/>
              </w:trPr>
              <w:tc>
                <w:tcPr>
                  <w:tcW w:w="1809" w:type="dxa"/>
                  <w:tcBorders>
                    <w:top w:val="single" w:color="000000" w:sz="4" w:space="0"/>
                    <w:left w:val="single" w:color="000000" w:sz="4" w:space="0"/>
                    <w:bottom w:val="single" w:color="000000" w:sz="4" w:space="0"/>
                    <w:right w:val="single" w:color="000000" w:sz="4" w:space="0"/>
                  </w:tcBorders>
                  <w:noWrap w:val="0"/>
                  <w:vAlign w:val="center"/>
                </w:tcPr>
                <w:p w14:paraId="597DB6CE">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下浮系数（%）</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91A5E9F">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1.7</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648BE69B">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1.8</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14:paraId="2B65EAC8">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1.9</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AA35162">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2.0</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50B635DC">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2.1</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7AB3C176">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2.2</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41BF285B">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2.3</w:t>
                  </w:r>
                </w:p>
              </w:tc>
            </w:tr>
            <w:tr w14:paraId="4A24FA27">
              <w:tblPrEx>
                <w:tblCellMar>
                  <w:top w:w="0" w:type="dxa"/>
                  <w:left w:w="108" w:type="dxa"/>
                  <w:bottom w:w="0" w:type="dxa"/>
                  <w:right w:w="108" w:type="dxa"/>
                </w:tblCellMar>
              </w:tblPrEx>
              <w:trPr>
                <w:trHeight w:val="468" w:hRule="atLeast"/>
              </w:trPr>
              <w:tc>
                <w:tcPr>
                  <w:tcW w:w="1809" w:type="dxa"/>
                  <w:tcBorders>
                    <w:top w:val="single" w:color="000000" w:sz="4" w:space="0"/>
                    <w:left w:val="single" w:color="000000" w:sz="4" w:space="0"/>
                    <w:bottom w:val="single" w:color="000000" w:sz="4" w:space="0"/>
                    <w:right w:val="single" w:color="000000" w:sz="4" w:space="0"/>
                  </w:tcBorders>
                  <w:noWrap w:val="0"/>
                  <w:vAlign w:val="center"/>
                </w:tcPr>
                <w:p w14:paraId="38F001FE">
                  <w:pPr>
                    <w:wordWrap w:val="0"/>
                    <w:adjustRightInd w:val="0"/>
                    <w:snapToGrid w:val="0"/>
                    <w:spacing w:line="400" w:lineRule="exact"/>
                    <w:jc w:val="center"/>
                    <w:rPr>
                      <w:rFonts w:hint="eastAsia" w:ascii="宋体" w:hAnsi="宋体" w:eastAsia="宋体" w:cs="宋体"/>
                      <w:b/>
                      <w:snapToGrid w:val="0"/>
                      <w:color w:val="auto"/>
                      <w:kern w:val="0"/>
                      <w:szCs w:val="24"/>
                      <w:highlight w:val="none"/>
                    </w:rPr>
                  </w:pPr>
                  <w:r>
                    <w:rPr>
                      <w:rFonts w:hint="eastAsia" w:ascii="宋体" w:hAnsi="宋体" w:eastAsia="宋体" w:cs="宋体"/>
                      <w:bCs/>
                      <w:snapToGrid w:val="0"/>
                      <w:color w:val="auto"/>
                      <w:kern w:val="0"/>
                      <w:szCs w:val="24"/>
                      <w:highlight w:val="none"/>
                    </w:rPr>
                    <w:t>号球</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6532DE29">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15</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2ECB175C">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16</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14:paraId="56835F77">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17</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CED43E0">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18</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36236423">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19</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15074EBF">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20</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6E79FE81">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21</w:t>
                  </w:r>
                </w:p>
              </w:tc>
            </w:tr>
            <w:tr w14:paraId="3648D48E">
              <w:tblPrEx>
                <w:tblCellMar>
                  <w:top w:w="0" w:type="dxa"/>
                  <w:left w:w="108" w:type="dxa"/>
                  <w:bottom w:w="0" w:type="dxa"/>
                  <w:right w:w="108" w:type="dxa"/>
                </w:tblCellMar>
              </w:tblPrEx>
              <w:trPr>
                <w:trHeight w:val="476" w:hRule="atLeast"/>
              </w:trPr>
              <w:tc>
                <w:tcPr>
                  <w:tcW w:w="1809" w:type="dxa"/>
                  <w:tcBorders>
                    <w:top w:val="single" w:color="000000" w:sz="4" w:space="0"/>
                    <w:left w:val="single" w:color="000000" w:sz="4" w:space="0"/>
                    <w:bottom w:val="single" w:color="000000" w:sz="4" w:space="0"/>
                    <w:right w:val="single" w:color="000000" w:sz="4" w:space="0"/>
                  </w:tcBorders>
                  <w:noWrap w:val="0"/>
                  <w:vAlign w:val="center"/>
                </w:tcPr>
                <w:p w14:paraId="4018A194">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下浮系数（%）</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3285570C">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2.4</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3CC44527">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2.5</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14:paraId="104951B8">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2.6</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57DB652C">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2.7</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6AF4B3C0">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2.8</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5287FBE0">
                  <w:pPr>
                    <w:wordWrap w:val="0"/>
                    <w:adjustRightInd w:val="0"/>
                    <w:snapToGrid w:val="0"/>
                    <w:spacing w:line="400" w:lineRule="exact"/>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2.9</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4C67C108">
                  <w:pPr>
                    <w:wordWrap w:val="0"/>
                    <w:adjustRightInd w:val="0"/>
                    <w:snapToGrid w:val="0"/>
                    <w:spacing w:line="400" w:lineRule="exact"/>
                    <w:jc w:val="center"/>
                    <w:rPr>
                      <w:rFonts w:hint="eastAsia" w:ascii="宋体" w:hAnsi="宋体" w:eastAsia="宋体" w:cs="宋体"/>
                      <w:color w:val="auto"/>
                      <w:szCs w:val="24"/>
                      <w:highlight w:val="none"/>
                    </w:rPr>
                  </w:pPr>
                  <w:r>
                    <w:rPr>
                      <w:rFonts w:hint="eastAsia" w:ascii="宋体" w:hAnsi="宋体" w:eastAsia="宋体" w:cs="宋体"/>
                      <w:snapToGrid w:val="0"/>
                      <w:color w:val="auto"/>
                      <w:kern w:val="0"/>
                      <w:szCs w:val="24"/>
                      <w:highlight w:val="none"/>
                    </w:rPr>
                    <w:t>3.0</w:t>
                  </w:r>
                </w:p>
              </w:tc>
            </w:tr>
          </w:tbl>
          <w:p w14:paraId="61E23393">
            <w:pPr>
              <w:widowControl w:val="0"/>
              <w:wordWrap w:val="0"/>
              <w:adjustRightInd w:val="0"/>
              <w:snapToGrid w:val="0"/>
              <w:spacing w:line="40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（2）评标基准价D＝最高投标限价×（1－n）</w:t>
            </w:r>
          </w:p>
        </w:tc>
      </w:tr>
      <w:tr w14:paraId="2E30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03FE0D22">
            <w:pPr>
              <w:widowControl w:val="0"/>
              <w:wordWrap w:val="0"/>
              <w:adjustRightInd w:val="0"/>
              <w:snapToGrid w:val="0"/>
              <w:spacing w:line="4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投标报价</w:t>
            </w:r>
          </w:p>
          <w:p w14:paraId="2D838505">
            <w:pPr>
              <w:tabs>
                <w:tab w:val="left" w:pos="720"/>
              </w:tabs>
              <w:snapToGrid w:val="0"/>
              <w:spacing w:line="240" w:lineRule="auto"/>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得分M</w:t>
            </w:r>
            <w:r>
              <w:rPr>
                <w:rFonts w:hint="eastAsia" w:ascii="宋体" w:hAnsi="宋体" w:eastAsia="宋体" w:cs="宋体"/>
                <w:snapToGrid w:val="0"/>
                <w:color w:val="auto"/>
                <w:kern w:val="0"/>
                <w:szCs w:val="24"/>
                <w:highlight w:val="none"/>
                <w:vertAlign w:val="subscript"/>
              </w:rPr>
              <w:t>3</w:t>
            </w:r>
          </w:p>
        </w:tc>
        <w:tc>
          <w:tcPr>
            <w:tcW w:w="8475" w:type="dxa"/>
            <w:gridSpan w:val="3"/>
            <w:noWrap w:val="0"/>
            <w:vAlign w:val="center"/>
          </w:tcPr>
          <w:p w14:paraId="265A3E7F">
            <w:pPr>
              <w:widowControl/>
              <w:snapToGrid w:val="0"/>
              <w:spacing w:line="400" w:lineRule="exact"/>
              <w:ind w:firstLine="480" w:firstLineChars="200"/>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rPr>
              <w:t>采用内插法计算某投标人的投标报价得分</w:t>
            </w:r>
            <w:r>
              <w:rPr>
                <w:rFonts w:hint="eastAsia" w:ascii="宋体" w:hAnsi="宋体" w:eastAsia="宋体" w:cs="宋体"/>
                <w:snapToGrid w:val="0"/>
                <w:color w:val="auto"/>
                <w:kern w:val="0"/>
                <w:sz w:val="21"/>
                <w:szCs w:val="21"/>
                <w:highlight w:val="none"/>
              </w:rPr>
              <w:t>M</w:t>
            </w:r>
            <w:r>
              <w:rPr>
                <w:rFonts w:hint="eastAsia" w:ascii="宋体" w:hAnsi="宋体" w:eastAsia="宋体" w:cs="宋体"/>
                <w:snapToGrid w:val="0"/>
                <w:color w:val="auto"/>
                <w:kern w:val="0"/>
                <w:sz w:val="21"/>
                <w:szCs w:val="21"/>
                <w:highlight w:val="none"/>
                <w:vertAlign w:val="subscript"/>
              </w:rPr>
              <w:t>3</w:t>
            </w:r>
            <w:r>
              <w:rPr>
                <w:rFonts w:hint="eastAsia" w:ascii="宋体" w:hAnsi="宋体" w:eastAsia="宋体" w:cs="宋体"/>
                <w:color w:val="auto"/>
                <w:szCs w:val="24"/>
                <w:highlight w:val="none"/>
              </w:rPr>
              <w:t>，即当投标人的投标总价等于评标基准价时得满分，每高于评标基准价一个百分点扣1分，每低于评标基准价一个百分点扣0.5分，扣完为止。公式如下：</w:t>
            </w:r>
          </w:p>
          <w:p w14:paraId="4BF3B603">
            <w:pPr>
              <w:widowControl/>
              <w:snapToGrid w:val="0"/>
              <w:spacing w:line="400" w:lineRule="exact"/>
              <w:ind w:firstLine="420" w:firstLineChars="200"/>
              <w:jc w:val="left"/>
              <w:rPr>
                <w:rFonts w:hint="eastAsia" w:ascii="宋体" w:hAnsi="宋体" w:eastAsia="宋体" w:cs="宋体"/>
                <w:color w:val="auto"/>
                <w:szCs w:val="24"/>
                <w:highlight w:val="none"/>
              </w:rPr>
            </w:pPr>
            <w:r>
              <w:rPr>
                <w:rFonts w:hint="eastAsia" w:ascii="宋体" w:hAnsi="宋体" w:eastAsia="宋体" w:cs="宋体"/>
                <w:snapToGrid w:val="0"/>
                <w:color w:val="auto"/>
                <w:kern w:val="0"/>
                <w:sz w:val="21"/>
                <w:szCs w:val="21"/>
                <w:highlight w:val="none"/>
              </w:rPr>
              <w:t>M</w:t>
            </w:r>
            <w:r>
              <w:rPr>
                <w:rFonts w:hint="eastAsia" w:ascii="宋体" w:hAnsi="宋体" w:eastAsia="宋体" w:cs="宋体"/>
                <w:snapToGrid w:val="0"/>
                <w:color w:val="auto"/>
                <w:kern w:val="0"/>
                <w:sz w:val="21"/>
                <w:szCs w:val="21"/>
                <w:highlight w:val="none"/>
                <w:vertAlign w:val="subscript"/>
              </w:rPr>
              <w:t>3</w:t>
            </w:r>
            <w:r>
              <w:rPr>
                <w:rFonts w:hint="eastAsia" w:ascii="宋体" w:hAnsi="宋体" w:eastAsia="宋体" w:cs="宋体"/>
                <w:color w:val="auto"/>
                <w:szCs w:val="24"/>
                <w:highlight w:val="none"/>
              </w:rPr>
              <w:t>＝投标报价满分－（| Di－D | ÷D）×100×E</w:t>
            </w:r>
          </w:p>
          <w:p w14:paraId="2A1BF20A">
            <w:pPr>
              <w:widowControl/>
              <w:snapToGrid w:val="0"/>
              <w:spacing w:line="400" w:lineRule="exact"/>
              <w:ind w:firstLine="480" w:firstLineChars="200"/>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rPr>
              <w:t>式中：D为评标基准价，Di为某投标人的投标总价；E为扣分因子。当Di＞D时，E＝1；当Di＜D时，E＝0.5。</w:t>
            </w:r>
          </w:p>
        </w:tc>
      </w:tr>
      <w:tr w14:paraId="66ED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78" w:type="dxa"/>
            <w:noWrap w:val="0"/>
            <w:vAlign w:val="center"/>
          </w:tcPr>
          <w:p w14:paraId="42AFC373">
            <w:pPr>
              <w:widowControl w:val="0"/>
              <w:snapToGrid w:val="0"/>
              <w:spacing w:line="24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总计</w:t>
            </w:r>
          </w:p>
        </w:tc>
        <w:tc>
          <w:tcPr>
            <w:tcW w:w="1185" w:type="dxa"/>
            <w:noWrap w:val="0"/>
            <w:vAlign w:val="center"/>
          </w:tcPr>
          <w:p w14:paraId="6733D98C">
            <w:pPr>
              <w:widowControl w:val="0"/>
              <w:snapToGrid w:val="0"/>
              <w:spacing w:line="24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100分</w:t>
            </w:r>
          </w:p>
        </w:tc>
        <w:tc>
          <w:tcPr>
            <w:tcW w:w="7290" w:type="dxa"/>
            <w:gridSpan w:val="2"/>
            <w:noWrap w:val="0"/>
            <w:vAlign w:val="center"/>
          </w:tcPr>
          <w:p w14:paraId="00BC1243">
            <w:pPr>
              <w:widowControl w:val="0"/>
              <w:snapToGrid w:val="0"/>
              <w:spacing w:line="24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总计=商务部分+技术部分+经济报价部分</w:t>
            </w:r>
          </w:p>
        </w:tc>
      </w:tr>
    </w:tbl>
    <w:p w14:paraId="0A837BFA">
      <w:pPr>
        <w:widowControl w:val="0"/>
        <w:shd w:val="clear" w:color="auto" w:fill="auto"/>
        <w:adjustRightInd w:val="0"/>
        <w:spacing w:line="360" w:lineRule="atLeast"/>
        <w:jc w:val="left"/>
        <w:textAlignment w:val="baseline"/>
        <w:rPr>
          <w:rFonts w:hint="eastAsia" w:ascii="宋体" w:hAnsi="宋体" w:eastAsia="宋体" w:cs="宋体"/>
          <w:color w:val="auto"/>
          <w:kern w:val="0"/>
          <w:sz w:val="24"/>
          <w:highlight w:val="none"/>
          <w:lang w:val="en-US" w:eastAsia="zh-CN" w:bidi="ar-SA"/>
        </w:rPr>
      </w:pPr>
    </w:p>
    <w:p w14:paraId="1AE7C27D">
      <w:pPr>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75D5A8D9">
      <w:pPr>
        <w:numPr>
          <w:ilvl w:val="0"/>
          <w:numId w:val="2"/>
        </w:numPr>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评分如出现小数点，则保留小数点后两位，第三位四舍五入。</w:t>
      </w:r>
    </w:p>
    <w:p w14:paraId="0E9F2AF0">
      <w:pPr>
        <w:numPr>
          <w:ilvl w:val="0"/>
          <w:numId w:val="2"/>
        </w:numPr>
        <w:spacing w:line="400" w:lineRule="exact"/>
        <w:ind w:left="0" w:leftChars="0" w:firstLine="0" w:firstLineChars="0"/>
        <w:rPr>
          <w:rFonts w:hint="eastAsia" w:ascii="宋体" w:hAnsi="宋体" w:eastAsia="宋体" w:cs="宋体"/>
          <w:b/>
          <w:bCs/>
          <w:snapToGrid w:val="0"/>
          <w:color w:val="auto"/>
          <w:kern w:val="0"/>
          <w:sz w:val="28"/>
          <w:szCs w:val="28"/>
          <w:highlight w:val="none"/>
        </w:rPr>
      </w:pPr>
      <w:r>
        <w:rPr>
          <w:rFonts w:hint="eastAsia" w:ascii="宋体" w:hAnsi="宋体" w:eastAsia="宋体" w:cs="宋体"/>
          <w:color w:val="auto"/>
          <w:kern w:val="0"/>
          <w:sz w:val="21"/>
          <w:szCs w:val="21"/>
          <w:highlight w:val="none"/>
        </w:rPr>
        <w:t>除总监理工程师外，拟委派的监理机构其他人员不作为形式评审、资格评审、响应性评审的审查内容，只作为综合评分的评审依据。</w:t>
      </w:r>
    </w:p>
    <w:p w14:paraId="40344DB3">
      <w:pPr>
        <w:shd w:val="clear" w:color="auto" w:fill="auto"/>
        <w:wordWrap w:val="0"/>
        <w:adjustRightInd w:val="0"/>
        <w:snapToGrid w:val="0"/>
        <w:spacing w:line="440" w:lineRule="exact"/>
        <w:jc w:val="both"/>
        <w:rPr>
          <w:rFonts w:hint="eastAsia" w:ascii="宋体" w:hAnsi="宋体" w:eastAsia="宋体" w:cs="宋体"/>
          <w:b/>
          <w:bCs/>
          <w:snapToGrid w:val="0"/>
          <w:color w:val="auto"/>
          <w:kern w:val="0"/>
          <w:sz w:val="30"/>
          <w:highlight w:val="none"/>
        </w:rPr>
      </w:pPr>
      <w:r>
        <w:rPr>
          <w:rFonts w:hint="eastAsia" w:ascii="宋体" w:hAnsi="宋体" w:eastAsia="宋体" w:cs="宋体"/>
          <w:b/>
          <w:bCs/>
          <w:snapToGrid w:val="0"/>
          <w:color w:val="auto"/>
          <w:kern w:val="0"/>
          <w:sz w:val="30"/>
          <w:highlight w:val="none"/>
        </w:rPr>
        <w:br w:type="page"/>
      </w:r>
    </w:p>
    <w:p w14:paraId="03ACB418">
      <w:pPr>
        <w:shd w:val="clear" w:color="auto" w:fill="auto"/>
        <w:wordWrap w:val="0"/>
        <w:adjustRightInd w:val="0"/>
        <w:snapToGrid w:val="0"/>
        <w:spacing w:line="440" w:lineRule="exact"/>
        <w:jc w:val="center"/>
        <w:rPr>
          <w:rFonts w:hint="eastAsia" w:ascii="宋体" w:hAnsi="宋体" w:eastAsia="宋体" w:cs="宋体"/>
          <w:b/>
          <w:bCs/>
          <w:snapToGrid w:val="0"/>
          <w:color w:val="auto"/>
          <w:kern w:val="0"/>
          <w:sz w:val="36"/>
          <w:szCs w:val="36"/>
          <w:highlight w:val="none"/>
        </w:rPr>
      </w:pPr>
      <w:r>
        <w:rPr>
          <w:rFonts w:hint="eastAsia" w:ascii="宋体" w:hAnsi="宋体" w:eastAsia="宋体" w:cs="宋体"/>
          <w:b/>
          <w:bCs/>
          <w:snapToGrid w:val="0"/>
          <w:color w:val="auto"/>
          <w:kern w:val="0"/>
          <w:sz w:val="36"/>
          <w:szCs w:val="36"/>
          <w:highlight w:val="none"/>
        </w:rPr>
        <w:t>表2 项目监理机构其他人员需求表</w:t>
      </w:r>
    </w:p>
    <w:p w14:paraId="4002B4A5">
      <w:pPr>
        <w:pStyle w:val="36"/>
        <w:shd w:val="clear" w:color="auto" w:fill="auto"/>
        <w:rPr>
          <w:rFonts w:hint="eastAsia" w:ascii="宋体" w:hAnsi="宋体" w:eastAsia="宋体" w:cs="宋体"/>
          <w:color w:val="auto"/>
          <w:highlight w:val="none"/>
        </w:rPr>
      </w:pPr>
    </w:p>
    <w:tbl>
      <w:tblPr>
        <w:tblStyle w:val="3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301"/>
        <w:gridCol w:w="806"/>
        <w:gridCol w:w="5775"/>
      </w:tblGrid>
      <w:tr w14:paraId="2761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4"/>
            <w:noWrap w:val="0"/>
            <w:vAlign w:val="center"/>
          </w:tcPr>
          <w:p w14:paraId="282598D1">
            <w:pPr>
              <w:widowControl w:val="0"/>
              <w:wordWrap w:val="0"/>
              <w:adjustRightInd w:val="0"/>
              <w:snapToGrid w:val="0"/>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其他监理人员（除总监理工程师外）：共</w:t>
            </w:r>
            <w:r>
              <w:rPr>
                <w:rFonts w:hint="eastAsia" w:ascii="宋体" w:hAnsi="宋体" w:eastAsia="宋体" w:cs="宋体"/>
                <w:snapToGrid w:val="0"/>
                <w:color w:val="auto"/>
                <w:kern w:val="0"/>
                <w:sz w:val="24"/>
                <w:szCs w:val="24"/>
                <w:highlight w:val="none"/>
                <w:u w:val="single"/>
                <w:lang w:val="en-US" w:eastAsia="zh-CN" w:bidi="ar-SA"/>
              </w:rPr>
              <w:t>5</w:t>
            </w:r>
            <w:r>
              <w:rPr>
                <w:rFonts w:hint="eastAsia" w:ascii="宋体" w:hAnsi="宋体" w:eastAsia="宋体" w:cs="宋体"/>
                <w:snapToGrid w:val="0"/>
                <w:color w:val="auto"/>
                <w:kern w:val="0"/>
                <w:sz w:val="24"/>
                <w:szCs w:val="24"/>
                <w:highlight w:val="none"/>
                <w:lang w:val="en-US" w:eastAsia="zh-CN" w:bidi="ar-SA"/>
              </w:rPr>
              <w:t>人</w:t>
            </w:r>
          </w:p>
        </w:tc>
      </w:tr>
      <w:tr w14:paraId="328C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78" w:type="dxa"/>
            <w:noWrap w:val="0"/>
            <w:vAlign w:val="center"/>
          </w:tcPr>
          <w:p w14:paraId="7F1B3AC3">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职务</w:t>
            </w:r>
          </w:p>
        </w:tc>
        <w:tc>
          <w:tcPr>
            <w:tcW w:w="1301" w:type="dxa"/>
            <w:noWrap w:val="0"/>
            <w:vAlign w:val="center"/>
          </w:tcPr>
          <w:p w14:paraId="0D07C9C1">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专业要求</w:t>
            </w:r>
          </w:p>
        </w:tc>
        <w:tc>
          <w:tcPr>
            <w:tcW w:w="806" w:type="dxa"/>
            <w:noWrap w:val="0"/>
            <w:vAlign w:val="center"/>
          </w:tcPr>
          <w:p w14:paraId="362ADA33">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数量</w:t>
            </w:r>
          </w:p>
          <w:p w14:paraId="05B075CF">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要求</w:t>
            </w:r>
          </w:p>
        </w:tc>
        <w:tc>
          <w:tcPr>
            <w:tcW w:w="5775" w:type="dxa"/>
            <w:noWrap w:val="0"/>
            <w:vAlign w:val="center"/>
          </w:tcPr>
          <w:p w14:paraId="02520D25">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持证要求</w:t>
            </w:r>
          </w:p>
        </w:tc>
      </w:tr>
      <w:tr w14:paraId="7165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79" w:type="dxa"/>
            <w:gridSpan w:val="2"/>
            <w:noWrap w:val="0"/>
            <w:vAlign w:val="center"/>
          </w:tcPr>
          <w:p w14:paraId="19F8D218">
            <w:pPr>
              <w:wordWrap w:val="0"/>
              <w:adjustRightInd w:val="0"/>
              <w:snapToGrid w:val="0"/>
              <w:spacing w:line="360" w:lineRule="auto"/>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总监代表</w:t>
            </w:r>
          </w:p>
        </w:tc>
        <w:tc>
          <w:tcPr>
            <w:tcW w:w="806" w:type="dxa"/>
            <w:noWrap w:val="0"/>
            <w:vAlign w:val="center"/>
          </w:tcPr>
          <w:p w14:paraId="54B646BF">
            <w:pPr>
              <w:wordWrap w:val="0"/>
              <w:adjustRightInd w:val="0"/>
              <w:snapToGrid w:val="0"/>
              <w:spacing w:line="360" w:lineRule="auto"/>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1</w:t>
            </w:r>
          </w:p>
        </w:tc>
        <w:tc>
          <w:tcPr>
            <w:tcW w:w="5775" w:type="dxa"/>
            <w:vMerge w:val="restart"/>
            <w:noWrap w:val="0"/>
            <w:vAlign w:val="center"/>
          </w:tcPr>
          <w:p w14:paraId="3308133A">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符合以下3种情形之一均可：</w:t>
            </w:r>
          </w:p>
          <w:p w14:paraId="4FA6DB38">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1．具备注册监理工程师执业资格，持有效的注册证书；</w:t>
            </w:r>
          </w:p>
          <w:p w14:paraId="4187894D">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2.具备工程类注册执业资格，并经监理业务培训。持有效的注册证书、省级建设行政主管部门或其授权的组织（机构）颁发的岗位证书；</w:t>
            </w:r>
          </w:p>
          <w:p w14:paraId="0FF6D6E2">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3．具备中级及以上专业技术职称，并经监理业务培训。持有效的职称证书、省级建设行政主管部门或其授权的组织（机构）颁发的岗位证书。</w:t>
            </w:r>
          </w:p>
          <w:p w14:paraId="5274FE33">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注：专业类别以注册执业证书或专业监理工程师证书或职称证书或毕业证所列明的专业为准。</w:t>
            </w:r>
          </w:p>
        </w:tc>
      </w:tr>
      <w:tr w14:paraId="54F2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78" w:type="dxa"/>
            <w:vMerge w:val="restart"/>
            <w:noWrap w:val="0"/>
            <w:vAlign w:val="center"/>
          </w:tcPr>
          <w:p w14:paraId="164BC0CC">
            <w:pPr>
              <w:wordWrap w:val="0"/>
              <w:adjustRightInd w:val="0"/>
              <w:snapToGrid w:val="0"/>
              <w:spacing w:line="360" w:lineRule="auto"/>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专业监理工程师</w:t>
            </w:r>
          </w:p>
        </w:tc>
        <w:tc>
          <w:tcPr>
            <w:tcW w:w="1301" w:type="dxa"/>
            <w:noWrap w:val="0"/>
            <w:vAlign w:val="center"/>
          </w:tcPr>
          <w:p w14:paraId="6D3C1A90">
            <w:pPr>
              <w:wordWrap w:val="0"/>
              <w:adjustRightInd w:val="0"/>
              <w:snapToGrid w:val="0"/>
              <w:spacing w:line="360" w:lineRule="auto"/>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市政公用工程专业</w:t>
            </w:r>
          </w:p>
        </w:tc>
        <w:tc>
          <w:tcPr>
            <w:tcW w:w="806" w:type="dxa"/>
            <w:noWrap w:val="0"/>
            <w:vAlign w:val="center"/>
          </w:tcPr>
          <w:p w14:paraId="457EE431">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5775" w:type="dxa"/>
            <w:vMerge w:val="continue"/>
            <w:noWrap w:val="0"/>
            <w:vAlign w:val="center"/>
          </w:tcPr>
          <w:p w14:paraId="126A490E">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p>
        </w:tc>
      </w:tr>
      <w:tr w14:paraId="3EEA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78" w:type="dxa"/>
            <w:vMerge w:val="continue"/>
            <w:noWrap w:val="0"/>
            <w:vAlign w:val="center"/>
          </w:tcPr>
          <w:p w14:paraId="7ED45F12">
            <w:pPr>
              <w:wordWrap w:val="0"/>
              <w:adjustRightInd w:val="0"/>
              <w:snapToGrid w:val="0"/>
              <w:spacing w:line="360" w:lineRule="auto"/>
              <w:jc w:val="center"/>
              <w:rPr>
                <w:rFonts w:hint="eastAsia" w:ascii="宋体" w:hAnsi="宋体" w:eastAsia="宋体" w:cs="宋体"/>
                <w:snapToGrid w:val="0"/>
                <w:color w:val="auto"/>
                <w:kern w:val="0"/>
                <w:highlight w:val="none"/>
              </w:rPr>
            </w:pPr>
          </w:p>
        </w:tc>
        <w:tc>
          <w:tcPr>
            <w:tcW w:w="1301" w:type="dxa"/>
            <w:noWrap w:val="0"/>
            <w:vAlign w:val="center"/>
          </w:tcPr>
          <w:p w14:paraId="7456DAC1">
            <w:pPr>
              <w:wordWrap w:val="0"/>
              <w:adjustRightInd w:val="0"/>
              <w:snapToGrid w:val="0"/>
              <w:spacing w:line="360" w:lineRule="auto"/>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给排水专业（含相关专业）</w:t>
            </w:r>
          </w:p>
        </w:tc>
        <w:tc>
          <w:tcPr>
            <w:tcW w:w="806" w:type="dxa"/>
            <w:noWrap w:val="0"/>
            <w:vAlign w:val="center"/>
          </w:tcPr>
          <w:p w14:paraId="4A176E24">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5775" w:type="dxa"/>
            <w:vMerge w:val="continue"/>
            <w:noWrap w:val="0"/>
            <w:vAlign w:val="center"/>
          </w:tcPr>
          <w:p w14:paraId="425D5442">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p>
        </w:tc>
      </w:tr>
      <w:tr w14:paraId="6BCF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79" w:type="dxa"/>
            <w:gridSpan w:val="2"/>
            <w:noWrap w:val="0"/>
            <w:vAlign w:val="center"/>
          </w:tcPr>
          <w:p w14:paraId="06464697">
            <w:pPr>
              <w:wordWrap w:val="0"/>
              <w:adjustRightInd w:val="0"/>
              <w:snapToGrid w:val="0"/>
              <w:spacing w:line="360" w:lineRule="auto"/>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监理员</w:t>
            </w:r>
          </w:p>
        </w:tc>
        <w:tc>
          <w:tcPr>
            <w:tcW w:w="806" w:type="dxa"/>
            <w:noWrap w:val="0"/>
            <w:vAlign w:val="center"/>
          </w:tcPr>
          <w:p w14:paraId="34B089EA">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5775" w:type="dxa"/>
            <w:noWrap w:val="0"/>
            <w:vAlign w:val="center"/>
          </w:tcPr>
          <w:p w14:paraId="5F1ED422">
            <w:pPr>
              <w:wordWrap w:val="0"/>
              <w:adjustRightInd w:val="0"/>
              <w:snapToGrid w:val="0"/>
              <w:spacing w:line="360" w:lineRule="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经监理业务培训，持有效的省级建设行政主管部门或其授权的组织（机构）颁发的岗位证书。</w:t>
            </w:r>
          </w:p>
        </w:tc>
      </w:tr>
      <w:tr w14:paraId="40EC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79" w:type="dxa"/>
            <w:gridSpan w:val="2"/>
            <w:noWrap w:val="0"/>
            <w:vAlign w:val="center"/>
          </w:tcPr>
          <w:p w14:paraId="5BB2824C">
            <w:pPr>
              <w:wordWrap w:val="0"/>
              <w:adjustRightInd w:val="0"/>
              <w:snapToGrid w:val="0"/>
              <w:spacing w:line="360" w:lineRule="auto"/>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安全监理员</w:t>
            </w:r>
          </w:p>
        </w:tc>
        <w:tc>
          <w:tcPr>
            <w:tcW w:w="806" w:type="dxa"/>
            <w:noWrap w:val="0"/>
            <w:vAlign w:val="center"/>
          </w:tcPr>
          <w:p w14:paraId="3B95A56B">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5775" w:type="dxa"/>
            <w:noWrap w:val="0"/>
            <w:vAlign w:val="center"/>
          </w:tcPr>
          <w:p w14:paraId="2F9E435A">
            <w:pPr>
              <w:wordWrap w:val="0"/>
              <w:adjustRightInd w:val="0"/>
              <w:snapToGrid w:val="0"/>
              <w:spacing w:line="360" w:lineRule="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经监理业务培训，持有效的省级建设行政主管部门或其授权的组织（机构）颁发的岗位证书。</w:t>
            </w:r>
          </w:p>
        </w:tc>
      </w:tr>
    </w:tbl>
    <w:p w14:paraId="10CC6452">
      <w:pPr>
        <w:shd w:val="clear" w:color="auto" w:fill="auto"/>
        <w:ind w:left="-240" w:leftChars="-100" w:firstLine="239" w:firstLineChars="109"/>
        <w:rPr>
          <w:rFonts w:hint="eastAsia" w:ascii="宋体" w:hAnsi="宋体" w:eastAsia="宋体" w:cs="宋体"/>
          <w:color w:val="auto"/>
          <w:sz w:val="22"/>
          <w:szCs w:val="22"/>
          <w:highlight w:val="none"/>
        </w:rPr>
      </w:pPr>
    </w:p>
    <w:p w14:paraId="01A0C6EB">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注：以上人员一人一岗，不得重复。除总监理工程师外，拟委派的监理机构其他人员不作为形式评审、资格评审、响应性评审的审查内容，只作为综合评分的评审依据。</w:t>
      </w:r>
    </w:p>
    <w:p w14:paraId="226E6C11">
      <w:pP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在本单位缴纳社保的证明（</w:t>
      </w:r>
      <w:r>
        <w:rPr>
          <w:rFonts w:hint="eastAsia" w:ascii="宋体" w:hAnsi="宋体" w:eastAsia="宋体" w:cs="宋体"/>
          <w:b/>
          <w:bCs/>
          <w:color w:val="auto"/>
          <w:sz w:val="21"/>
          <w:szCs w:val="21"/>
          <w:highlight w:val="none"/>
          <w:lang w:eastAsia="zh-CN"/>
        </w:rPr>
        <w:t>至少三个月，其中必须有2026年8月</w:t>
      </w:r>
      <w:r>
        <w:rPr>
          <w:rFonts w:hint="eastAsia" w:ascii="宋体" w:hAnsi="宋体" w:eastAsia="宋体" w:cs="宋体"/>
          <w:b/>
          <w:bCs/>
          <w:color w:val="auto"/>
          <w:sz w:val="21"/>
          <w:szCs w:val="21"/>
          <w:highlight w:val="none"/>
        </w:rPr>
        <w:t>）彩色扫描件。拟委派的</w:t>
      </w:r>
      <w:r>
        <w:rPr>
          <w:rFonts w:hint="eastAsia" w:ascii="宋体" w:hAnsi="宋体" w:eastAsia="宋体" w:cs="宋体"/>
          <w:b/>
          <w:bCs/>
          <w:color w:val="auto"/>
          <w:sz w:val="21"/>
          <w:szCs w:val="21"/>
          <w:highlight w:val="none"/>
          <w:lang w:val="en-US" w:eastAsia="zh-CN"/>
        </w:rPr>
        <w:t>人员</w:t>
      </w:r>
      <w:r>
        <w:rPr>
          <w:rFonts w:hint="eastAsia" w:ascii="宋体" w:hAnsi="宋体" w:eastAsia="宋体" w:cs="宋体"/>
          <w:b/>
          <w:bCs/>
          <w:color w:val="auto"/>
          <w:sz w:val="21"/>
          <w:szCs w:val="21"/>
          <w:highlight w:val="none"/>
        </w:rPr>
        <w:t>为退休返聘人员无法提供社保证明的，提供退休证</w:t>
      </w:r>
      <w:r>
        <w:rPr>
          <w:rFonts w:hint="eastAsia" w:ascii="宋体" w:hAnsi="宋体" w:eastAsia="宋体" w:cs="宋体"/>
          <w:b/>
          <w:bCs/>
          <w:color w:val="auto"/>
          <w:sz w:val="21"/>
          <w:szCs w:val="21"/>
          <w:highlight w:val="none"/>
          <w:lang w:val="en-US" w:eastAsia="zh-CN"/>
        </w:rPr>
        <w:t>或</w:t>
      </w:r>
      <w:r>
        <w:rPr>
          <w:rFonts w:hint="eastAsia" w:ascii="宋体" w:hAnsi="宋体" w:eastAsia="宋体" w:cs="宋体"/>
          <w:b/>
          <w:bCs/>
          <w:color w:val="auto"/>
          <w:sz w:val="21"/>
          <w:szCs w:val="21"/>
          <w:highlight w:val="none"/>
        </w:rPr>
        <w:t>劳动合同彩色扫描件</w:t>
      </w:r>
      <w:r>
        <w:rPr>
          <w:rFonts w:hint="eastAsia" w:ascii="宋体" w:hAnsi="宋体" w:eastAsia="宋体" w:cs="宋体"/>
          <w:b/>
          <w:bCs/>
          <w:color w:val="auto"/>
          <w:sz w:val="21"/>
          <w:szCs w:val="21"/>
          <w:highlight w:val="none"/>
          <w:lang w:eastAsia="zh-CN"/>
        </w:rPr>
        <w:t>。</w:t>
      </w:r>
    </w:p>
    <w:p w14:paraId="31474199">
      <w:pPr>
        <w:shd w:val="clear" w:color="auto" w:fill="auto"/>
        <w:rPr>
          <w:rFonts w:hint="eastAsia" w:ascii="宋体" w:hAnsi="宋体" w:eastAsia="宋体" w:cs="宋体"/>
          <w:color w:val="auto"/>
          <w:sz w:val="30"/>
          <w:highlight w:val="none"/>
        </w:rPr>
      </w:pPr>
    </w:p>
    <w:p w14:paraId="323C294A">
      <w:pPr>
        <w:shd w:val="clear" w:color="auto" w:fill="auto"/>
        <w:rPr>
          <w:rFonts w:hint="eastAsia" w:ascii="宋体" w:hAnsi="宋体" w:eastAsia="宋体" w:cs="宋体"/>
          <w:color w:val="auto"/>
          <w:sz w:val="30"/>
          <w:highlight w:val="none"/>
        </w:rPr>
      </w:pPr>
    </w:p>
    <w:p w14:paraId="51563E1C">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color w:val="auto"/>
          <w:sz w:val="30"/>
          <w:highlight w:val="none"/>
        </w:rPr>
        <w:br w:type="page"/>
      </w:r>
      <w:r>
        <w:rPr>
          <w:rFonts w:hint="eastAsia" w:ascii="宋体" w:hAnsi="宋体" w:eastAsia="宋体" w:cs="宋体"/>
          <w:b/>
          <w:bCs/>
          <w:snapToGrid w:val="0"/>
          <w:color w:val="auto"/>
          <w:kern w:val="0"/>
          <w:highlight w:val="none"/>
        </w:rPr>
        <w:t xml:space="preserve">15.5.2 </w:t>
      </w:r>
      <w:r>
        <w:rPr>
          <w:rFonts w:hint="eastAsia" w:ascii="宋体" w:hAnsi="宋体" w:eastAsia="宋体" w:cs="宋体"/>
          <w:snapToGrid w:val="0"/>
          <w:color w:val="auto"/>
          <w:kern w:val="0"/>
          <w:highlight w:val="none"/>
        </w:rPr>
        <w:t>否决投标说明</w:t>
      </w:r>
    </w:p>
    <w:p w14:paraId="19980E19">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详细评审阶段否决投标的全部条件，在本章第四节“否决投标条件”第</w:t>
      </w:r>
      <w:r>
        <w:rPr>
          <w:rFonts w:hint="eastAsia" w:ascii="宋体" w:hAnsi="宋体" w:eastAsia="宋体" w:cs="宋体"/>
          <w:b/>
          <w:bCs/>
          <w:snapToGrid w:val="0"/>
          <w:color w:val="auto"/>
          <w:kern w:val="0"/>
          <w:highlight w:val="none"/>
        </w:rPr>
        <w:t>4</w:t>
      </w:r>
      <w:r>
        <w:rPr>
          <w:rFonts w:hint="eastAsia" w:ascii="宋体" w:hAnsi="宋体" w:eastAsia="宋体" w:cs="宋体"/>
          <w:snapToGrid w:val="0"/>
          <w:color w:val="auto"/>
          <w:kern w:val="0"/>
          <w:highlight w:val="none"/>
        </w:rPr>
        <w:t>条中集中列示。投标人有其中所列任何一种情形的，由评标委员会否决其投标。经详细评审后，若所有投标均被否决，招标人应当依法重新招标。</w:t>
      </w:r>
    </w:p>
    <w:p w14:paraId="1A780BFC">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注：投标人在详细评审阶段根据评分方法提供的佐证材料，其合法性、有效性和准确性不符合要求的，有关评分因素的评分按相应评分标准处理，但不否决投标。</w:t>
      </w:r>
    </w:p>
    <w:p w14:paraId="56CB66AB">
      <w:pPr>
        <w:shd w:val="clear" w:color="auto" w:fill="auto"/>
        <w:wordWrap w:val="0"/>
        <w:adjustRightInd w:val="0"/>
        <w:snapToGrid w:val="0"/>
        <w:spacing w:line="440" w:lineRule="exact"/>
        <w:ind w:firstLine="482" w:firstLineChars="200"/>
        <w:rPr>
          <w:rFonts w:hint="eastAsia" w:ascii="宋体" w:hAnsi="宋体" w:eastAsia="宋体" w:cs="宋体"/>
          <w:b/>
          <w:snapToGrid w:val="0"/>
          <w:color w:val="auto"/>
          <w:kern w:val="0"/>
          <w:highlight w:val="none"/>
        </w:rPr>
      </w:pPr>
    </w:p>
    <w:p w14:paraId="0C80254D">
      <w:pPr>
        <w:shd w:val="clear" w:color="auto" w:fill="auto"/>
        <w:wordWrap w:val="0"/>
        <w:adjustRightInd w:val="0"/>
        <w:snapToGrid w:val="0"/>
        <w:spacing w:line="440" w:lineRule="exact"/>
        <w:ind w:firstLine="482" w:firstLineChars="200"/>
        <w:outlineLvl w:val="2"/>
        <w:rPr>
          <w:rFonts w:hint="eastAsia" w:ascii="宋体" w:hAnsi="宋体" w:eastAsia="宋体" w:cs="宋体"/>
          <w:b/>
          <w:snapToGrid w:val="0"/>
          <w:color w:val="auto"/>
          <w:kern w:val="0"/>
          <w:highlight w:val="none"/>
        </w:rPr>
      </w:pPr>
      <w:bookmarkStart w:id="248" w:name="_Toc7085"/>
      <w:bookmarkStart w:id="249" w:name="_Toc286"/>
      <w:bookmarkStart w:id="250" w:name="_Toc8670"/>
      <w:bookmarkStart w:id="251" w:name="_Toc1392"/>
      <w:bookmarkStart w:id="252" w:name="_Toc14248"/>
      <w:bookmarkStart w:id="253" w:name="_Toc19462"/>
      <w:bookmarkStart w:id="254" w:name="_Toc13843"/>
      <w:bookmarkStart w:id="255" w:name="_Toc338"/>
      <w:bookmarkStart w:id="256" w:name="_Toc5306"/>
      <w:bookmarkStart w:id="257" w:name="_Toc3115"/>
      <w:r>
        <w:rPr>
          <w:rFonts w:hint="eastAsia" w:ascii="宋体" w:hAnsi="宋体" w:eastAsia="宋体" w:cs="宋体"/>
          <w:b/>
          <w:snapToGrid w:val="0"/>
          <w:color w:val="auto"/>
          <w:kern w:val="0"/>
          <w:highlight w:val="none"/>
        </w:rPr>
        <w:t>16．推荐中标候选人</w:t>
      </w:r>
      <w:bookmarkEnd w:id="248"/>
      <w:bookmarkEnd w:id="249"/>
      <w:bookmarkEnd w:id="250"/>
      <w:bookmarkEnd w:id="251"/>
      <w:bookmarkEnd w:id="252"/>
      <w:bookmarkEnd w:id="253"/>
      <w:bookmarkEnd w:id="254"/>
      <w:bookmarkEnd w:id="255"/>
      <w:bookmarkEnd w:id="256"/>
      <w:bookmarkEnd w:id="257"/>
    </w:p>
    <w:p w14:paraId="36E3864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16.1</w:t>
      </w:r>
      <w:r>
        <w:rPr>
          <w:rFonts w:hint="eastAsia" w:ascii="宋体" w:hAnsi="宋体" w:eastAsia="宋体" w:cs="宋体"/>
          <w:snapToGrid w:val="0"/>
          <w:color w:val="auto"/>
          <w:kern w:val="0"/>
          <w:highlight w:val="none"/>
        </w:rPr>
        <w:t xml:space="preserve"> 确定排名</w:t>
      </w:r>
    </w:p>
    <w:p w14:paraId="56528DE6">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汇总、比较所有投标人的综合得分后，按照综合得分由高到低的次序排列。综合得分相等时，以投标总价低的优先；投标总价也相等的，以监理大纲得分高的优先；如果监理大纲得分也相等，由评标委员会投票确定。</w:t>
      </w:r>
    </w:p>
    <w:p w14:paraId="3949CA86">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16.2</w:t>
      </w:r>
      <w:r>
        <w:rPr>
          <w:rFonts w:hint="eastAsia" w:ascii="宋体" w:hAnsi="宋体" w:eastAsia="宋体" w:cs="宋体"/>
          <w:snapToGrid w:val="0"/>
          <w:color w:val="auto"/>
          <w:kern w:val="0"/>
          <w:highlight w:val="none"/>
        </w:rPr>
        <w:t xml:space="preserve"> 推荐方法</w:t>
      </w:r>
    </w:p>
    <w:p w14:paraId="01F078BA">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（1）有效投标人数量达到或超过3个的，评标委员会将前三名投标人作为中标候选人向招标人推荐，并标明排列顺序。</w:t>
      </w:r>
    </w:p>
    <w:p w14:paraId="6AB26E29">
      <w:pPr>
        <w:shd w:val="clear" w:color="auto" w:fill="auto"/>
        <w:wordWrap w:val="0"/>
        <w:adjustRightInd w:val="0"/>
        <w:snapToGrid w:val="0"/>
        <w:spacing w:line="440" w:lineRule="exact"/>
        <w:ind w:firstLine="480" w:firstLineChars="200"/>
        <w:rPr>
          <w:rFonts w:hint="eastAsia" w:ascii="宋体" w:hAnsi="宋体" w:eastAsia="宋体" w:cs="宋体"/>
          <w:i/>
          <w:iCs/>
          <w:snapToGrid w:val="0"/>
          <w:color w:val="auto"/>
          <w:kern w:val="0"/>
          <w:highlight w:val="none"/>
        </w:rPr>
      </w:pPr>
      <w:r>
        <w:rPr>
          <w:rFonts w:hint="eastAsia" w:ascii="宋体" w:hAnsi="宋体" w:eastAsia="宋体" w:cs="宋体"/>
          <w:snapToGrid w:val="0"/>
          <w:color w:val="auto"/>
          <w:kern w:val="0"/>
          <w:highlight w:val="none"/>
        </w:rPr>
        <w:t>（2）</w:t>
      </w:r>
      <w:r>
        <w:rPr>
          <w:rFonts w:hint="eastAsia" w:ascii="宋体" w:hAnsi="宋体" w:eastAsia="宋体" w:cs="宋体"/>
          <w:b w:val="0"/>
          <w:bCs w:val="0"/>
          <w:snapToGrid w:val="0"/>
          <w:color w:val="auto"/>
          <w:kern w:val="0"/>
          <w:highlight w:val="none"/>
        </w:rPr>
        <w:t>有效投标人数量不足3个的，评标委员会将所有有效投标人均作为中标候选人向招标人推荐，并标明排列顺序。若评标委员会认为有效投标不足3个使得投标明显缺乏竞争的，可以在评标报告中建议招标人重新招标。</w:t>
      </w:r>
    </w:p>
    <w:p w14:paraId="4E0F9A1F">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16.3</w:t>
      </w:r>
      <w:r>
        <w:rPr>
          <w:rFonts w:hint="eastAsia" w:ascii="宋体" w:hAnsi="宋体" w:eastAsia="宋体" w:cs="宋体"/>
          <w:snapToGrid w:val="0"/>
          <w:color w:val="auto"/>
          <w:kern w:val="0"/>
          <w:highlight w:val="none"/>
        </w:rPr>
        <w:t xml:space="preserve"> 评标委员会完成评标后，应向招标人提交由全体评标委员会成员签字的评标报告和中标候选人名单。</w:t>
      </w:r>
    </w:p>
    <w:p w14:paraId="115EBD9C">
      <w:pPr>
        <w:shd w:val="clear" w:color="auto" w:fill="auto"/>
        <w:wordWrap w:val="0"/>
        <w:adjustRightInd w:val="0"/>
        <w:snapToGrid w:val="0"/>
        <w:spacing w:line="440" w:lineRule="exact"/>
        <w:ind w:firstLine="482" w:firstLineChars="200"/>
        <w:outlineLvl w:val="2"/>
        <w:rPr>
          <w:rFonts w:hint="eastAsia" w:ascii="宋体" w:hAnsi="宋体" w:eastAsia="宋体" w:cs="宋体"/>
          <w:snapToGrid w:val="0"/>
          <w:color w:val="auto"/>
          <w:kern w:val="0"/>
          <w:highlight w:val="none"/>
        </w:rPr>
      </w:pPr>
      <w:bookmarkStart w:id="258" w:name="_Toc1471"/>
      <w:bookmarkStart w:id="259" w:name="_Toc3318"/>
      <w:bookmarkStart w:id="260" w:name="_Toc15400"/>
      <w:bookmarkStart w:id="261" w:name="_Toc9762"/>
      <w:bookmarkStart w:id="262" w:name="_Toc24833"/>
      <w:bookmarkStart w:id="263" w:name="_Toc26760"/>
      <w:bookmarkStart w:id="264" w:name="_Toc5634"/>
      <w:bookmarkStart w:id="265" w:name="_Toc14955"/>
      <w:bookmarkStart w:id="266" w:name="_Toc2181"/>
      <w:bookmarkStart w:id="267" w:name="_Toc13727"/>
      <w:r>
        <w:rPr>
          <w:rFonts w:hint="eastAsia" w:ascii="宋体" w:hAnsi="宋体" w:eastAsia="宋体" w:cs="宋体"/>
          <w:b/>
          <w:snapToGrid w:val="0"/>
          <w:color w:val="auto"/>
          <w:kern w:val="0"/>
          <w:highlight w:val="none"/>
        </w:rPr>
        <w:t>17．中标候选人公示</w:t>
      </w:r>
      <w:bookmarkEnd w:id="258"/>
      <w:bookmarkEnd w:id="259"/>
      <w:bookmarkEnd w:id="260"/>
      <w:bookmarkEnd w:id="261"/>
      <w:bookmarkEnd w:id="262"/>
      <w:bookmarkEnd w:id="263"/>
      <w:bookmarkEnd w:id="264"/>
      <w:bookmarkEnd w:id="265"/>
      <w:bookmarkEnd w:id="266"/>
      <w:bookmarkEnd w:id="267"/>
    </w:p>
    <w:p w14:paraId="278611F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17.</w:t>
      </w:r>
      <w:r>
        <w:rPr>
          <w:rFonts w:hint="eastAsia" w:ascii="宋体" w:hAnsi="宋体" w:eastAsia="宋体" w:cs="宋体"/>
          <w:b/>
          <w:bCs/>
          <w:snapToGrid w:val="0"/>
          <w:color w:val="auto"/>
          <w:kern w:val="0"/>
          <w:highlight w:val="none"/>
          <w:lang w:val="en-US" w:eastAsia="zh-CN"/>
        </w:rPr>
        <w:t>1</w:t>
      </w:r>
      <w:r>
        <w:rPr>
          <w:rFonts w:hint="eastAsia" w:ascii="宋体" w:hAnsi="宋体" w:eastAsia="宋体" w:cs="宋体"/>
          <w:snapToGrid w:val="0"/>
          <w:color w:val="auto"/>
          <w:kern w:val="0"/>
          <w:highlight w:val="none"/>
        </w:rPr>
        <w:t xml:space="preserve"> 招标人自收到评标委员会提交的书面评标报告和中标候选人名单之日起3日内，将评标结果（即中标候选人名单）、中标候选人投标文件（指商务标书分册）、评标过程（评标专家姓名用代码标记）一并在广东省招标投标监管网（http://zbtb.gd.gov.cn）进行公示，公示期不得少于3天。</w:t>
      </w:r>
    </w:p>
    <w:p w14:paraId="66FC30CA">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17.</w:t>
      </w:r>
      <w:r>
        <w:rPr>
          <w:rFonts w:hint="eastAsia" w:ascii="宋体" w:hAnsi="宋体" w:eastAsia="宋体" w:cs="宋体"/>
          <w:b/>
          <w:bCs/>
          <w:snapToGrid w:val="0"/>
          <w:color w:val="auto"/>
          <w:kern w:val="0"/>
          <w:highlight w:val="none"/>
          <w:lang w:val="en-US" w:eastAsia="zh-CN"/>
        </w:rPr>
        <w:t>2</w:t>
      </w:r>
      <w:r>
        <w:rPr>
          <w:rFonts w:hint="eastAsia" w:ascii="宋体" w:hAnsi="宋体" w:eastAsia="宋体" w:cs="宋体"/>
          <w:snapToGrid w:val="0"/>
          <w:color w:val="auto"/>
          <w:kern w:val="0"/>
          <w:highlight w:val="none"/>
        </w:rPr>
        <w:t xml:space="preserve"> 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w:t>
      </w:r>
      <w:r>
        <w:rPr>
          <w:rFonts w:hint="eastAsia" w:ascii="宋体" w:hAnsi="宋体" w:eastAsia="宋体" w:cs="宋体"/>
          <w:snapToGrid w:val="0"/>
          <w:color w:val="auto"/>
          <w:kern w:val="0"/>
          <w:szCs w:val="24"/>
          <w:highlight w:val="none"/>
        </w:rPr>
        <w:t>《韶关市工程建设项目招标投标活动异议和投诉处理办法》（韶</w:t>
      </w:r>
      <w:r>
        <w:rPr>
          <w:rFonts w:hint="eastAsia" w:ascii="宋体" w:hAnsi="宋体" w:eastAsia="宋体" w:cs="宋体"/>
          <w:snapToGrid w:val="0"/>
          <w:color w:val="auto"/>
          <w:kern w:val="0"/>
          <w:szCs w:val="24"/>
          <w:highlight w:val="none"/>
          <w:lang w:val="en-US" w:eastAsia="zh-CN"/>
        </w:rPr>
        <w:t>发改</w:t>
      </w:r>
      <w:r>
        <w:rPr>
          <w:rFonts w:hint="eastAsia" w:ascii="宋体" w:hAnsi="宋体" w:eastAsia="宋体" w:cs="宋体"/>
          <w:snapToGrid w:val="0"/>
          <w:color w:val="auto"/>
          <w:kern w:val="0"/>
          <w:szCs w:val="24"/>
          <w:highlight w:val="none"/>
        </w:rPr>
        <w:t>〔202</w:t>
      </w:r>
      <w:r>
        <w:rPr>
          <w:rFonts w:hint="eastAsia" w:ascii="宋体" w:hAnsi="宋体" w:eastAsia="宋体" w:cs="宋体"/>
          <w:snapToGrid w:val="0"/>
          <w:color w:val="auto"/>
          <w:kern w:val="0"/>
          <w:szCs w:val="24"/>
          <w:highlight w:val="none"/>
          <w:lang w:val="en-US" w:eastAsia="zh-CN"/>
        </w:rPr>
        <w:t>1</w:t>
      </w: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44</w:t>
      </w:r>
      <w:r>
        <w:rPr>
          <w:rFonts w:hint="eastAsia" w:ascii="宋体" w:hAnsi="宋体" w:eastAsia="宋体" w:cs="宋体"/>
          <w:snapToGrid w:val="0"/>
          <w:color w:val="auto"/>
          <w:kern w:val="0"/>
          <w:szCs w:val="24"/>
          <w:highlight w:val="none"/>
        </w:rPr>
        <w:t>号）</w:t>
      </w:r>
      <w:r>
        <w:rPr>
          <w:rFonts w:hint="eastAsia" w:ascii="宋体" w:hAnsi="宋体" w:eastAsia="宋体" w:cs="宋体"/>
          <w:snapToGrid w:val="0"/>
          <w:color w:val="auto"/>
          <w:kern w:val="0"/>
          <w:highlight w:val="none"/>
        </w:rPr>
        <w:t>执行。</w:t>
      </w:r>
    </w:p>
    <w:p w14:paraId="290ED315">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17.</w:t>
      </w:r>
      <w:r>
        <w:rPr>
          <w:rFonts w:hint="eastAsia" w:ascii="宋体" w:hAnsi="宋体" w:eastAsia="宋体" w:cs="宋体"/>
          <w:b/>
          <w:bCs/>
          <w:snapToGrid w:val="0"/>
          <w:color w:val="auto"/>
          <w:kern w:val="0"/>
          <w:highlight w:val="none"/>
          <w:lang w:val="en-US" w:eastAsia="zh-CN"/>
        </w:rPr>
        <w:t>3</w:t>
      </w:r>
      <w:r>
        <w:rPr>
          <w:rFonts w:hint="eastAsia" w:ascii="宋体" w:hAnsi="宋体" w:eastAsia="宋体" w:cs="宋体"/>
          <w:snapToGrid w:val="0"/>
          <w:color w:val="auto"/>
          <w:kern w:val="0"/>
          <w:highlight w:val="none"/>
        </w:rPr>
        <w:t>中标候选人公示期满无异议（投诉）后，招标人确定第一中标候选人为中标人，并在中标人确定之日起7日内向中标人发出中标通知书。在中标通知书发出后5个工作日内，韶关市公共资源交易中心将投标保证金（或银行保函）退还给中标候选人以外的投标人。</w:t>
      </w:r>
    </w:p>
    <w:p w14:paraId="7358448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sectPr>
          <w:endnotePr>
            <w:numFmt w:val="decimal"/>
          </w:endnotePr>
          <w:pgSz w:w="11906" w:h="16838"/>
          <w:pgMar w:top="1701" w:right="1531" w:bottom="1417" w:left="1531" w:header="850" w:footer="992" w:gutter="0"/>
          <w:cols w:space="720" w:num="1"/>
          <w:rtlGutter w:val="0"/>
          <w:docGrid w:linePitch="327" w:charSpace="0"/>
        </w:sectPr>
      </w:pPr>
    </w:p>
    <w:p w14:paraId="67A3478D">
      <w:pPr>
        <w:shd w:val="clear" w:color="auto" w:fill="auto"/>
        <w:wordWrap w:val="0"/>
        <w:adjustRightInd w:val="0"/>
        <w:snapToGrid w:val="0"/>
        <w:spacing w:line="440" w:lineRule="exact"/>
        <w:outlineLvl w:val="1"/>
        <w:rPr>
          <w:rFonts w:hint="eastAsia" w:ascii="宋体" w:hAnsi="宋体" w:eastAsia="宋体" w:cs="宋体"/>
          <w:snapToGrid w:val="0"/>
          <w:color w:val="auto"/>
          <w:kern w:val="0"/>
          <w:highlight w:val="none"/>
        </w:rPr>
      </w:pPr>
      <w:bookmarkStart w:id="268" w:name="_Toc21901"/>
      <w:bookmarkStart w:id="269" w:name="_Toc9979"/>
      <w:bookmarkStart w:id="270" w:name="_Toc29477"/>
      <w:bookmarkStart w:id="271" w:name="_Toc32311"/>
      <w:bookmarkStart w:id="272" w:name="_Toc32043"/>
      <w:bookmarkStart w:id="273" w:name="_Toc30086"/>
      <w:bookmarkStart w:id="274" w:name="_Toc21370"/>
      <w:bookmarkStart w:id="275" w:name="_Toc17249"/>
      <w:bookmarkStart w:id="276" w:name="_Toc11463"/>
      <w:bookmarkStart w:id="277" w:name="_Toc2045"/>
      <w:r>
        <w:rPr>
          <w:rFonts w:hint="eastAsia" w:ascii="宋体" w:hAnsi="宋体" w:eastAsia="宋体" w:cs="宋体"/>
          <w:b/>
          <w:bCs/>
          <w:snapToGrid w:val="0"/>
          <w:color w:val="auto"/>
          <w:kern w:val="0"/>
          <w:highlight w:val="none"/>
        </w:rPr>
        <w:t>第四节 否决投标条件</w:t>
      </w:r>
      <w:bookmarkEnd w:id="268"/>
      <w:bookmarkEnd w:id="269"/>
      <w:bookmarkEnd w:id="270"/>
      <w:bookmarkEnd w:id="271"/>
      <w:bookmarkEnd w:id="272"/>
      <w:bookmarkEnd w:id="273"/>
      <w:bookmarkEnd w:id="274"/>
      <w:bookmarkEnd w:id="275"/>
      <w:bookmarkEnd w:id="276"/>
      <w:bookmarkEnd w:id="277"/>
    </w:p>
    <w:p w14:paraId="5BE3EB12">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本节所集中列示的否决投标条件，是本章第三节“投标人须知正文”的组成部分，是对本章第三节所规定的否决投标条件的总结和补充。</w:t>
      </w:r>
      <w:r>
        <w:rPr>
          <w:rFonts w:hint="eastAsia" w:ascii="宋体" w:hAnsi="宋体" w:eastAsia="宋体" w:cs="宋体"/>
          <w:b/>
          <w:bCs/>
          <w:snapToGrid w:val="0"/>
          <w:color w:val="auto"/>
          <w:kern w:val="0"/>
          <w:highlight w:val="none"/>
        </w:rPr>
        <w:t>投标人未有列入本节情形的，评标时一律不得否决其投标。</w:t>
      </w:r>
      <w:r>
        <w:rPr>
          <w:rFonts w:hint="eastAsia" w:ascii="宋体" w:hAnsi="宋体" w:eastAsia="宋体" w:cs="宋体"/>
          <w:snapToGrid w:val="0"/>
          <w:color w:val="auto"/>
          <w:kern w:val="0"/>
          <w:highlight w:val="none"/>
        </w:rPr>
        <w:t>本节所称“规定”均指招标文件的规定。</w:t>
      </w:r>
    </w:p>
    <w:p w14:paraId="39A95895">
      <w:pPr>
        <w:shd w:val="clear" w:color="auto" w:fill="auto"/>
        <w:wordWrap w:val="0"/>
        <w:adjustRightInd w:val="0"/>
        <w:snapToGrid w:val="0"/>
        <w:spacing w:line="440" w:lineRule="exact"/>
        <w:ind w:firstLine="480"/>
        <w:outlineLvl w:val="2"/>
        <w:rPr>
          <w:rFonts w:hint="eastAsia" w:ascii="宋体" w:hAnsi="宋体" w:eastAsia="宋体" w:cs="宋体"/>
          <w:snapToGrid w:val="0"/>
          <w:color w:val="auto"/>
          <w:kern w:val="0"/>
          <w:highlight w:val="none"/>
        </w:rPr>
      </w:pPr>
      <w:bookmarkStart w:id="278" w:name="_Toc29216"/>
      <w:bookmarkStart w:id="279" w:name="_Toc10295"/>
      <w:bookmarkStart w:id="280" w:name="_Toc26916"/>
      <w:bookmarkStart w:id="281" w:name="_Toc30404"/>
      <w:bookmarkStart w:id="282" w:name="_Toc26846"/>
      <w:bookmarkStart w:id="283" w:name="_Toc5725"/>
      <w:bookmarkStart w:id="284" w:name="_Toc5419"/>
      <w:bookmarkStart w:id="285" w:name="_Toc32629"/>
      <w:bookmarkStart w:id="286" w:name="_Toc29575"/>
      <w:bookmarkStart w:id="287" w:name="_Toc1612"/>
      <w:r>
        <w:rPr>
          <w:rFonts w:hint="eastAsia" w:ascii="宋体" w:hAnsi="宋体" w:eastAsia="宋体" w:cs="宋体"/>
          <w:b/>
          <w:bCs/>
          <w:snapToGrid w:val="0"/>
          <w:color w:val="auto"/>
          <w:kern w:val="0"/>
          <w:highlight w:val="none"/>
        </w:rPr>
        <w:t>1．资格评审环节</w:t>
      </w:r>
      <w:bookmarkEnd w:id="278"/>
      <w:bookmarkEnd w:id="279"/>
      <w:bookmarkEnd w:id="280"/>
      <w:bookmarkEnd w:id="281"/>
      <w:bookmarkEnd w:id="282"/>
      <w:bookmarkEnd w:id="283"/>
      <w:bookmarkEnd w:id="284"/>
      <w:bookmarkEnd w:id="285"/>
      <w:bookmarkEnd w:id="286"/>
      <w:bookmarkEnd w:id="287"/>
    </w:p>
    <w:p w14:paraId="7131AF2D">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投标人有下列情形之一的，评标委员会应否决其投标。被否决的投标，不进入形式评审环节。</w:t>
      </w:r>
    </w:p>
    <w:p w14:paraId="79726D21">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（1）有本章第三节第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条“禁止投标条款”规定的任何一种情形；</w:t>
      </w:r>
    </w:p>
    <w:p w14:paraId="5569062A">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（2）投标人资质不符合</w:t>
      </w:r>
      <w:r>
        <w:rPr>
          <w:rFonts w:hint="eastAsia" w:ascii="宋体" w:hAnsi="宋体" w:eastAsia="宋体" w:cs="宋体"/>
          <w:snapToGrid w:val="0"/>
          <w:color w:val="auto"/>
          <w:kern w:val="0"/>
          <w:szCs w:val="18"/>
          <w:highlight w:val="none"/>
        </w:rPr>
        <w:t>规定的；</w:t>
      </w:r>
    </w:p>
    <w:p w14:paraId="7B923DE2">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（3）投标人名称与营业执照、资质证书上的企业名称相互不一致的；其资质证书不是由住房城乡建设主管部门颁发的；营业执照、资质证书被吊销、暂扣或不在有效期内的；</w:t>
      </w:r>
    </w:p>
    <w:p w14:paraId="4A6D05BD">
      <w:pPr>
        <w:shd w:val="clear" w:color="auto" w:fill="auto"/>
        <w:wordWrap w:val="0"/>
        <w:adjustRightInd w:val="0"/>
        <w:snapToGrid w:val="0"/>
        <w:spacing w:line="440" w:lineRule="exact"/>
        <w:ind w:firstLine="480"/>
        <w:rPr>
          <w:rFonts w:hint="eastAsia" w:ascii="宋体" w:hAnsi="宋体" w:eastAsia="宋体" w:cs="宋体"/>
          <w:b w:val="0"/>
          <w:bCs w:val="0"/>
          <w:snapToGrid w:val="0"/>
          <w:color w:val="auto"/>
          <w:kern w:val="0"/>
          <w:highlight w:val="none"/>
        </w:rPr>
      </w:pPr>
      <w:r>
        <w:rPr>
          <w:rFonts w:hint="eastAsia" w:ascii="宋体" w:hAnsi="宋体" w:eastAsia="宋体" w:cs="宋体"/>
          <w:b w:val="0"/>
          <w:bCs w:val="0"/>
          <w:snapToGrid w:val="0"/>
          <w:color w:val="auto"/>
          <w:kern w:val="0"/>
          <w:highlight w:val="none"/>
        </w:rPr>
        <w:t>注：投标人已经工商变更，但其企业资质证书的企业名称未完成变更的，不得否决其投标；投标人营业执照、资质证书之间登记的信息不一致，应当允许投标人澄清，不得直接否决其投标。</w:t>
      </w:r>
    </w:p>
    <w:p w14:paraId="22B1512E">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不得否决其投标。</w:t>
      </w:r>
    </w:p>
    <w:p w14:paraId="4EEB3F5A">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（4）投标文件中拟委派的总监理工程师与《开标一览表》不一致的；拟委派的总监理工程师的条件不符合规定的；</w:t>
      </w:r>
      <w:r>
        <w:rPr>
          <w:rFonts w:hint="eastAsia" w:ascii="宋体" w:hAnsi="宋体" w:eastAsia="宋体" w:cs="宋体"/>
          <w:snapToGrid w:val="0"/>
          <w:color w:val="auto"/>
          <w:kern w:val="0"/>
          <w:szCs w:val="22"/>
          <w:highlight w:val="none"/>
        </w:rPr>
        <w:t>擅自修改、遗漏《总监理工程师任职声明》实质性内容的；</w:t>
      </w:r>
      <w:r>
        <w:rPr>
          <w:rFonts w:hint="eastAsia" w:ascii="宋体" w:hAnsi="宋体" w:eastAsia="宋体" w:cs="宋体"/>
          <w:snapToGrid w:val="0"/>
          <w:color w:val="auto"/>
          <w:kern w:val="0"/>
          <w:highlight w:val="none"/>
        </w:rPr>
        <w:t>拟委派的总监理工程师现阶段有担任其他在施建设工程项目总监理工程师职务，但《</w:t>
      </w:r>
      <w:r>
        <w:rPr>
          <w:rFonts w:hint="eastAsia" w:ascii="宋体" w:hAnsi="宋体" w:eastAsia="宋体" w:cs="宋体"/>
          <w:snapToGrid w:val="0"/>
          <w:color w:val="auto"/>
          <w:kern w:val="0"/>
          <w:szCs w:val="18"/>
          <w:highlight w:val="none"/>
        </w:rPr>
        <w:t>总监理工程师任职项目情况表</w:t>
      </w:r>
      <w:r>
        <w:rPr>
          <w:rFonts w:hint="eastAsia" w:ascii="宋体" w:hAnsi="宋体" w:eastAsia="宋体" w:cs="宋体"/>
          <w:snapToGrid w:val="0"/>
          <w:color w:val="auto"/>
          <w:kern w:val="0"/>
          <w:highlight w:val="none"/>
        </w:rPr>
        <w:t>》未经任职项目建设单位盖章同意、又未提交任职项目建设单位另行出具的书面同意意见的；</w:t>
      </w:r>
    </w:p>
    <w:p w14:paraId="3E89BE5B">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（5）拟委派的总监理工程师的注册证书不是住房和城乡建设主管部门颁发的，或注册单位与投标人不一致的，或不在有效期内的；</w:t>
      </w:r>
    </w:p>
    <w:p w14:paraId="679F3539">
      <w:pPr>
        <w:shd w:val="clear" w:color="auto" w:fill="auto"/>
        <w:wordWrap w:val="0"/>
        <w:adjustRightInd w:val="0"/>
        <w:snapToGrid w:val="0"/>
        <w:spacing w:line="440" w:lineRule="exact"/>
        <w:ind w:firstLine="48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注：投标人已经工商变更，但其员工执业资格注册证书的注册单位名称未完成变更的，不得否决其投标。</w:t>
      </w:r>
    </w:p>
    <w:p w14:paraId="67A20879">
      <w:pPr>
        <w:shd w:val="clear" w:color="auto" w:fill="auto"/>
        <w:wordWrap w:val="0"/>
        <w:adjustRightInd w:val="0"/>
        <w:snapToGrid w:val="0"/>
        <w:spacing w:line="440" w:lineRule="exact"/>
        <w:ind w:firstLine="48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highlight w:val="none"/>
        </w:rPr>
        <w:t>（6）招标文件规定不接受联合体投标，但以联合体投标的；</w:t>
      </w:r>
    </w:p>
    <w:p w14:paraId="345639AD">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（7）投标人为外省企业，但未提供“进粤企业和人员诚信信息登记平台”企业信息情况的。</w:t>
      </w:r>
    </w:p>
    <w:p w14:paraId="7A8FCE65">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p>
    <w:p w14:paraId="6D056097">
      <w:pPr>
        <w:shd w:val="clear" w:color="auto" w:fill="auto"/>
        <w:wordWrap w:val="0"/>
        <w:adjustRightInd w:val="0"/>
        <w:snapToGrid w:val="0"/>
        <w:spacing w:line="440" w:lineRule="exact"/>
        <w:ind w:firstLine="480"/>
        <w:outlineLvl w:val="2"/>
        <w:rPr>
          <w:rFonts w:hint="eastAsia" w:ascii="宋体" w:hAnsi="宋体" w:eastAsia="宋体" w:cs="宋体"/>
          <w:snapToGrid w:val="0"/>
          <w:color w:val="auto"/>
          <w:kern w:val="0"/>
          <w:highlight w:val="none"/>
        </w:rPr>
      </w:pPr>
      <w:bookmarkStart w:id="288" w:name="_Toc23556"/>
      <w:bookmarkStart w:id="289" w:name="_Toc629"/>
      <w:bookmarkStart w:id="290" w:name="_Toc7175"/>
      <w:bookmarkStart w:id="291" w:name="_Toc26678"/>
      <w:bookmarkStart w:id="292" w:name="_Toc18817"/>
      <w:bookmarkStart w:id="293" w:name="_Toc27039"/>
      <w:bookmarkStart w:id="294" w:name="_Toc29817"/>
      <w:bookmarkStart w:id="295" w:name="_Toc19550"/>
      <w:bookmarkStart w:id="296" w:name="_Toc25976"/>
      <w:bookmarkStart w:id="297" w:name="_Toc27998"/>
      <w:r>
        <w:rPr>
          <w:rFonts w:hint="eastAsia" w:ascii="宋体" w:hAnsi="宋体" w:eastAsia="宋体" w:cs="宋体"/>
          <w:b/>
          <w:bCs/>
          <w:snapToGrid w:val="0"/>
          <w:color w:val="auto"/>
          <w:kern w:val="0"/>
          <w:highlight w:val="none"/>
        </w:rPr>
        <w:t>2．形式评审环节</w:t>
      </w:r>
      <w:bookmarkEnd w:id="288"/>
      <w:bookmarkEnd w:id="289"/>
      <w:bookmarkEnd w:id="290"/>
      <w:bookmarkEnd w:id="291"/>
      <w:bookmarkEnd w:id="292"/>
      <w:bookmarkEnd w:id="293"/>
      <w:bookmarkEnd w:id="294"/>
      <w:bookmarkEnd w:id="295"/>
      <w:bookmarkEnd w:id="296"/>
      <w:bookmarkEnd w:id="297"/>
    </w:p>
    <w:p w14:paraId="3613C746">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投标人有下列情形之一的，评标委员会应否决其投标。被否决的投标，不进入响应性评审环节。</w:t>
      </w:r>
    </w:p>
    <w:p w14:paraId="2DBA9A01">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（8）投标文件的分册组成不符合规定的；</w:t>
      </w:r>
    </w:p>
    <w:p w14:paraId="0D7F9835">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（9）本章第三节第</w:t>
      </w: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第</w:t>
      </w:r>
      <w:r>
        <w:rPr>
          <w:rFonts w:hint="eastAsia" w:ascii="宋体" w:hAnsi="宋体" w:eastAsia="宋体" w:cs="宋体"/>
          <w:b/>
          <w:bCs/>
          <w:snapToGrid w:val="0"/>
          <w:color w:val="auto"/>
          <w:kern w:val="0"/>
          <w:szCs w:val="18"/>
          <w:highlight w:val="none"/>
        </w:rPr>
        <w:t>10.3.3</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中规定的“</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”的组成内容（包括该组成内容的所附资料）中，任何一项有缺漏的；</w:t>
      </w:r>
    </w:p>
    <w:p w14:paraId="7B7441ED">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（10）关键字迹模糊、无法辨认，</w:t>
      </w:r>
      <w:r>
        <w:rPr>
          <w:rFonts w:hint="eastAsia" w:ascii="宋体" w:hAnsi="宋体" w:eastAsia="宋体" w:cs="宋体"/>
          <w:b/>
          <w:bCs/>
          <w:snapToGrid w:val="0"/>
          <w:color w:val="auto"/>
          <w:kern w:val="0"/>
          <w:highlight w:val="none"/>
        </w:rPr>
        <w:t>且该种过错将导致评标委员会无法作出投标文件是否响应招标文件实质性要求的</w:t>
      </w:r>
      <w:r>
        <w:rPr>
          <w:rFonts w:hint="eastAsia" w:ascii="宋体" w:hAnsi="宋体" w:eastAsia="宋体" w:cs="宋体"/>
          <w:snapToGrid w:val="0"/>
          <w:color w:val="auto"/>
          <w:kern w:val="0"/>
          <w:highlight w:val="none"/>
        </w:rPr>
        <w:t>；出现手工涂改、行间插字或删除，但未加盖单位章或由投标人的法定代表人或其委托代理人签字确认的；</w:t>
      </w:r>
    </w:p>
    <w:p w14:paraId="019C7F69">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（11）投标文件未按规定签字、盖章的；</w:t>
      </w:r>
    </w:p>
    <w:p w14:paraId="752EA7B8">
      <w:pPr>
        <w:shd w:val="clear" w:color="auto" w:fill="auto"/>
        <w:wordWrap w:val="0"/>
        <w:adjustRightInd w:val="0"/>
        <w:snapToGrid w:val="0"/>
        <w:spacing w:line="440" w:lineRule="exact"/>
        <w:ind w:firstLine="480"/>
        <w:outlineLvl w:val="2"/>
        <w:rPr>
          <w:rFonts w:hint="eastAsia" w:ascii="宋体" w:hAnsi="宋体" w:eastAsia="宋体" w:cs="宋体"/>
          <w:b/>
          <w:bCs/>
          <w:snapToGrid w:val="0"/>
          <w:color w:val="auto"/>
          <w:kern w:val="0"/>
          <w:highlight w:val="none"/>
        </w:rPr>
      </w:pPr>
      <w:bookmarkStart w:id="298" w:name="_Toc10256"/>
      <w:bookmarkStart w:id="299" w:name="_Toc2157"/>
      <w:bookmarkStart w:id="300" w:name="_Toc15146"/>
      <w:bookmarkStart w:id="301" w:name="_Toc12483"/>
      <w:bookmarkStart w:id="302" w:name="_Toc5389"/>
      <w:bookmarkStart w:id="303" w:name="_Toc2266"/>
      <w:bookmarkStart w:id="304" w:name="_Toc13541"/>
      <w:bookmarkStart w:id="305" w:name="_Toc18248"/>
      <w:bookmarkStart w:id="306" w:name="_Toc15131"/>
      <w:bookmarkStart w:id="307" w:name="_Toc6320"/>
      <w:r>
        <w:rPr>
          <w:rFonts w:hint="eastAsia" w:ascii="宋体" w:hAnsi="宋体" w:eastAsia="宋体" w:cs="宋体"/>
          <w:b/>
          <w:bCs/>
          <w:snapToGrid w:val="0"/>
          <w:color w:val="auto"/>
          <w:kern w:val="0"/>
          <w:highlight w:val="none"/>
        </w:rPr>
        <w:t>3．响应性评审环节</w:t>
      </w:r>
      <w:bookmarkEnd w:id="298"/>
      <w:bookmarkEnd w:id="299"/>
      <w:bookmarkEnd w:id="300"/>
      <w:bookmarkEnd w:id="301"/>
      <w:bookmarkEnd w:id="302"/>
      <w:bookmarkEnd w:id="303"/>
      <w:bookmarkEnd w:id="304"/>
      <w:bookmarkEnd w:id="305"/>
      <w:bookmarkEnd w:id="306"/>
      <w:bookmarkEnd w:id="307"/>
    </w:p>
    <w:p w14:paraId="702CF8D9">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投标人有下列情形之一的，评标委员会应否决其投标。被否决的投标，不进入详细评审阶段。</w:t>
      </w:r>
    </w:p>
    <w:p w14:paraId="626393C8">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（12）投标有效期、服务期限不符合规定的；擅自修改、遗漏《投标函》《各项承诺一览表》实质性内容的；</w:t>
      </w:r>
    </w:p>
    <w:p w14:paraId="4C21C652">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（13）出现两个或两个以上投标总价的（同一个投标总价大、小写不一致的除外）；投标总价超出最高投标限价的；</w:t>
      </w:r>
    </w:p>
    <w:p w14:paraId="79E5504D">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（14）在监理大纲评审中，评标委员会认定监理及相关服务的范围、内容、目标不符合规定的；质量、进度、造价监理措施明显不符合国家和省市现行有关规范、规定、标准，</w:t>
      </w:r>
      <w:r>
        <w:rPr>
          <w:rFonts w:hint="eastAsia" w:ascii="宋体" w:hAnsi="宋体" w:eastAsia="宋体" w:cs="宋体"/>
          <w:b/>
          <w:bCs/>
          <w:snapToGrid w:val="0"/>
          <w:color w:val="auto"/>
          <w:kern w:val="0"/>
          <w:highlight w:val="none"/>
        </w:rPr>
        <w:t>且该种过错将导致“三控制”目标无法实现的</w:t>
      </w:r>
      <w:r>
        <w:rPr>
          <w:rFonts w:hint="eastAsia" w:ascii="宋体" w:hAnsi="宋体" w:eastAsia="宋体" w:cs="宋体"/>
          <w:snapToGrid w:val="0"/>
          <w:color w:val="auto"/>
          <w:kern w:val="0"/>
          <w:highlight w:val="none"/>
        </w:rPr>
        <w:t>。</w:t>
      </w:r>
    </w:p>
    <w:p w14:paraId="7D2E3E50">
      <w:pPr>
        <w:shd w:val="clear" w:color="auto" w:fill="auto"/>
        <w:wordWrap w:val="0"/>
        <w:adjustRightInd w:val="0"/>
        <w:snapToGrid w:val="0"/>
        <w:spacing w:line="440" w:lineRule="exact"/>
        <w:ind w:firstLine="480"/>
        <w:outlineLvl w:val="2"/>
        <w:rPr>
          <w:rFonts w:hint="eastAsia" w:ascii="宋体" w:hAnsi="宋体" w:eastAsia="宋体" w:cs="宋体"/>
          <w:b/>
          <w:bCs/>
          <w:snapToGrid w:val="0"/>
          <w:color w:val="auto"/>
          <w:kern w:val="0"/>
          <w:highlight w:val="none"/>
        </w:rPr>
      </w:pPr>
      <w:bookmarkStart w:id="308" w:name="_Toc3133"/>
      <w:bookmarkStart w:id="309" w:name="_Toc8804"/>
      <w:bookmarkStart w:id="310" w:name="_Toc32705"/>
      <w:bookmarkStart w:id="311" w:name="_Toc4460"/>
      <w:bookmarkStart w:id="312" w:name="_Toc14330"/>
      <w:bookmarkStart w:id="313" w:name="_Toc29576"/>
      <w:bookmarkStart w:id="314" w:name="_Toc25582"/>
      <w:bookmarkStart w:id="315" w:name="_Toc24207"/>
      <w:bookmarkStart w:id="316" w:name="_Toc13293"/>
      <w:bookmarkStart w:id="317" w:name="_Toc2561"/>
      <w:r>
        <w:rPr>
          <w:rFonts w:hint="eastAsia" w:ascii="宋体" w:hAnsi="宋体" w:eastAsia="宋体" w:cs="宋体"/>
          <w:b/>
          <w:bCs/>
          <w:snapToGrid w:val="0"/>
          <w:color w:val="auto"/>
          <w:kern w:val="0"/>
          <w:highlight w:val="none"/>
        </w:rPr>
        <w:t>4．其他</w:t>
      </w:r>
      <w:bookmarkEnd w:id="308"/>
      <w:bookmarkEnd w:id="309"/>
      <w:bookmarkEnd w:id="310"/>
      <w:bookmarkEnd w:id="311"/>
      <w:bookmarkEnd w:id="312"/>
      <w:bookmarkEnd w:id="313"/>
      <w:bookmarkEnd w:id="314"/>
      <w:bookmarkEnd w:id="315"/>
      <w:bookmarkEnd w:id="316"/>
      <w:bookmarkEnd w:id="317"/>
    </w:p>
    <w:p w14:paraId="579ECA3C">
      <w:pPr>
        <w:shd w:val="clear" w:color="auto" w:fill="auto"/>
        <w:wordWrap w:val="0"/>
        <w:adjustRightInd w:val="0"/>
        <w:snapToGrid w:val="0"/>
        <w:spacing w:line="440" w:lineRule="exact"/>
        <w:ind w:firstLine="480"/>
        <w:rPr>
          <w:rFonts w:hint="eastAsia" w:ascii="宋体" w:hAnsi="宋体" w:eastAsia="宋体" w:cs="宋体"/>
          <w:snapToGrid w:val="0"/>
          <w:color w:val="auto"/>
          <w:kern w:val="0"/>
          <w:szCs w:val="22"/>
          <w:highlight w:val="none"/>
        </w:rPr>
      </w:pPr>
      <w:r>
        <w:rPr>
          <w:rFonts w:hint="eastAsia" w:ascii="宋体" w:hAnsi="宋体" w:eastAsia="宋体" w:cs="宋体"/>
          <w:snapToGrid w:val="0"/>
          <w:color w:val="auto"/>
          <w:kern w:val="0"/>
          <w:highlight w:val="none"/>
        </w:rPr>
        <w:t>在任何评标环节（或阶段），投标人有下列情形之一的，评标委员会应否决其投标。</w:t>
      </w:r>
      <w:r>
        <w:rPr>
          <w:rFonts w:hint="eastAsia" w:ascii="宋体" w:hAnsi="宋体" w:eastAsia="宋体" w:cs="宋体"/>
          <w:snapToGrid w:val="0"/>
          <w:color w:val="auto"/>
          <w:kern w:val="0"/>
          <w:szCs w:val="22"/>
          <w:highlight w:val="none"/>
        </w:rPr>
        <w:t>被否决的投标，不进入下一环节（或阶段）。</w:t>
      </w:r>
    </w:p>
    <w:p w14:paraId="44BD4AD6">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（15）不按评标委员会要求澄清、说明或补正的；</w:t>
      </w:r>
    </w:p>
    <w:p w14:paraId="1544F64D">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（16）有下列情形之一，被评标委员会认定属于串通投标的：</w:t>
      </w:r>
    </w:p>
    <w:p w14:paraId="3AFDF1E9">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①不同投标人的投标文件两处以上（含两处）错、漏一致；</w:t>
      </w:r>
    </w:p>
    <w:p w14:paraId="4842D175">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②不同投标人的投标各项报价存在异常一致或者呈规律性变化；</w:t>
      </w:r>
    </w:p>
    <w:p w14:paraId="500738D1">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③不同投标人的投标文件由同一单位或者同一个人编制；</w:t>
      </w:r>
    </w:p>
    <w:p w14:paraId="776FF775">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④不同投标人的投标文件中投标资料（包括电子资料）相互混装或项目班子成员出现同一人；</w:t>
      </w:r>
    </w:p>
    <w:p w14:paraId="2A55C52D">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⑤不同投标人的投标文件由同一电脑编制；</w:t>
      </w:r>
    </w:p>
    <w:p w14:paraId="326A8B78">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⑥不同投标人的投标保证由同一企业或同一账户资金缴纳；</w:t>
      </w:r>
    </w:p>
    <w:p w14:paraId="0E4956CB">
      <w:pPr>
        <w:shd w:val="clear" w:color="auto" w:fill="auto"/>
        <w:wordWrap w:val="0"/>
        <w:adjustRightInd w:val="0"/>
        <w:snapToGrid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⑦不同投标人委托同一个人或注册在同一家企业的注册人员或同一家企业为其投标提供投标咨询、商务报价、技术咨询（招标项目本身要求采用专有技术的除外）等服务。</w:t>
      </w:r>
      <w:bookmarkEnd w:id="247"/>
    </w:p>
    <w:p w14:paraId="1C9C5852">
      <w:pPr>
        <w:pStyle w:val="14"/>
        <w:rPr>
          <w:rFonts w:hint="eastAsia" w:ascii="宋体" w:hAnsi="宋体" w:eastAsia="宋体" w:cs="宋体"/>
          <w:color w:val="auto"/>
          <w:highlight w:val="none"/>
        </w:rPr>
        <w:sectPr>
          <w:endnotePr>
            <w:numFmt w:val="decimal"/>
          </w:endnotePr>
          <w:pgSz w:w="11906" w:h="16838"/>
          <w:pgMar w:top="1701" w:right="1531" w:bottom="1417" w:left="1531" w:header="850" w:footer="992" w:gutter="0"/>
          <w:cols w:space="720" w:num="1"/>
          <w:rtlGutter w:val="0"/>
          <w:docGrid w:linePitch="327" w:charSpace="0"/>
        </w:sectPr>
      </w:pPr>
      <w:r>
        <w:rPr>
          <w:rFonts w:hint="eastAsia" w:ascii="宋体" w:hAnsi="宋体" w:eastAsia="宋体" w:cs="宋体"/>
          <w:color w:val="auto"/>
          <w:highlight w:val="none"/>
          <w:lang w:val="en-US" w:eastAsia="zh-CN"/>
        </w:rPr>
        <w:t xml:space="preserve">    ⑧监督部门于韶关市公共交易一体化平台发现系统提示风险预警，如提示投标单位上传投标文件使用的电脑IP地址一致等。</w:t>
      </w:r>
    </w:p>
    <w:p w14:paraId="7DA4888F">
      <w:pPr>
        <w:shd w:val="clear" w:color="auto" w:fill="auto"/>
        <w:wordWrap w:val="0"/>
        <w:adjustRightInd w:val="0"/>
        <w:snapToGrid w:val="0"/>
        <w:spacing w:line="440" w:lineRule="exact"/>
        <w:jc w:val="center"/>
        <w:outlineLvl w:val="0"/>
        <w:rPr>
          <w:rFonts w:hint="eastAsia" w:ascii="宋体" w:hAnsi="宋体" w:eastAsia="宋体" w:cs="宋体"/>
          <w:b/>
          <w:snapToGrid w:val="0"/>
          <w:color w:val="auto"/>
          <w:kern w:val="0"/>
          <w:highlight w:val="none"/>
        </w:rPr>
      </w:pPr>
      <w:bookmarkStart w:id="318" w:name="_Hlt112206772"/>
      <w:bookmarkEnd w:id="318"/>
      <w:bookmarkStart w:id="319" w:name="_Hlt70150994"/>
      <w:bookmarkEnd w:id="319"/>
      <w:bookmarkStart w:id="320" w:name="_Hlt87952408"/>
      <w:bookmarkEnd w:id="320"/>
      <w:bookmarkStart w:id="321" w:name="_Hlt69669771"/>
      <w:bookmarkEnd w:id="321"/>
      <w:bookmarkStart w:id="322" w:name="_Toc20451"/>
      <w:bookmarkStart w:id="323" w:name="_Toc12800"/>
      <w:bookmarkStart w:id="324" w:name="_Toc13342"/>
      <w:bookmarkStart w:id="325" w:name="_Toc11069"/>
      <w:bookmarkStart w:id="326" w:name="_Toc15398"/>
      <w:bookmarkStart w:id="327" w:name="_Hlt69698722"/>
      <w:bookmarkStart w:id="328" w:name="_Hlt69698769"/>
      <w:bookmarkStart w:id="329" w:name="_Toc16530"/>
      <w:bookmarkStart w:id="330" w:name="_Toc12363"/>
      <w:bookmarkStart w:id="331" w:name="_Toc20600"/>
      <w:bookmarkStart w:id="332" w:name="_Toc20848"/>
      <w:bookmarkStart w:id="333" w:name="_Toc28161"/>
      <w:bookmarkStart w:id="334" w:name="_Toc28847"/>
      <w:bookmarkStart w:id="335" w:name="_Hlt69698741"/>
      <w:r>
        <w:rPr>
          <w:rFonts w:hint="eastAsia" w:ascii="宋体" w:hAnsi="宋体" w:eastAsia="宋体" w:cs="宋体"/>
          <w:b/>
          <w:snapToGrid w:val="0"/>
          <w:color w:val="auto"/>
          <w:kern w:val="0"/>
          <w:highlight w:val="none"/>
        </w:rPr>
        <w:t>第</w:t>
      </w:r>
      <w:bookmarkStart w:id="336" w:name="_Hlt69669171"/>
      <w:bookmarkEnd w:id="336"/>
      <w:r>
        <w:rPr>
          <w:rFonts w:hint="eastAsia" w:ascii="宋体" w:hAnsi="宋体" w:eastAsia="宋体" w:cs="宋体"/>
          <w:b/>
          <w:snapToGrid w:val="0"/>
          <w:color w:val="auto"/>
          <w:kern w:val="0"/>
          <w:highlight w:val="none"/>
        </w:rPr>
        <w:t>二章</w:t>
      </w:r>
      <w:bookmarkStart w:id="337" w:name="_Hlt87793839"/>
      <w:bookmarkEnd w:id="337"/>
      <w:r>
        <w:rPr>
          <w:rFonts w:hint="eastAsia" w:ascii="宋体" w:hAnsi="宋体" w:eastAsia="宋体" w:cs="宋体"/>
          <w:b/>
          <w:snapToGrid w:val="0"/>
          <w:color w:val="auto"/>
          <w:kern w:val="0"/>
          <w:highlight w:val="none"/>
        </w:rPr>
        <w:t xml:space="preserve"> 中标人须知</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0BD0F8CB">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r>
        <w:rPr>
          <w:rFonts w:hint="eastAsia" w:ascii="宋体" w:hAnsi="宋体" w:eastAsia="宋体" w:cs="宋体"/>
          <w:b/>
          <w:snapToGrid w:val="0"/>
          <w:color w:val="auto"/>
          <w:kern w:val="0"/>
          <w:highlight w:val="none"/>
        </w:rPr>
        <w:t>1．中标通知书</w:t>
      </w:r>
    </w:p>
    <w:p w14:paraId="0D1E4D00">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w:t>
      </w:r>
      <w:r>
        <w:rPr>
          <w:rFonts w:hint="eastAsia" w:ascii="宋体" w:hAnsi="宋体" w:eastAsia="宋体" w:cs="宋体"/>
          <w:snapToGrid w:val="0"/>
          <w:color w:val="auto"/>
          <w:kern w:val="0"/>
          <w:highlight w:val="none"/>
          <w:lang w:val="en-US" w:eastAsia="zh-CN"/>
        </w:rPr>
        <w:t>应</w:t>
      </w:r>
      <w:r>
        <w:rPr>
          <w:rFonts w:hint="eastAsia" w:ascii="宋体" w:hAnsi="宋体" w:eastAsia="宋体" w:cs="宋体"/>
          <w:snapToGrid w:val="0"/>
          <w:color w:val="auto"/>
          <w:kern w:val="0"/>
          <w:highlight w:val="none"/>
        </w:rPr>
        <w:t>在中标人确定之日起 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782C4B42">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p>
    <w:p w14:paraId="2587213B">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2．中标结果公示</w:t>
      </w:r>
    </w:p>
    <w:p w14:paraId="71346697">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中标通知书发出后15日内，招标人应将中标结果在广东省招标投标监管网（http://zbtb.gd.gov.cn）及全国公共资源交易平台（广东省·韶关市）（https://ygp.gdzwfw.gov.cn/ggzy-portal/#/440200/index）进行公示。</w:t>
      </w:r>
    </w:p>
    <w:p w14:paraId="589048FA">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p>
    <w:p w14:paraId="7C7585D3">
      <w:pPr>
        <w:shd w:val="clear" w:color="auto" w:fill="auto"/>
        <w:wordWrap w:val="0"/>
        <w:adjustRightInd w:val="0"/>
        <w:snapToGrid w:val="0"/>
        <w:spacing w:line="440" w:lineRule="exact"/>
        <w:ind w:firstLine="562"/>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3．履约保证</w:t>
      </w:r>
    </w:p>
    <w:p w14:paraId="21D12CB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3.1 中标人须在领取中标通知书之日起</w:t>
      </w:r>
      <w:r>
        <w:rPr>
          <w:rFonts w:hint="eastAsia" w:ascii="宋体" w:hAnsi="宋体" w:eastAsia="宋体" w:cs="宋体"/>
          <w:snapToGrid w:val="0"/>
          <w:color w:val="auto"/>
          <w:kern w:val="0"/>
          <w:highlight w:val="none"/>
          <w:u w:val="single"/>
        </w:rPr>
        <w:t>10</w:t>
      </w:r>
      <w:r>
        <w:rPr>
          <w:rFonts w:hint="eastAsia" w:ascii="宋体" w:hAnsi="宋体" w:eastAsia="宋体" w:cs="宋体"/>
          <w:snapToGrid w:val="0"/>
          <w:color w:val="auto"/>
          <w:kern w:val="0"/>
          <w:highlight w:val="none"/>
        </w:rPr>
        <w:t>个工作日内、签订合同前提交金额为中标</w:t>
      </w:r>
      <w:r>
        <w:rPr>
          <w:rFonts w:hint="eastAsia" w:ascii="宋体" w:hAnsi="宋体" w:eastAsia="宋体" w:cs="宋体"/>
          <w:snapToGrid w:val="0"/>
          <w:color w:val="auto"/>
          <w:kern w:val="0"/>
          <w:highlight w:val="none"/>
          <w:u w:val="none"/>
        </w:rPr>
        <w:t>价</w:t>
      </w:r>
      <w:r>
        <w:rPr>
          <w:rFonts w:hint="eastAsia" w:ascii="宋体" w:hAnsi="宋体" w:eastAsia="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3</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none"/>
        </w:rPr>
        <w:t>%</w:t>
      </w:r>
      <w:r>
        <w:rPr>
          <w:rFonts w:hint="eastAsia" w:ascii="宋体" w:hAnsi="宋体" w:eastAsia="宋体" w:cs="宋体"/>
          <w:snapToGrid w:val="0"/>
          <w:color w:val="auto"/>
          <w:kern w:val="0"/>
          <w:highlight w:val="none"/>
        </w:rPr>
        <w:t>的履约保证。</w:t>
      </w:r>
    </w:p>
    <w:p w14:paraId="555C583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3.2 履约保证的形式包括履约保证金、履约保证担保、履约保证保险三种，由中标人自主选择。</w:t>
      </w:r>
    </w:p>
    <w:p w14:paraId="4640D96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采用履约保证金的，中标人在招标人发起收缴履约保证后，即可在建设工程交易系统申请缴纳履约保证金，获取本次中标履约保证金缴纳账号。中标人必须于履约保证金到账截止时间（以建设工程交易系统提示为准）前，从其基本账户将履约保证金转账到指定的缴纳账号。逾期到账的、从非投标人基本账户转出的，视其放弃中标，并由招标人通报建设行政管理部门。</w:t>
      </w:r>
    </w:p>
    <w:p w14:paraId="7142620E">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采用履约保证担保的，中标人应提交有效的银行电子保函，银行电子保函的有效期应当自合同生效之日起至项目通过竣工验收之日后28天止。中标人必须在履约保证担保截止时间（以建设工程交易系统提示为准）前，使用工程建设交易系统完成网上办理电子保函。</w:t>
      </w:r>
    </w:p>
    <w:p w14:paraId="0491665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采用履约保证保险的，中标人须在履约保证保险投保截止时间（以建设工程交易系统提示为准）前，使用建设工程交易系统完成网上投保。中标人可在系统选择保险机构、录入投保信息、支付保费、下载电子保单，电子保单的有效期应当自合同生效之日起至项目通过竣工验收之日后28天止的有效期不得短于投标有效期。</w:t>
      </w:r>
    </w:p>
    <w:p w14:paraId="7F7CE0D1">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3.3 中标人在工程建设交易系统约定的时间内未提交履约保证的，视其放弃中标，并由招标人通报建设行政管理部门。</w:t>
      </w:r>
    </w:p>
    <w:p w14:paraId="45DD34BD">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3.4 在工程实施过程中，如果</w:t>
      </w:r>
      <w:r>
        <w:rPr>
          <w:rFonts w:hint="eastAsia" w:ascii="宋体" w:hAnsi="宋体" w:eastAsia="宋体" w:cs="宋体"/>
          <w:snapToGrid w:val="0"/>
          <w:color w:val="auto"/>
          <w:kern w:val="0"/>
          <w:highlight w:val="none"/>
          <w:lang w:val="en-US" w:eastAsia="zh-CN"/>
        </w:rPr>
        <w:t>监理人</w:t>
      </w:r>
      <w:r>
        <w:rPr>
          <w:rFonts w:hint="eastAsia" w:ascii="宋体" w:hAnsi="宋体" w:eastAsia="宋体" w:cs="宋体"/>
          <w:snapToGrid w:val="0"/>
          <w:color w:val="auto"/>
          <w:kern w:val="0"/>
          <w:highlight w:val="none"/>
        </w:rPr>
        <w:t>（即招标阶段的中标人，下同）由于自身的资金、技术、质量、非不可抗力等原因给发包人（即招标阶段的招标人，下同）造成经济损失，发包人有权扣划相应金额的履约保证。</w:t>
      </w:r>
    </w:p>
    <w:p w14:paraId="0241F078">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3.5 项目通过竣工验收之日后28天内，由发包人工程建设交易系统内进行履约保证金退回操作，将履约保证（履约保证金不计利息）原路退还给承包人。</w:t>
      </w:r>
    </w:p>
    <w:p w14:paraId="42E98579">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4．合同订立</w:t>
      </w:r>
    </w:p>
    <w:p w14:paraId="12FB2AD4">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4.1</w:t>
      </w:r>
      <w:r>
        <w:rPr>
          <w:rFonts w:hint="eastAsia" w:ascii="宋体" w:hAnsi="宋体" w:eastAsia="宋体" w:cs="宋体"/>
          <w:snapToGrid w:val="0"/>
          <w:color w:val="auto"/>
          <w:kern w:val="0"/>
          <w:highlight w:val="none"/>
        </w:rPr>
        <w:t xml:space="preserve"> 招标人应当自中标通知书发出之日起</w:t>
      </w:r>
      <w:r>
        <w:rPr>
          <w:rFonts w:hint="eastAsia" w:ascii="宋体" w:hAnsi="宋体" w:eastAsia="宋体" w:cs="宋体"/>
          <w:snapToGrid w:val="0"/>
          <w:color w:val="auto"/>
          <w:kern w:val="0"/>
          <w:highlight w:val="none"/>
          <w:u w:val="single"/>
        </w:rPr>
        <w:t xml:space="preserve"> 30 </w:t>
      </w:r>
      <w:r>
        <w:rPr>
          <w:rFonts w:hint="eastAsia" w:ascii="宋体" w:hAnsi="宋体" w:eastAsia="宋体" w:cs="宋体"/>
          <w:snapToGrid w:val="0"/>
          <w:color w:val="auto"/>
          <w:kern w:val="0"/>
          <w:highlight w:val="none"/>
        </w:rPr>
        <w:t>日内，按照招标文件、中标人的投标文件与中标人订立书面合同。</w:t>
      </w:r>
    </w:p>
    <w:p w14:paraId="509D7A89">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w:t>
      </w:r>
      <w:r>
        <w:rPr>
          <w:rFonts w:hint="eastAsia" w:ascii="宋体" w:hAnsi="宋体" w:eastAsia="宋体" w:cs="宋体"/>
          <w:snapToGrid w:val="0"/>
          <w:color w:val="auto"/>
          <w:kern w:val="0"/>
          <w:highlight w:val="none"/>
        </w:rPr>
        <w:t xml:space="preserve"> 合同的标的、质量、履行期限条款和合同的价款、风险分担等主要条款，应当与招标文件、中标人的投标文件的内容一致。中标人在签订合同时不得向招标人提出附加条件。</w:t>
      </w:r>
    </w:p>
    <w:p w14:paraId="4D35F53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4.3</w:t>
      </w:r>
      <w:r>
        <w:rPr>
          <w:rFonts w:hint="eastAsia" w:ascii="宋体" w:hAnsi="宋体" w:eastAsia="宋体" w:cs="宋体"/>
          <w:snapToGrid w:val="0"/>
          <w:color w:val="auto"/>
          <w:kern w:val="0"/>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6F9ABDAC">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4.4</w:t>
      </w:r>
      <w:r>
        <w:rPr>
          <w:rFonts w:hint="eastAsia" w:ascii="宋体" w:hAnsi="宋体" w:eastAsia="宋体" w:cs="宋体"/>
          <w:snapToGrid w:val="0"/>
          <w:color w:val="auto"/>
          <w:kern w:val="0"/>
          <w:highlight w:val="none"/>
        </w:rPr>
        <w:t xml:space="preserve"> 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6180DBEC">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3AA564BD">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5．放弃中标的处理</w:t>
      </w:r>
    </w:p>
    <w:p w14:paraId="1DFB9160">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5.1</w:t>
      </w:r>
      <w:r>
        <w:rPr>
          <w:rFonts w:hint="eastAsia" w:ascii="宋体" w:hAnsi="宋体" w:eastAsia="宋体" w:cs="宋体"/>
          <w:snapToGrid w:val="0"/>
          <w:color w:val="auto"/>
          <w:kern w:val="0"/>
          <w:highlight w:val="none"/>
        </w:rPr>
        <w:t xml:space="preserve"> 中标人</w:t>
      </w:r>
      <w:r>
        <w:rPr>
          <w:rFonts w:hint="eastAsia" w:ascii="宋体" w:hAnsi="宋体" w:eastAsia="宋体" w:cs="宋体"/>
          <w:snapToGrid w:val="0"/>
          <w:color w:val="auto"/>
          <w:highlight w:val="none"/>
        </w:rPr>
        <w:t>无正当理由放弃中标的，</w:t>
      </w:r>
      <w:r>
        <w:rPr>
          <w:rFonts w:hint="eastAsia" w:ascii="宋体" w:hAnsi="宋体" w:eastAsia="宋体" w:cs="宋体"/>
          <w:snapToGrid w:val="0"/>
          <w:color w:val="auto"/>
          <w:kern w:val="0"/>
          <w:highlight w:val="none"/>
        </w:rPr>
        <w:t>取消其中标资格，其投标保证不予退还，给招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w:t>
      </w:r>
      <w:r>
        <w:rPr>
          <w:rFonts w:hint="eastAsia" w:ascii="宋体" w:hAnsi="宋体" w:eastAsia="宋体" w:cs="宋体"/>
          <w:bCs/>
          <w:snapToGrid w:val="0"/>
          <w:color w:val="auto"/>
          <w:kern w:val="0"/>
          <w:highlight w:val="none"/>
        </w:rPr>
        <w:t>因此种情况造成招标人重新招标的</w:t>
      </w:r>
      <w:r>
        <w:rPr>
          <w:rFonts w:hint="eastAsia" w:ascii="宋体" w:hAnsi="宋体" w:eastAsia="宋体" w:cs="宋体"/>
          <w:snapToGrid w:val="0"/>
          <w:color w:val="auto"/>
          <w:kern w:val="0"/>
          <w:highlight w:val="none"/>
        </w:rPr>
        <w:t>，招标人可不接受该弃标人再次投标。同时，招标人应将该弃标人的失信行为向行政监督部门报告。</w:t>
      </w:r>
    </w:p>
    <w:p w14:paraId="7AA87E8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5.2</w:t>
      </w:r>
      <w:r>
        <w:rPr>
          <w:rFonts w:hint="eastAsia" w:ascii="宋体" w:hAnsi="宋体" w:eastAsia="宋体" w:cs="宋体"/>
          <w:snapToGrid w:val="0"/>
          <w:color w:val="auto"/>
          <w:kern w:val="0"/>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1E431754">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p>
    <w:p w14:paraId="509C827C">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6．分包</w:t>
      </w:r>
    </w:p>
    <w:p w14:paraId="174FFB4D">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合同范围内的监理服务严禁分包，一经发现，委托人有权解除合同，由此引起的一切经济损失和法律责任由监理人自行承担。</w:t>
      </w:r>
    </w:p>
    <w:p w14:paraId="485D18CF">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7DF05F88">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．监理服务期限</w:t>
      </w:r>
    </w:p>
    <w:p w14:paraId="08368D1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lang w:val="en-US" w:eastAsia="zh-CN"/>
        </w:rPr>
        <w:t>7.1 本工程监理服务期限为：监理服务期从监理合同签订之日起计，至本工程缺陷责任保修期结束且本工程结算金额经政府主管部门审定且双方的责任义务履行完毕时止。</w:t>
      </w:r>
    </w:p>
    <w:p w14:paraId="3B59824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lang w:val="en-US" w:eastAsia="zh-CN"/>
        </w:rPr>
        <w:t>7.2 当满足专用合同条款约定的开始监理条件时，招标人应提前 7 天向中标人发出开始监理通知。监理服务期限自开始监理通知中载明的开始监理日期起计算。</w:t>
      </w:r>
    </w:p>
    <w:p w14:paraId="58656C15">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p>
    <w:p w14:paraId="0AABAF30">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8</w:t>
      </w:r>
      <w:r>
        <w:rPr>
          <w:rFonts w:hint="eastAsia" w:ascii="宋体" w:hAnsi="宋体" w:eastAsia="宋体" w:cs="宋体"/>
          <w:b/>
          <w:bCs/>
          <w:snapToGrid w:val="0"/>
          <w:color w:val="auto"/>
          <w:kern w:val="0"/>
          <w:highlight w:val="none"/>
        </w:rPr>
        <w:t>．项目监理机构</w:t>
      </w:r>
    </w:p>
    <w:p w14:paraId="730F5439">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8</w:t>
      </w:r>
      <w:r>
        <w:rPr>
          <w:rFonts w:hint="eastAsia" w:ascii="宋体" w:hAnsi="宋体" w:eastAsia="宋体" w:cs="宋体"/>
          <w:b/>
          <w:bCs/>
          <w:snapToGrid w:val="0"/>
          <w:color w:val="auto"/>
          <w:kern w:val="0"/>
          <w:highlight w:val="none"/>
        </w:rPr>
        <w:t>.1</w:t>
      </w:r>
      <w:r>
        <w:rPr>
          <w:rFonts w:hint="eastAsia" w:ascii="宋体" w:hAnsi="宋体" w:eastAsia="宋体" w:cs="宋体"/>
          <w:snapToGrid w:val="0"/>
          <w:color w:val="auto"/>
          <w:kern w:val="0"/>
          <w:highlight w:val="none"/>
        </w:rPr>
        <w:t xml:space="preserve"> 监理人派驻项目监理机构的人员必须为其投标文件确定的人员，否则委托人有权解除合同。</w:t>
      </w:r>
    </w:p>
    <w:p w14:paraId="2BB32C07">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8</w:t>
      </w:r>
      <w:r>
        <w:rPr>
          <w:rFonts w:hint="eastAsia" w:ascii="宋体" w:hAnsi="宋体" w:eastAsia="宋体" w:cs="宋体"/>
          <w:b/>
          <w:bCs/>
          <w:snapToGrid w:val="0"/>
          <w:color w:val="auto"/>
          <w:kern w:val="0"/>
          <w:highlight w:val="none"/>
        </w:rPr>
        <w:t>.2</w:t>
      </w:r>
      <w:r>
        <w:rPr>
          <w:rFonts w:hint="eastAsia" w:ascii="宋体" w:hAnsi="宋体" w:eastAsia="宋体" w:cs="宋体"/>
          <w:snapToGrid w:val="0"/>
          <w:color w:val="auto"/>
          <w:kern w:val="0"/>
          <w:highlight w:val="none"/>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5D9523BC">
      <w:pPr>
        <w:shd w:val="clear" w:color="auto" w:fill="auto"/>
        <w:wordWrap w:val="0"/>
        <w:adjustRightInd w:val="0"/>
        <w:snapToGrid w:val="0"/>
        <w:spacing w:line="440" w:lineRule="exact"/>
        <w:ind w:firstLine="482" w:firstLineChars="200"/>
        <w:rPr>
          <w:rFonts w:hint="eastAsia" w:ascii="宋体" w:hAnsi="宋体" w:eastAsia="宋体" w:cs="宋体"/>
          <w:b/>
          <w:snapToGrid w:val="0"/>
          <w:color w:val="auto"/>
          <w:kern w:val="0"/>
          <w:highlight w:val="none"/>
        </w:rPr>
      </w:pPr>
    </w:p>
    <w:p w14:paraId="2797AC70">
      <w:pPr>
        <w:shd w:val="clear" w:color="auto" w:fill="auto"/>
        <w:wordWrap w:val="0"/>
        <w:adjustRightInd w:val="0"/>
        <w:snapToGrid w:val="0"/>
        <w:spacing w:line="440" w:lineRule="exact"/>
        <w:ind w:firstLine="482" w:firstLineChars="200"/>
        <w:rPr>
          <w:rFonts w:hint="eastAsia" w:ascii="宋体" w:hAnsi="宋体" w:eastAsia="宋体" w:cs="宋体"/>
          <w:strike/>
          <w:snapToGrid w:val="0"/>
          <w:color w:val="auto"/>
          <w:kern w:val="0"/>
          <w:highlight w:val="none"/>
        </w:rPr>
      </w:pPr>
      <w:r>
        <w:rPr>
          <w:rFonts w:hint="eastAsia" w:ascii="宋体" w:hAnsi="宋体" w:eastAsia="宋体" w:cs="宋体"/>
          <w:b/>
          <w:snapToGrid w:val="0"/>
          <w:color w:val="auto"/>
          <w:kern w:val="0"/>
          <w:highlight w:val="none"/>
          <w:lang w:val="en-US" w:eastAsia="zh-CN"/>
        </w:rPr>
        <w:t>9</w:t>
      </w:r>
      <w:r>
        <w:rPr>
          <w:rFonts w:hint="eastAsia" w:ascii="宋体" w:hAnsi="宋体" w:eastAsia="宋体" w:cs="宋体"/>
          <w:b/>
          <w:snapToGrid w:val="0"/>
          <w:color w:val="auto"/>
          <w:kern w:val="0"/>
          <w:highlight w:val="none"/>
        </w:rPr>
        <w:t>．安全防护</w:t>
      </w:r>
    </w:p>
    <w:p w14:paraId="1B1FD598">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监理人应按照安全监理有关规定，采取严格、科学的安全防护措施，确保监理人员人身安全，承担由于自身安全防护措施不力所造成的安全事故责任和发生的费用。</w:t>
      </w:r>
    </w:p>
    <w:p w14:paraId="37AEF86A">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0AAB55E2">
      <w:pPr>
        <w:shd w:val="clear" w:color="auto" w:fill="auto"/>
        <w:wordWrap w:val="0"/>
        <w:adjustRightInd w:val="0"/>
        <w:snapToGrid w:val="0"/>
        <w:spacing w:line="440" w:lineRule="exact"/>
        <w:ind w:firstLine="482" w:firstLineChars="200"/>
        <w:rPr>
          <w:rFonts w:hint="eastAsia" w:ascii="宋体" w:hAnsi="宋体" w:eastAsia="宋体" w:cs="宋体"/>
          <w:strike/>
          <w:snapToGrid w:val="0"/>
          <w:color w:val="auto"/>
          <w:kern w:val="0"/>
          <w:highlight w:val="none"/>
        </w:rPr>
      </w:pPr>
      <w:r>
        <w:rPr>
          <w:rFonts w:hint="eastAsia" w:ascii="宋体" w:hAnsi="宋体" w:eastAsia="宋体" w:cs="宋体"/>
          <w:b/>
          <w:snapToGrid w:val="0"/>
          <w:color w:val="auto"/>
          <w:kern w:val="0"/>
          <w:highlight w:val="none"/>
        </w:rPr>
        <w:t>1</w:t>
      </w:r>
      <w:r>
        <w:rPr>
          <w:rFonts w:hint="eastAsia" w:ascii="宋体" w:hAnsi="宋体" w:eastAsia="宋体" w:cs="宋体"/>
          <w:b/>
          <w:snapToGrid w:val="0"/>
          <w:color w:val="auto"/>
          <w:kern w:val="0"/>
          <w:highlight w:val="none"/>
          <w:lang w:val="en-US" w:eastAsia="zh-CN"/>
        </w:rPr>
        <w:t>0</w:t>
      </w:r>
      <w:r>
        <w:rPr>
          <w:rFonts w:hint="eastAsia" w:ascii="宋体" w:hAnsi="宋体" w:eastAsia="宋体" w:cs="宋体"/>
          <w:b/>
          <w:snapToGrid w:val="0"/>
          <w:color w:val="auto"/>
          <w:kern w:val="0"/>
          <w:highlight w:val="none"/>
        </w:rPr>
        <w:t>．接受监督</w:t>
      </w:r>
    </w:p>
    <w:p w14:paraId="19E5A1B5">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监理人应严格按照法律、法规以及</w:t>
      </w:r>
      <w:r>
        <w:rPr>
          <w:rFonts w:hint="eastAsia" w:ascii="宋体" w:hAnsi="宋体" w:eastAsia="宋体" w:cs="宋体"/>
          <w:bCs/>
          <w:snapToGrid w:val="0"/>
          <w:color w:val="auto"/>
          <w:kern w:val="0"/>
          <w:highlight w:val="none"/>
        </w:rPr>
        <w:t>《建设工程监理规范》（GB/T 50319—2013）有关规定实施监理，同时须</w:t>
      </w:r>
      <w:r>
        <w:rPr>
          <w:rFonts w:hint="eastAsia" w:ascii="宋体" w:hAnsi="宋体" w:eastAsia="宋体" w:cs="宋体"/>
          <w:snapToGrid w:val="0"/>
          <w:color w:val="auto"/>
          <w:kern w:val="0"/>
          <w:highlight w:val="none"/>
        </w:rPr>
        <w:t>服从委托人以及建设行政主管部门对监理工作全方位的监督，及时将监理大纲、监理规划、监理实施细则等监理文件报委托人审查备案。</w:t>
      </w:r>
    </w:p>
    <w:p w14:paraId="10E8CB09">
      <w:pPr>
        <w:shd w:val="clear" w:color="auto" w:fill="auto"/>
        <w:wordWrap w:val="0"/>
        <w:adjustRightInd w:val="0"/>
        <w:snapToGrid w:val="0"/>
        <w:spacing w:line="440" w:lineRule="exact"/>
        <w:ind w:firstLine="560"/>
        <w:rPr>
          <w:rFonts w:hint="eastAsia" w:ascii="宋体" w:hAnsi="宋体" w:eastAsia="宋体" w:cs="宋体"/>
          <w:bCs/>
          <w:snapToGrid w:val="0"/>
          <w:color w:val="auto"/>
          <w:kern w:val="0"/>
          <w:highlight w:val="none"/>
        </w:rPr>
      </w:pPr>
    </w:p>
    <w:p w14:paraId="4CF3F817">
      <w:pPr>
        <w:shd w:val="clear" w:color="auto" w:fill="auto"/>
        <w:wordWrap w:val="0"/>
        <w:adjustRightInd w:val="0"/>
        <w:snapToGrid w:val="0"/>
        <w:spacing w:line="440" w:lineRule="exact"/>
        <w:ind w:firstLine="560"/>
        <w:rPr>
          <w:rFonts w:hint="eastAsia" w:ascii="宋体" w:hAnsi="宋体" w:eastAsia="宋体" w:cs="宋体"/>
          <w:bCs/>
          <w:snapToGrid w:val="0"/>
          <w:color w:val="auto"/>
          <w:kern w:val="0"/>
          <w:highlight w:val="none"/>
        </w:rPr>
      </w:pPr>
      <w:r>
        <w:rPr>
          <w:rFonts w:hint="eastAsia" w:ascii="宋体" w:hAnsi="宋体" w:eastAsia="宋体" w:cs="宋体"/>
          <w:b/>
          <w:snapToGrid w:val="0"/>
          <w:color w:val="auto"/>
          <w:kern w:val="0"/>
          <w:highlight w:val="none"/>
        </w:rPr>
        <w:t>1</w:t>
      </w:r>
      <w:r>
        <w:rPr>
          <w:rFonts w:hint="eastAsia" w:ascii="宋体" w:hAnsi="宋体" w:eastAsia="宋体" w:cs="宋体"/>
          <w:b/>
          <w:snapToGrid w:val="0"/>
          <w:color w:val="auto"/>
          <w:kern w:val="0"/>
          <w:highlight w:val="none"/>
          <w:lang w:val="en-US" w:eastAsia="zh-CN"/>
        </w:rPr>
        <w:t>1</w:t>
      </w:r>
      <w:r>
        <w:rPr>
          <w:rFonts w:hint="eastAsia" w:ascii="宋体" w:hAnsi="宋体" w:eastAsia="宋体" w:cs="宋体"/>
          <w:b/>
          <w:snapToGrid w:val="0"/>
          <w:color w:val="auto"/>
          <w:kern w:val="0"/>
          <w:highlight w:val="none"/>
        </w:rPr>
        <w:t>．监理档案移交</w:t>
      </w:r>
    </w:p>
    <w:p w14:paraId="70401047">
      <w:pPr>
        <w:shd w:val="clear" w:color="auto" w:fill="auto"/>
        <w:wordWrap w:val="0"/>
        <w:adjustRightInd w:val="0"/>
        <w:snapToGrid w:val="0"/>
        <w:spacing w:line="440" w:lineRule="exact"/>
        <w:ind w:firstLine="56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工程竣工验收后，监理人应向委托人提交一式</w:t>
      </w:r>
      <w:r>
        <w:rPr>
          <w:rFonts w:hint="eastAsia" w:ascii="宋体" w:hAnsi="宋体" w:eastAsia="宋体" w:cs="宋体"/>
          <w:bCs/>
          <w:snapToGrid w:val="0"/>
          <w:color w:val="auto"/>
          <w:kern w:val="0"/>
          <w:highlight w:val="none"/>
          <w:u w:val="single"/>
        </w:rPr>
        <w:t xml:space="preserve"> 八 </w:t>
      </w:r>
      <w:r>
        <w:rPr>
          <w:rFonts w:hint="eastAsia" w:ascii="宋体" w:hAnsi="宋体" w:eastAsia="宋体" w:cs="宋体"/>
          <w:bCs/>
          <w:snapToGrid w:val="0"/>
          <w:color w:val="auto"/>
          <w:kern w:val="0"/>
          <w:highlight w:val="none"/>
        </w:rPr>
        <w:t>份符合《建设工程监理规范》（GB/T 50319—2013）</w:t>
      </w:r>
      <w:r>
        <w:rPr>
          <w:rFonts w:hint="eastAsia" w:ascii="宋体" w:hAnsi="宋体" w:eastAsia="宋体" w:cs="宋体"/>
          <w:bCs/>
          <w:snapToGrid w:val="0"/>
          <w:color w:val="auto"/>
          <w:kern w:val="0"/>
          <w:highlight w:val="none"/>
          <w:lang w:val="en-US" w:eastAsia="zh-CN"/>
        </w:rPr>
        <w:t>以及</w:t>
      </w:r>
      <w:r>
        <w:rPr>
          <w:rFonts w:hint="eastAsia" w:ascii="宋体" w:hAnsi="宋体" w:eastAsia="宋体" w:cs="宋体"/>
          <w:bCs/>
          <w:snapToGrid w:val="0"/>
          <w:color w:val="auto"/>
          <w:kern w:val="0"/>
          <w:highlight w:val="none"/>
        </w:rPr>
        <w:t>《韶关市城市建设档案管理办法》要求的监理档案。</w:t>
      </w:r>
    </w:p>
    <w:p w14:paraId="4EED05C3">
      <w:pPr>
        <w:shd w:val="clear" w:color="auto" w:fill="auto"/>
        <w:wordWrap w:val="0"/>
        <w:adjustRightInd w:val="0"/>
        <w:snapToGrid w:val="0"/>
        <w:spacing w:line="440" w:lineRule="exact"/>
        <w:ind w:firstLine="560"/>
        <w:rPr>
          <w:rFonts w:hint="eastAsia" w:ascii="宋体" w:hAnsi="宋体" w:eastAsia="宋体" w:cs="宋体"/>
          <w:bCs/>
          <w:snapToGrid w:val="0"/>
          <w:color w:val="auto"/>
          <w:kern w:val="0"/>
          <w:highlight w:val="none"/>
        </w:rPr>
      </w:pPr>
    </w:p>
    <w:p w14:paraId="4F22AD8E">
      <w:pPr>
        <w:shd w:val="clear" w:color="auto" w:fill="auto"/>
        <w:wordWrap w:val="0"/>
        <w:adjustRightInd w:val="0"/>
        <w:snapToGrid w:val="0"/>
        <w:spacing w:line="440" w:lineRule="exact"/>
        <w:ind w:firstLine="560"/>
        <w:rPr>
          <w:rFonts w:hint="eastAsia" w:ascii="宋体" w:hAnsi="宋体" w:eastAsia="宋体" w:cs="宋体"/>
          <w:strike/>
          <w:snapToGrid w:val="0"/>
          <w:color w:val="auto"/>
          <w:kern w:val="0"/>
          <w:highlight w:val="none"/>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2</w:t>
      </w:r>
      <w:r>
        <w:rPr>
          <w:rFonts w:hint="eastAsia" w:ascii="宋体" w:hAnsi="宋体" w:eastAsia="宋体" w:cs="宋体"/>
          <w:b/>
          <w:snapToGrid w:val="0"/>
          <w:color w:val="auto"/>
          <w:kern w:val="0"/>
          <w:highlight w:val="none"/>
        </w:rPr>
        <w:t>．不良行为处理</w:t>
      </w:r>
    </w:p>
    <w:p w14:paraId="6F1AA7A4">
      <w:pPr>
        <w:pStyle w:val="61"/>
        <w:shd w:val="clear" w:color="auto" w:fill="auto"/>
        <w:wordWrap w:val="0"/>
        <w:adjustRightInd w:val="0"/>
        <w:snapToGrid w:val="0"/>
        <w:spacing w:line="440" w:lineRule="exact"/>
        <w:ind w:firstLine="480" w:firstLineChars="200"/>
        <w:jc w:val="lef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监理人及其有关人员有下列行为之一的，委托人应及时报请建设行政主管部门查处。除按照有关法律、法规进行处罚外，不良行为将计入企业及有关个人诚信档案，并在韶关市住房和城乡建设管理局网站（http://zgj.sg.gov.cn）公布。</w:t>
      </w:r>
    </w:p>
    <w:p w14:paraId="7D661D51">
      <w:pPr>
        <w:pStyle w:val="61"/>
        <w:shd w:val="clear" w:color="auto" w:fill="auto"/>
        <w:wordWrap w:val="0"/>
        <w:adjustRightInd w:val="0"/>
        <w:snapToGrid w:val="0"/>
        <w:spacing w:line="440" w:lineRule="exact"/>
        <w:ind w:firstLine="480" w:firstLineChars="200"/>
        <w:jc w:val="lef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（1）转让监理业务的；</w:t>
      </w:r>
    </w:p>
    <w:p w14:paraId="715D3794">
      <w:pPr>
        <w:pStyle w:val="61"/>
        <w:shd w:val="clear" w:color="auto" w:fill="auto"/>
        <w:wordWrap w:val="0"/>
        <w:adjustRightInd w:val="0"/>
        <w:snapToGrid w:val="0"/>
        <w:spacing w:line="440" w:lineRule="exact"/>
        <w:ind w:firstLine="480" w:firstLineChars="200"/>
        <w:jc w:val="lef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（2）非原参加投标中标的总监理工程师负责组织监理或在实施过程中擅自更换总监理工程师的、项目监理机构的其他监理人员与中标文件确定的人员不相符的；</w:t>
      </w:r>
    </w:p>
    <w:p w14:paraId="2D7D2202">
      <w:pPr>
        <w:pStyle w:val="61"/>
        <w:shd w:val="clear" w:color="auto" w:fill="auto"/>
        <w:wordWrap w:val="0"/>
        <w:adjustRightInd w:val="0"/>
        <w:snapToGrid w:val="0"/>
        <w:spacing w:line="440" w:lineRule="exact"/>
        <w:ind w:firstLine="480" w:firstLineChars="200"/>
        <w:jc w:val="lef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（3）与建设单位、施工单位串通，签认虚假工程量或工程造价的；</w:t>
      </w:r>
    </w:p>
    <w:p w14:paraId="1DA65D8F">
      <w:pPr>
        <w:pStyle w:val="61"/>
        <w:shd w:val="clear" w:color="auto" w:fill="auto"/>
        <w:wordWrap w:val="0"/>
        <w:adjustRightInd w:val="0"/>
        <w:snapToGrid w:val="0"/>
        <w:spacing w:line="440" w:lineRule="exact"/>
        <w:ind w:firstLine="480" w:firstLineChars="200"/>
        <w:jc w:val="lef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（4）现场监理不到位的；</w:t>
      </w:r>
    </w:p>
    <w:p w14:paraId="64985B0E">
      <w:pPr>
        <w:pStyle w:val="61"/>
        <w:shd w:val="clear" w:color="auto" w:fill="auto"/>
        <w:wordWrap w:val="0"/>
        <w:adjustRightInd w:val="0"/>
        <w:snapToGrid w:val="0"/>
        <w:spacing w:line="440" w:lineRule="exact"/>
        <w:ind w:firstLine="480" w:firstLineChars="200"/>
        <w:jc w:val="lef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（5）非本人资格证书注册单位从事监理工作的；</w:t>
      </w:r>
    </w:p>
    <w:p w14:paraId="127B4FD9">
      <w:pPr>
        <w:pStyle w:val="61"/>
        <w:shd w:val="clear" w:color="auto" w:fill="auto"/>
        <w:wordWrap w:val="0"/>
        <w:adjustRightInd w:val="0"/>
        <w:snapToGrid w:val="0"/>
        <w:spacing w:line="440" w:lineRule="exact"/>
        <w:ind w:firstLine="480" w:firstLineChars="200"/>
        <w:jc w:val="lef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（6）总监理工程师承担超过三项工程监理任务的；</w:t>
      </w:r>
    </w:p>
    <w:p w14:paraId="31189301">
      <w:pPr>
        <w:pStyle w:val="61"/>
        <w:shd w:val="clear" w:color="auto" w:fill="auto"/>
        <w:wordWrap w:val="0"/>
        <w:adjustRightInd w:val="0"/>
        <w:snapToGrid w:val="0"/>
        <w:spacing w:line="440" w:lineRule="exact"/>
        <w:ind w:firstLine="480" w:firstLineChars="200"/>
        <w:jc w:val="lef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（7）违反有关法律、法规、规章规定的其它行为。</w:t>
      </w:r>
    </w:p>
    <w:p w14:paraId="23C6FB6A">
      <w:pPr>
        <w:pStyle w:val="54"/>
        <w:numPr>
          <w:ilvl w:val="0"/>
          <w:numId w:val="0"/>
        </w:numPr>
        <w:shd w:val="clear" w:color="auto" w:fill="auto"/>
        <w:wordWrap w:val="0"/>
        <w:adjustRightInd w:val="0"/>
        <w:snapToGrid w:val="0"/>
        <w:spacing w:line="440" w:lineRule="exact"/>
        <w:rPr>
          <w:rFonts w:hint="eastAsia" w:ascii="宋体" w:hAnsi="宋体" w:eastAsia="宋体" w:cs="宋体"/>
          <w:b/>
          <w:bCs/>
          <w:snapToGrid w:val="0"/>
          <w:color w:val="auto"/>
          <w:kern w:val="0"/>
          <w:highlight w:val="none"/>
          <w:lang w:val="en-US" w:eastAsia="zh-CN"/>
        </w:rPr>
      </w:pPr>
    </w:p>
    <w:p w14:paraId="40A6E5DB">
      <w:pPr>
        <w:pStyle w:val="54"/>
        <w:numPr>
          <w:ilvl w:val="0"/>
          <w:numId w:val="0"/>
        </w:num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14.</w:t>
      </w:r>
      <w:r>
        <w:rPr>
          <w:rFonts w:hint="eastAsia" w:ascii="宋体" w:hAnsi="宋体" w:eastAsia="宋体" w:cs="宋体"/>
          <w:b/>
          <w:bCs/>
          <w:snapToGrid w:val="0"/>
          <w:color w:val="auto"/>
          <w:kern w:val="0"/>
          <w:highlight w:val="none"/>
        </w:rPr>
        <w:t>其他事项</w:t>
      </w:r>
    </w:p>
    <w:p w14:paraId="19B06F76">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bookmarkStart w:id="338" w:name="_Toc28684"/>
      <w:bookmarkStart w:id="339" w:name="_Toc16389"/>
      <w:bookmarkStart w:id="340" w:name="_Toc16162"/>
      <w:bookmarkStart w:id="341" w:name="_Hlt69698713"/>
      <w:bookmarkStart w:id="342" w:name="_Toc19507"/>
      <w:bookmarkStart w:id="343" w:name="_Toc26868"/>
      <w:bookmarkStart w:id="344" w:name="_Toc16510"/>
      <w:bookmarkStart w:id="345" w:name="_Toc12639"/>
      <w:bookmarkStart w:id="346" w:name="_Hlt69698765"/>
      <w:bookmarkStart w:id="347" w:name="_Toc6731"/>
      <w:bookmarkStart w:id="348" w:name="_Toc7302"/>
      <w:bookmarkStart w:id="349" w:name="_Toc23491"/>
      <w:bookmarkStart w:id="350" w:name="_Toc24108"/>
      <w:bookmarkStart w:id="351" w:name="_Toc28918"/>
      <w:bookmarkStart w:id="352" w:name="_Hlt69698776"/>
      <w:r>
        <w:rPr>
          <w:rFonts w:hint="eastAsia" w:ascii="宋体" w:hAnsi="宋体" w:eastAsia="宋体" w:cs="宋体"/>
          <w:b/>
          <w:bCs/>
          <w:snapToGrid w:val="0"/>
          <w:color w:val="auto"/>
          <w:kern w:val="0"/>
          <w:sz w:val="24"/>
          <w:szCs w:val="24"/>
          <w:highlight w:val="none"/>
          <w:lang w:val="en-US" w:eastAsia="zh-CN" w:bidi="ar-SA"/>
        </w:rPr>
        <w:t xml:space="preserve">14.1 </w:t>
      </w:r>
      <w:r>
        <w:rPr>
          <w:rFonts w:hint="eastAsia" w:ascii="宋体" w:hAnsi="宋体" w:eastAsia="宋体" w:cs="宋体"/>
          <w:b w:val="0"/>
          <w:bCs w:val="0"/>
          <w:snapToGrid w:val="0"/>
          <w:color w:val="auto"/>
          <w:kern w:val="0"/>
          <w:sz w:val="24"/>
          <w:szCs w:val="24"/>
          <w:highlight w:val="none"/>
          <w:lang w:val="en-US" w:eastAsia="zh-CN" w:bidi="ar-SA"/>
        </w:rPr>
        <w:t>若由于监理单位的过错或失职，对委托人造成损失的，监理人必须依法承担赔偿责任。</w:t>
      </w:r>
    </w:p>
    <w:p w14:paraId="36E5B4E0">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14.2 </w:t>
      </w:r>
      <w:r>
        <w:rPr>
          <w:rFonts w:hint="eastAsia" w:ascii="宋体" w:hAnsi="宋体" w:eastAsia="宋体" w:cs="宋体"/>
          <w:b w:val="0"/>
          <w:bCs w:val="0"/>
          <w:snapToGrid w:val="0"/>
          <w:color w:val="auto"/>
          <w:kern w:val="0"/>
          <w:sz w:val="24"/>
          <w:szCs w:val="24"/>
          <w:highlight w:val="none"/>
          <w:lang w:val="en-US" w:eastAsia="zh-CN" w:bidi="ar-SA"/>
        </w:rPr>
        <w:t>本工程质量必须达到合格标准。若因监理人原因，工程在竣工验收或分部工程验收时没有达到此标准，监理人按监理合同价款（指监理结算价款）的10％向委托人缴纳质量违约金。</w:t>
      </w:r>
    </w:p>
    <w:p w14:paraId="349294FD">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14.3 </w:t>
      </w:r>
      <w:r>
        <w:rPr>
          <w:rFonts w:hint="eastAsia" w:ascii="宋体" w:hAnsi="宋体" w:eastAsia="宋体" w:cs="宋体"/>
          <w:b w:val="0"/>
          <w:bCs w:val="0"/>
          <w:snapToGrid w:val="0"/>
          <w:color w:val="auto"/>
          <w:kern w:val="0"/>
          <w:sz w:val="24"/>
          <w:szCs w:val="24"/>
          <w:highlight w:val="none"/>
          <w:lang w:val="en-US" w:eastAsia="zh-CN" w:bidi="ar-SA"/>
        </w:rPr>
        <w:t>监理人必须按投标文件中的服务承诺条款履行合同。</w:t>
      </w:r>
    </w:p>
    <w:p w14:paraId="4AA1B0E4">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14.4 </w:t>
      </w:r>
      <w:r>
        <w:rPr>
          <w:rFonts w:hint="eastAsia" w:ascii="宋体" w:hAnsi="宋体" w:eastAsia="宋体" w:cs="宋体"/>
          <w:b w:val="0"/>
          <w:bCs w:val="0"/>
          <w:snapToGrid w:val="0"/>
          <w:color w:val="auto"/>
          <w:kern w:val="0"/>
          <w:sz w:val="24"/>
          <w:szCs w:val="24"/>
          <w:highlight w:val="none"/>
          <w:lang w:val="en-US" w:eastAsia="zh-CN" w:bidi="ar-SA"/>
        </w:rPr>
        <w:t>监理人在监理期间应严格遵守国家、省、市有关防火、爆破和监理安全以及文明监理、深夜监理、环卫城管等规定，建立规章制度和防护措施。否则，由此造成的经济和法律责任，均由监理人负责。</w:t>
      </w:r>
    </w:p>
    <w:p w14:paraId="13A8C58F">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14.5 </w:t>
      </w:r>
      <w:r>
        <w:rPr>
          <w:rFonts w:hint="eastAsia" w:ascii="宋体" w:hAnsi="宋体" w:eastAsia="宋体" w:cs="宋体"/>
          <w:b w:val="0"/>
          <w:bCs w:val="0"/>
          <w:snapToGrid w:val="0"/>
          <w:color w:val="auto"/>
          <w:kern w:val="0"/>
          <w:sz w:val="24"/>
          <w:szCs w:val="24"/>
          <w:highlight w:val="none"/>
          <w:lang w:val="en-US" w:eastAsia="zh-CN" w:bidi="ar-SA"/>
        </w:rPr>
        <w:t>监理人应按安全监理的要求，采取严格科学的安全措施，确保监理安全和第三者的安全，承担由于自身安全措施不力所造成的事故责任和发生的费用。</w:t>
      </w:r>
    </w:p>
    <w:p w14:paraId="0054D492">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14.6 </w:t>
      </w:r>
      <w:r>
        <w:rPr>
          <w:rFonts w:hint="eastAsia" w:ascii="宋体" w:hAnsi="宋体" w:eastAsia="宋体" w:cs="宋体"/>
          <w:b w:val="0"/>
          <w:bCs w:val="0"/>
          <w:snapToGrid w:val="0"/>
          <w:color w:val="auto"/>
          <w:kern w:val="0"/>
          <w:sz w:val="24"/>
          <w:szCs w:val="24"/>
          <w:highlight w:val="none"/>
          <w:lang w:val="en-US" w:eastAsia="zh-CN" w:bidi="ar-SA"/>
        </w:rPr>
        <w:t>工程竣工验收后，监理人应向委托人提供符合现行《建设工程监理规范》（GB/t50319-2013）、《韶关市城市建设档案管理办法》及韶关市城市建设档案馆的要求（质量、数量），编制成册的监理档案资料（制作标准和相关要求按韶关市城市建设档案馆的有关规定执行），并承担档案涉及的所有费用。</w:t>
      </w:r>
    </w:p>
    <w:p w14:paraId="536899CA">
      <w:pPr>
        <w:shd w:val="clear" w:color="auto" w:fill="auto"/>
        <w:adjustRightInd w:val="0"/>
        <w:snapToGrid w:val="0"/>
        <w:spacing w:line="440" w:lineRule="exact"/>
        <w:ind w:firstLine="482" w:firstLineChars="200"/>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14.7 </w:t>
      </w:r>
      <w:r>
        <w:rPr>
          <w:rFonts w:hint="eastAsia" w:ascii="宋体" w:hAnsi="宋体" w:eastAsia="宋体" w:cs="宋体"/>
          <w:b w:val="0"/>
          <w:bCs w:val="0"/>
          <w:snapToGrid w:val="0"/>
          <w:color w:val="auto"/>
          <w:kern w:val="0"/>
          <w:sz w:val="24"/>
          <w:szCs w:val="24"/>
          <w:highlight w:val="none"/>
          <w:lang w:val="en-US" w:eastAsia="zh-CN" w:bidi="ar-SA"/>
        </w:rPr>
        <w:t>监理人须服从委托人及政府工程质量监督部门对监理工程全方位的监督，监理资料应及时报送委托人审查备案。</w:t>
      </w:r>
    </w:p>
    <w:p w14:paraId="24F168D3">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14.8</w:t>
      </w:r>
      <w:r>
        <w:rPr>
          <w:rFonts w:hint="eastAsia" w:ascii="宋体" w:hAnsi="宋体" w:eastAsia="宋体" w:cs="宋体"/>
          <w:b w:val="0"/>
          <w:bCs w:val="0"/>
          <w:snapToGrid w:val="0"/>
          <w:color w:val="auto"/>
          <w:kern w:val="0"/>
          <w:sz w:val="24"/>
          <w:szCs w:val="24"/>
          <w:highlight w:val="none"/>
          <w:lang w:val="en-US" w:eastAsia="zh-CN" w:bidi="ar-SA"/>
        </w:rPr>
        <w:t>监理人在施工过程中若发生现场签证时，按委托人签证管理办法执行。</w:t>
      </w:r>
    </w:p>
    <w:p w14:paraId="449FEF55">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14.9 </w:t>
      </w:r>
      <w:r>
        <w:rPr>
          <w:rFonts w:hint="eastAsia" w:ascii="宋体" w:hAnsi="宋体" w:eastAsia="宋体" w:cs="宋体"/>
          <w:b w:val="0"/>
          <w:bCs w:val="0"/>
          <w:snapToGrid w:val="0"/>
          <w:color w:val="auto"/>
          <w:kern w:val="0"/>
          <w:sz w:val="24"/>
          <w:szCs w:val="24"/>
          <w:highlight w:val="none"/>
          <w:lang w:val="en-US" w:eastAsia="zh-CN" w:bidi="ar-SA"/>
        </w:rPr>
        <w:t>招标文件、招标答疑书、投标文件和中标通知书是委托人与监理人双方签订的施工监理合同的主要组成部分，并与合同一样，具有相同的法律效力。如中标通知书发出后，发现监理人的投标文件中有与招标文件所述内容及要求不符的，按招标文件执行。</w:t>
      </w:r>
    </w:p>
    <w:p w14:paraId="69FC0148">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14.10 </w:t>
      </w:r>
      <w:r>
        <w:rPr>
          <w:rFonts w:hint="eastAsia" w:ascii="宋体" w:hAnsi="宋体" w:eastAsia="宋体" w:cs="宋体"/>
          <w:b w:val="0"/>
          <w:bCs w:val="0"/>
          <w:snapToGrid w:val="0"/>
          <w:color w:val="auto"/>
          <w:kern w:val="0"/>
          <w:sz w:val="24"/>
          <w:szCs w:val="24"/>
          <w:highlight w:val="none"/>
          <w:lang w:val="en-US" w:eastAsia="zh-CN" w:bidi="ar-SA"/>
        </w:rPr>
        <w:t>监理人若在韶关市无固定服务场所和固定专业负责人的，则在合同签订后尽快完成驻韶固定办公场所办理和安排固定项目负责人及其他相关监理人员驻韶办公。</w:t>
      </w:r>
    </w:p>
    <w:p w14:paraId="11A09393">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 xml:space="preserve">14.11 </w:t>
      </w:r>
      <w:r>
        <w:rPr>
          <w:rFonts w:hint="eastAsia" w:ascii="宋体" w:hAnsi="宋体" w:eastAsia="宋体" w:cs="宋体"/>
          <w:b w:val="0"/>
          <w:bCs w:val="0"/>
          <w:snapToGrid w:val="0"/>
          <w:color w:val="auto"/>
          <w:kern w:val="0"/>
          <w:sz w:val="24"/>
          <w:szCs w:val="24"/>
          <w:highlight w:val="none"/>
          <w:lang w:val="en-US" w:eastAsia="zh-CN" w:bidi="ar-SA"/>
        </w:rPr>
        <w:t>监理人拟派驻现场的监理机构组成人员数量须符合《广东省建设厅转发建设部关于印发&lt;房屋建筑工程施工旁站监理管理办法（试行）&gt;的通知》（粤建管（2002）97号文》关于工程项目监理人数配置要求。同时，监理人派驻到工程所在地进行监理服务的监理人员，应能够胜任监理合同约定的监理服务工作。发包人有权以书面形式要求监理人更换不能按照监理合同的约定进行监理服务的派驻人员。</w:t>
      </w:r>
    </w:p>
    <w:p w14:paraId="5F903C10">
      <w:pPr>
        <w:shd w:val="clear" w:color="auto" w:fill="auto"/>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14.12</w:t>
      </w:r>
      <w:r>
        <w:rPr>
          <w:rFonts w:hint="eastAsia" w:ascii="宋体" w:hAnsi="宋体" w:eastAsia="宋体" w:cs="宋体"/>
          <w:b w:val="0"/>
          <w:bCs w:val="0"/>
          <w:snapToGrid w:val="0"/>
          <w:color w:val="auto"/>
          <w:kern w:val="0"/>
          <w:sz w:val="24"/>
          <w:szCs w:val="24"/>
          <w:highlight w:val="none"/>
          <w:lang w:val="en-US" w:eastAsia="zh-CN" w:bidi="ar-SA"/>
        </w:rPr>
        <w:t>监理单位应在开工前向业主方提交派驻现场监理人员名单。</w:t>
      </w:r>
    </w:p>
    <w:p w14:paraId="54FC9757">
      <w:pPr>
        <w:shd w:val="clear" w:color="auto" w:fill="auto"/>
        <w:rPr>
          <w:rFonts w:hint="eastAsia" w:ascii="宋体" w:hAnsi="宋体" w:eastAsia="宋体" w:cs="宋体"/>
          <w:color w:val="auto"/>
          <w:highlight w:val="none"/>
        </w:rPr>
      </w:pPr>
    </w:p>
    <w:p w14:paraId="62D5B344">
      <w:pPr>
        <w:pStyle w:val="10"/>
        <w:shd w:val="clear" w:color="auto" w:fill="auto"/>
        <w:tabs>
          <w:tab w:val="left" w:pos="885"/>
        </w:tabs>
        <w:wordWrap w:val="0"/>
        <w:autoSpaceDE/>
        <w:autoSpaceDN/>
        <w:snapToGrid w:val="0"/>
        <w:spacing w:line="440" w:lineRule="exact"/>
        <w:ind w:left="885" w:hanging="885"/>
        <w:jc w:val="center"/>
        <w:rPr>
          <w:rFonts w:hint="eastAsia" w:ascii="宋体" w:hAnsi="宋体" w:eastAsia="宋体" w:cs="宋体"/>
          <w:b/>
          <w:snapToGrid w:val="0"/>
          <w:color w:val="auto"/>
          <w:highlight w:val="none"/>
        </w:rPr>
      </w:pPr>
      <w:bookmarkStart w:id="353" w:name="_Toc15860"/>
      <w:r>
        <w:rPr>
          <w:rFonts w:hint="eastAsia" w:ascii="宋体" w:hAnsi="宋体" w:eastAsia="宋体" w:cs="宋体"/>
          <w:b/>
          <w:snapToGrid w:val="0"/>
          <w:color w:val="auto"/>
          <w:highlight w:val="none"/>
          <w:lang w:val="en-US" w:eastAsia="zh-CN"/>
        </w:rPr>
        <w:br w:type="page"/>
      </w:r>
      <w:bookmarkEnd w:id="353"/>
      <w:bookmarkStart w:id="354" w:name="_Toc4502"/>
      <w:r>
        <w:rPr>
          <w:rFonts w:hint="eastAsia" w:ascii="宋体" w:hAnsi="宋体" w:eastAsia="宋体" w:cs="宋体"/>
          <w:b/>
          <w:snapToGrid w:val="0"/>
          <w:color w:val="auto"/>
          <w:sz w:val="24"/>
          <w:highlight w:val="none"/>
        </w:rPr>
        <w:t>第三章</w:t>
      </w:r>
      <w:bookmarkStart w:id="355" w:name="_Hlt87793831"/>
      <w:bookmarkEnd w:id="355"/>
      <w:r>
        <w:rPr>
          <w:rFonts w:hint="eastAsia" w:ascii="宋体" w:hAnsi="宋体" w:eastAsia="宋体" w:cs="宋体"/>
          <w:b/>
          <w:snapToGrid w:val="0"/>
          <w:color w:val="auto"/>
          <w:sz w:val="24"/>
          <w:highlight w:val="none"/>
        </w:rPr>
        <w:t xml:space="preserve"> 拟签订合同的主要条款</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4"/>
      <w:bookmarkStart w:id="356" w:name="_Toc2688"/>
      <w:bookmarkStart w:id="357" w:name="_Toc326916629"/>
      <w:bookmarkStart w:id="358" w:name="_Toc322793288"/>
    </w:p>
    <w:bookmarkEnd w:id="356"/>
    <w:bookmarkEnd w:id="357"/>
    <w:bookmarkEnd w:id="358"/>
    <w:p w14:paraId="7690828F">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p>
    <w:p w14:paraId="1C45287B">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1．现场办公条件</w:t>
      </w:r>
    </w:p>
    <w:p w14:paraId="302B5349">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w:t>
      </w:r>
      <w:r>
        <w:rPr>
          <w:rFonts w:hint="eastAsia" w:ascii="宋体" w:hAnsi="宋体" w:eastAsia="宋体" w:cs="宋体"/>
          <w:snapToGrid w:val="0"/>
          <w:color w:val="auto"/>
          <w:kern w:val="0"/>
          <w:highlight w:val="none"/>
        </w:rPr>
        <w:t xml:space="preserve"> 监理人的办公、休息场所不得与承包人混用。所需场所、水电网络接入由委托人征求监理人意见后，与承包人协调明确，但费用（若有）由监理人支付。监理人所需场所的数量及其面积应与工程规模、特点相匹配，并应满足监理工作正常运作的需要。</w:t>
      </w:r>
    </w:p>
    <w:p w14:paraId="53654CF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1.2</w:t>
      </w:r>
      <w:r>
        <w:rPr>
          <w:rFonts w:hint="eastAsia" w:ascii="宋体" w:hAnsi="宋体" w:eastAsia="宋体" w:cs="宋体"/>
          <w:snapToGrid w:val="0"/>
          <w:color w:val="auto"/>
          <w:kern w:val="0"/>
          <w:highlight w:val="none"/>
        </w:rPr>
        <w:t xml:space="preserve"> 监理人应按照工程需要，自行配备以下的设施、设备：</w:t>
      </w:r>
    </w:p>
    <w:p w14:paraId="28EF961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（1）办公桌椅、文件柜、床铺被褥、供冷采暖设施等办公和生活设施；</w:t>
      </w:r>
    </w:p>
    <w:p w14:paraId="2BA0D859">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（2）电脑、投影、打印机、复印机、传真机等办公设备及其耗材；</w:t>
      </w:r>
    </w:p>
    <w:p w14:paraId="5BE6CD94">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（3）拍摄、录音、录像等取证器材；</w:t>
      </w:r>
    </w:p>
    <w:p w14:paraId="72C3B209">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（4）信息化管理软件或系统；</w:t>
      </w:r>
    </w:p>
    <w:p w14:paraId="28FD9B7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（5）通信和交通工具；</w:t>
      </w:r>
    </w:p>
    <w:p w14:paraId="3BE31814">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（6）本工程必备的规范标准、图集等书籍手册；</w:t>
      </w:r>
    </w:p>
    <w:p w14:paraId="7FF8DCBA">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（7）安全帽、安全鞋、安全手套、安全服装、手电筒等安全防护用具；</w:t>
      </w:r>
    </w:p>
    <w:p w14:paraId="717D806D">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（8）</w:t>
      </w:r>
      <w:r>
        <w:rPr>
          <w:rFonts w:hint="eastAsia" w:ascii="宋体" w:hAnsi="宋体" w:eastAsia="宋体" w:cs="宋体"/>
          <w:snapToGrid w:val="0"/>
          <w:color w:val="auto"/>
          <w:kern w:val="0"/>
          <w:highlight w:val="none"/>
          <w:u w:val="single"/>
          <w:lang w:val="en-US" w:eastAsia="zh-CN"/>
        </w:rPr>
        <w:t xml:space="preserve">打卡 / </w:t>
      </w:r>
      <w:r>
        <w:rPr>
          <w:rFonts w:hint="eastAsia" w:ascii="宋体" w:hAnsi="宋体" w:eastAsia="宋体" w:cs="宋体"/>
          <w:snapToGrid w:val="0"/>
          <w:color w:val="auto"/>
          <w:kern w:val="0"/>
          <w:highlight w:val="none"/>
          <w:u w:val="single"/>
        </w:rPr>
        <w:t>指纹识别</w:t>
      </w:r>
      <w:r>
        <w:rPr>
          <w:rFonts w:hint="eastAsia" w:ascii="宋体" w:hAnsi="宋体" w:eastAsia="宋体" w:cs="宋体"/>
          <w:snapToGrid w:val="0"/>
          <w:color w:val="auto"/>
          <w:kern w:val="0"/>
          <w:highlight w:val="none"/>
          <w:u w:val="single"/>
          <w:lang w:val="en-US" w:eastAsia="zh-CN"/>
        </w:rPr>
        <w:t xml:space="preserve"> / </w:t>
      </w:r>
      <w:r>
        <w:rPr>
          <w:rFonts w:hint="eastAsia" w:ascii="宋体" w:hAnsi="宋体" w:eastAsia="宋体" w:cs="宋体"/>
          <w:snapToGrid w:val="0"/>
          <w:color w:val="auto"/>
          <w:kern w:val="0"/>
          <w:highlight w:val="none"/>
          <w:u w:val="single"/>
        </w:rPr>
        <w:t xml:space="preserve">人脸识别 </w:t>
      </w:r>
      <w:r>
        <w:rPr>
          <w:rFonts w:hint="eastAsia" w:ascii="宋体" w:hAnsi="宋体" w:eastAsia="宋体" w:cs="宋体"/>
          <w:snapToGrid w:val="0"/>
          <w:color w:val="auto"/>
          <w:kern w:val="0"/>
          <w:highlight w:val="none"/>
        </w:rPr>
        <w:t>考勤设备考勤设备；</w:t>
      </w:r>
    </w:p>
    <w:p w14:paraId="6E059621">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9</w:t>
      </w:r>
      <w:r>
        <w:rPr>
          <w:rFonts w:hint="eastAsia" w:ascii="宋体" w:hAnsi="宋体" w:eastAsia="宋体" w:cs="宋体"/>
          <w:snapToGrid w:val="0"/>
          <w:color w:val="auto"/>
          <w:kern w:val="0"/>
          <w:highlight w:val="none"/>
        </w:rPr>
        <w:t>）配备满足用于监理现场抽检所用的试验设备和仪器；</w:t>
      </w:r>
    </w:p>
    <w:p w14:paraId="3DB1E5F6">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lang w:val="en-US" w:eastAsia="zh-CN"/>
        </w:rPr>
        <w:t>10</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其他与监理工作有关的设备与用品。</w:t>
      </w:r>
    </w:p>
    <w:p w14:paraId="0EFFF8A4">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26F1A981">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2．酬金</w:t>
      </w:r>
    </w:p>
    <w:p w14:paraId="4DB6D118">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2.1</w:t>
      </w:r>
      <w:r>
        <w:rPr>
          <w:rFonts w:hint="eastAsia" w:ascii="宋体" w:hAnsi="宋体" w:eastAsia="宋体" w:cs="宋体"/>
          <w:snapToGrid w:val="0"/>
          <w:color w:val="auto"/>
          <w:kern w:val="0"/>
          <w:highlight w:val="none"/>
        </w:rPr>
        <w:t xml:space="preserve"> “酬金”指监理人履行本合同义务，委托人按照本合同约定（包括按照合同约定进行的变更和调整）给付监理人的金额。</w:t>
      </w:r>
    </w:p>
    <w:p w14:paraId="27D8DAA1">
      <w:pPr>
        <w:keepNext w:val="0"/>
        <w:keepLines w:val="0"/>
        <w:widowControl w:val="0"/>
        <w:suppressLineNumbers w:val="0"/>
        <w:shd w:val="clear" w:color="auto" w:fill="auto"/>
        <w:wordWrap w:val="0"/>
        <w:adjustRightInd w:val="0"/>
        <w:snapToGrid w:val="0"/>
        <w:spacing w:before="0" w:beforeAutospacing="0" w:after="0" w:afterAutospacing="0" w:line="440" w:lineRule="exact"/>
        <w:ind w:left="0" w:right="0" w:firstLine="482" w:firstLineChars="200"/>
        <w:jc w:val="both"/>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2.2</w:t>
      </w:r>
      <w:r>
        <w:rPr>
          <w:rFonts w:hint="eastAsia" w:ascii="宋体" w:hAnsi="宋体" w:eastAsia="宋体" w:cs="宋体"/>
          <w:snapToGrid w:val="0"/>
          <w:color w:val="auto"/>
          <w:kern w:val="0"/>
          <w:highlight w:val="none"/>
        </w:rPr>
        <w:t xml:space="preserve"> 酬金结算原则：</w:t>
      </w:r>
      <w:r>
        <w:rPr>
          <w:rFonts w:hint="eastAsia" w:ascii="宋体" w:hAnsi="宋体" w:eastAsia="宋体" w:cs="宋体"/>
          <w:snapToGrid w:val="0"/>
          <w:color w:val="auto"/>
          <w:kern w:val="0"/>
          <w:sz w:val="24"/>
          <w:szCs w:val="20"/>
          <w:highlight w:val="none"/>
          <w:u w:val="single"/>
          <w:lang w:val="en-US" w:eastAsia="zh-CN"/>
        </w:rPr>
        <w:t>监理服务费结算价在项目的合同价范围内按实结算，即：监理服务费结算以施工结算价为基数乘以监理人中标取费费率计算的结算价进行结算，其中施工最终结算价以韶关市武江区财政局投资评审中心审定为准，且最终监理服务费结算价不得超过合同价，即中标价</w:t>
      </w:r>
      <w:r>
        <w:rPr>
          <w:rFonts w:hint="eastAsia" w:ascii="宋体" w:hAnsi="宋体" w:eastAsia="宋体" w:cs="宋体"/>
          <w:snapToGrid w:val="0"/>
          <w:color w:val="auto"/>
          <w:kern w:val="0"/>
          <w:sz w:val="24"/>
          <w:szCs w:val="20"/>
          <w:highlight w:val="none"/>
          <w:lang w:val="en-US" w:eastAsia="zh-CN"/>
        </w:rPr>
        <w:t>。</w:t>
      </w:r>
    </w:p>
    <w:p w14:paraId="3BB6E3EA">
      <w:pPr>
        <w:pStyle w:val="40"/>
        <w:shd w:val="clear" w:color="auto" w:fill="auto"/>
        <w:jc w:val="left"/>
        <w:rPr>
          <w:rFonts w:hint="eastAsia" w:ascii="宋体" w:hAnsi="宋体" w:eastAsia="宋体" w:cs="宋体"/>
          <w:color w:val="auto"/>
          <w:highlight w:val="none"/>
        </w:rPr>
      </w:pPr>
    </w:p>
    <w:p w14:paraId="1CA3C704">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3．酬金发票</w:t>
      </w:r>
    </w:p>
    <w:p w14:paraId="3394E112">
      <w:pPr>
        <w:shd w:val="clear" w:color="auto" w:fill="auto"/>
        <w:wordWrap w:val="0"/>
        <w:adjustRightInd w:val="0"/>
        <w:snapToGrid w:val="0"/>
        <w:spacing w:line="440" w:lineRule="exact"/>
        <w:ind w:firstLine="480" w:firstLineChars="200"/>
        <w:rPr>
          <w:rFonts w:hint="eastAsia" w:ascii="宋体" w:hAnsi="宋体" w:eastAsia="宋体" w:cs="宋体"/>
          <w:b w:val="0"/>
          <w:bCs w:val="0"/>
          <w:snapToGrid w:val="0"/>
          <w:color w:val="auto"/>
          <w:kern w:val="0"/>
          <w:highlight w:val="none"/>
        </w:rPr>
      </w:pPr>
      <w:r>
        <w:rPr>
          <w:rFonts w:hint="eastAsia" w:ascii="宋体" w:hAnsi="宋体" w:eastAsia="宋体" w:cs="宋体"/>
          <w:b w:val="0"/>
          <w:bCs w:val="0"/>
          <w:snapToGrid w:val="0"/>
          <w:color w:val="auto"/>
          <w:kern w:val="0"/>
          <w:highlight w:val="none"/>
        </w:rPr>
        <w:t>委托人每次支付酬金前，监理人均应提供有效的增值税</w:t>
      </w:r>
      <w:r>
        <w:rPr>
          <w:rFonts w:hint="eastAsia" w:ascii="宋体" w:hAnsi="宋体" w:eastAsia="宋体" w:cs="宋体"/>
          <w:b w:val="0"/>
          <w:bCs w:val="0"/>
          <w:snapToGrid w:val="0"/>
          <w:color w:val="auto"/>
          <w:kern w:val="0"/>
          <w:highlight w:val="none"/>
          <w:u w:val="single"/>
          <w:lang w:val="en-US" w:eastAsia="zh-CN"/>
        </w:rPr>
        <w:t xml:space="preserve"> </w:t>
      </w:r>
      <w:r>
        <w:rPr>
          <w:rFonts w:hint="eastAsia" w:ascii="宋体" w:hAnsi="宋体" w:eastAsia="宋体" w:cs="宋体"/>
          <w:snapToGrid w:val="0"/>
          <w:color w:val="auto"/>
          <w:kern w:val="0"/>
          <w:highlight w:val="none"/>
          <w:u w:val="single"/>
          <w:lang w:val="en-US" w:eastAsia="zh-CN"/>
        </w:rPr>
        <w:t>普通/专用</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b w:val="0"/>
          <w:bCs w:val="0"/>
          <w:snapToGrid w:val="0"/>
          <w:color w:val="auto"/>
          <w:kern w:val="0"/>
          <w:highlight w:val="none"/>
        </w:rPr>
        <w:t xml:space="preserve">发票。如果监理人无法提供符合要求的酬金发票，由此造成的相应损失由监理人承担。 </w:t>
      </w:r>
    </w:p>
    <w:p w14:paraId="1F26364E">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p>
    <w:p w14:paraId="19D6A831">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4．违约责任</w:t>
      </w:r>
    </w:p>
    <w:p w14:paraId="6BB81969">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4.1</w:t>
      </w:r>
      <w:r>
        <w:rPr>
          <w:rFonts w:hint="eastAsia" w:ascii="宋体" w:hAnsi="宋体" w:eastAsia="宋体" w:cs="宋体"/>
          <w:snapToGrid w:val="0"/>
          <w:color w:val="auto"/>
          <w:kern w:val="0"/>
          <w:highlight w:val="none"/>
        </w:rPr>
        <w:t xml:space="preserve"> 监理人的违约责任</w:t>
      </w:r>
    </w:p>
    <w:p w14:paraId="6F09A1C3">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监理人未履行本合同义务的，应承担相应的责任。</w:t>
      </w:r>
    </w:p>
    <w:p w14:paraId="1720489A">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4.1.1</w:t>
      </w:r>
      <w:r>
        <w:rPr>
          <w:rFonts w:hint="eastAsia" w:ascii="宋体" w:hAnsi="宋体" w:eastAsia="宋体" w:cs="宋体"/>
          <w:snapToGrid w:val="0"/>
          <w:color w:val="auto"/>
          <w:kern w:val="0"/>
          <w:highlight w:val="none"/>
        </w:rPr>
        <w:t xml:space="preserve"> 因监理人违反本合同约定给委托人造成损失的，监理人应当赔偿委托人损失。</w:t>
      </w:r>
    </w:p>
    <w:p w14:paraId="3D9AC4A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监理人赔偿金额按下列方法确定：</w:t>
      </w:r>
      <w:r>
        <w:rPr>
          <w:rFonts w:hint="eastAsia" w:ascii="宋体" w:hAnsi="宋体" w:eastAsia="宋体" w:cs="宋体"/>
          <w:snapToGrid w:val="0"/>
          <w:color w:val="auto"/>
          <w:kern w:val="0"/>
          <w:highlight w:val="none"/>
          <w:u w:val="single"/>
        </w:rPr>
        <w:t>按本章第8条执行</w:t>
      </w:r>
      <w:r>
        <w:rPr>
          <w:rFonts w:hint="eastAsia" w:ascii="宋体" w:hAnsi="宋体" w:eastAsia="宋体" w:cs="宋体"/>
          <w:snapToGrid w:val="0"/>
          <w:color w:val="auto"/>
          <w:kern w:val="0"/>
          <w:highlight w:val="none"/>
        </w:rPr>
        <w:t>。</w:t>
      </w:r>
    </w:p>
    <w:p w14:paraId="68F075E2">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监理人承担部分赔偿责任的，其承担赔偿金额由双方协商确定。</w:t>
      </w:r>
    </w:p>
    <w:p w14:paraId="374DFBD6">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4.1.2</w:t>
      </w:r>
      <w:r>
        <w:rPr>
          <w:rFonts w:hint="eastAsia" w:ascii="宋体" w:hAnsi="宋体" w:eastAsia="宋体" w:cs="宋体"/>
          <w:snapToGrid w:val="0"/>
          <w:color w:val="auto"/>
          <w:kern w:val="0"/>
          <w:highlight w:val="none"/>
        </w:rPr>
        <w:t xml:space="preserve"> 监理人向委托人的索赔不成立时，监理人应赔偿委托人由此发生的费用。</w:t>
      </w:r>
    </w:p>
    <w:p w14:paraId="0AD27559">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w:t>
      </w:r>
      <w:r>
        <w:rPr>
          <w:rFonts w:hint="eastAsia" w:ascii="宋体" w:hAnsi="宋体" w:eastAsia="宋体" w:cs="宋体"/>
          <w:snapToGrid w:val="0"/>
          <w:color w:val="auto"/>
          <w:kern w:val="0"/>
          <w:highlight w:val="none"/>
        </w:rPr>
        <w:t xml:space="preserve"> 委托人的违约责任</w:t>
      </w:r>
    </w:p>
    <w:p w14:paraId="3D53F601">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委托人未履行本合同义务的，应承担相应的责任。</w:t>
      </w:r>
    </w:p>
    <w:p w14:paraId="43AAE899">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4.2.1</w:t>
      </w:r>
      <w:r>
        <w:rPr>
          <w:rFonts w:hint="eastAsia" w:ascii="宋体" w:hAnsi="宋体" w:eastAsia="宋体" w:cs="宋体"/>
          <w:snapToGrid w:val="0"/>
          <w:color w:val="auto"/>
          <w:kern w:val="0"/>
          <w:highlight w:val="none"/>
        </w:rPr>
        <w:t xml:space="preserve"> 委托人违反本合同约定造成监理人损失的，委托人应予以赔偿。</w:t>
      </w:r>
    </w:p>
    <w:p w14:paraId="6450CE70">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4.2.2</w:t>
      </w:r>
      <w:r>
        <w:rPr>
          <w:rFonts w:hint="eastAsia" w:ascii="宋体" w:hAnsi="宋体" w:eastAsia="宋体" w:cs="宋体"/>
          <w:snapToGrid w:val="0"/>
          <w:color w:val="auto"/>
          <w:kern w:val="0"/>
          <w:highlight w:val="none"/>
        </w:rPr>
        <w:t xml:space="preserve"> 委托人向监理人的索赔不成立时，应赔偿监理人由此引起的费用。</w:t>
      </w:r>
    </w:p>
    <w:p w14:paraId="29070E60">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4.3</w:t>
      </w:r>
      <w:r>
        <w:rPr>
          <w:rFonts w:hint="eastAsia" w:ascii="宋体" w:hAnsi="宋体" w:eastAsia="宋体" w:cs="宋体"/>
          <w:snapToGrid w:val="0"/>
          <w:color w:val="auto"/>
          <w:kern w:val="0"/>
          <w:highlight w:val="none"/>
        </w:rPr>
        <w:t xml:space="preserve"> 除外责任</w:t>
      </w:r>
    </w:p>
    <w:p w14:paraId="1928069B">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因非监理人的原因，且监理人无过错，发生工程质量事故、安全事故、工期延误等造成的损失，监理人不承担赔偿责任。</w:t>
      </w:r>
    </w:p>
    <w:p w14:paraId="712836D2">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因不可抗力导致本合同全部或部分不能履行时，双方各自承担其因此而造成的损失、损害。</w:t>
      </w:r>
    </w:p>
    <w:p w14:paraId="1DBAA0BD">
      <w:pPr>
        <w:shd w:val="clear" w:color="auto" w:fill="auto"/>
        <w:wordWrap w:val="0"/>
        <w:adjustRightInd w:val="0"/>
        <w:snapToGrid w:val="0"/>
        <w:spacing w:line="440" w:lineRule="exact"/>
        <w:ind w:firstLine="560"/>
        <w:rPr>
          <w:rFonts w:hint="eastAsia" w:ascii="宋体" w:hAnsi="宋体" w:eastAsia="宋体" w:cs="宋体"/>
          <w:snapToGrid w:val="0"/>
          <w:color w:val="auto"/>
          <w:kern w:val="0"/>
          <w:highlight w:val="none"/>
        </w:rPr>
      </w:pPr>
    </w:p>
    <w:p w14:paraId="08AD70D6">
      <w:pPr>
        <w:shd w:val="clear" w:color="auto" w:fill="auto"/>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5．支付</w:t>
      </w:r>
    </w:p>
    <w:p w14:paraId="367F6493">
      <w:pPr>
        <w:shd w:val="clear" w:color="auto" w:fill="auto"/>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ascii="宋体" w:hAnsi="宋体" w:eastAsia="宋体" w:cs="宋体"/>
          <w:snapToGrid w:val="0"/>
          <w:color w:val="auto"/>
          <w:kern w:val="0"/>
          <w:sz w:val="24"/>
          <w:szCs w:val="24"/>
          <w:highlight w:val="none"/>
        </w:rPr>
        <w:t xml:space="preserve"> 支付货币</w:t>
      </w:r>
    </w:p>
    <w:p w14:paraId="2AD041CD">
      <w:pPr>
        <w:shd w:val="clear" w:color="auto" w:fill="auto"/>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酬金均以人民币支付。</w:t>
      </w:r>
    </w:p>
    <w:p w14:paraId="2D1E5679">
      <w:pPr>
        <w:shd w:val="clear" w:color="auto" w:fill="auto"/>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支付申请</w:t>
      </w:r>
    </w:p>
    <w:p w14:paraId="6C436B56">
      <w:pPr>
        <w:shd w:val="clear" w:color="auto" w:fill="auto"/>
        <w:wordWrap w:val="0"/>
        <w:adjustRightInd w:val="0"/>
        <w:snapToGrid w:val="0"/>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监理人应在本合同约定的每次应付款时间的7天前，向委托人提交支付申请书。支付</w:t>
      </w:r>
      <w:r>
        <w:rPr>
          <w:rFonts w:hint="eastAsia" w:ascii="宋体" w:hAnsi="宋体" w:eastAsia="宋体" w:cs="宋体"/>
          <w:b w:val="0"/>
          <w:bCs w:val="0"/>
          <w:snapToGrid w:val="0"/>
          <w:color w:val="auto"/>
          <w:kern w:val="0"/>
          <w:sz w:val="24"/>
          <w:szCs w:val="24"/>
          <w:highlight w:val="none"/>
        </w:rPr>
        <w:t>申请书应当说明当期应付款总额，并列出当期应支付的款项及其金额。</w:t>
      </w:r>
    </w:p>
    <w:p w14:paraId="4053B2DE">
      <w:pPr>
        <w:shd w:val="clear" w:color="auto" w:fill="auto"/>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lang w:val="en-US" w:eastAsia="zh-CN"/>
        </w:rPr>
        <w:t>5.3</w:t>
      </w:r>
      <w:r>
        <w:rPr>
          <w:rFonts w:hint="eastAsia" w:ascii="宋体" w:hAnsi="宋体" w:eastAsia="宋体" w:cs="宋体"/>
          <w:b w:val="0"/>
          <w:bCs w:val="0"/>
          <w:snapToGrid w:val="0"/>
          <w:color w:val="auto"/>
          <w:kern w:val="0"/>
          <w:sz w:val="24"/>
          <w:szCs w:val="24"/>
          <w:highlight w:val="none"/>
        </w:rPr>
        <w:t xml:space="preserve"> 本项目不支付监理服务费预付款</w:t>
      </w:r>
      <w:r>
        <w:rPr>
          <w:rFonts w:hint="eastAsia" w:hAnsi="宋体" w:cs="宋体"/>
          <w:b w:val="0"/>
          <w:bCs w:val="0"/>
          <w:snapToGrid w:val="0"/>
          <w:color w:val="auto"/>
          <w:kern w:val="0"/>
          <w:sz w:val="24"/>
          <w:szCs w:val="24"/>
          <w:highlight w:val="none"/>
          <w:lang w:eastAsia="zh-CN"/>
        </w:rPr>
        <w:t>。</w:t>
      </w:r>
    </w:p>
    <w:p w14:paraId="3B8FF8F6">
      <w:pPr>
        <w:shd w:val="clear" w:color="auto" w:fill="auto"/>
        <w:wordWrap w:val="0"/>
        <w:adjustRightInd w:val="0"/>
        <w:snapToGrid w:val="0"/>
        <w:spacing w:line="360" w:lineRule="auto"/>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szCs w:val="24"/>
          <w:highlight w:val="none"/>
          <w:lang w:val="en-US" w:eastAsia="zh-CN"/>
        </w:rPr>
        <w:t>5.4</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lang w:eastAsia="zh-CN"/>
        </w:rPr>
        <w:t>本项目</w:t>
      </w:r>
      <w:r>
        <w:rPr>
          <w:rFonts w:hint="eastAsia" w:ascii="宋体" w:hAnsi="宋体" w:eastAsia="宋体" w:cs="宋体"/>
          <w:snapToGrid w:val="0"/>
          <w:color w:val="auto"/>
          <w:kern w:val="0"/>
          <w:highlight w:val="none"/>
          <w:lang w:val="en-US" w:eastAsia="zh-CN"/>
        </w:rPr>
        <w:t>施工过程中按</w:t>
      </w:r>
      <w:r>
        <w:rPr>
          <w:rFonts w:hint="eastAsia" w:hAnsi="宋体" w:cs="宋体"/>
          <w:snapToGrid w:val="0"/>
          <w:color w:val="auto"/>
          <w:kern w:val="0"/>
          <w:highlight w:val="none"/>
          <w:lang w:val="en-US" w:eastAsia="zh-CN"/>
        </w:rPr>
        <w:t>季度</w:t>
      </w:r>
      <w:r>
        <w:rPr>
          <w:rFonts w:hint="eastAsia" w:ascii="宋体" w:hAnsi="宋体" w:eastAsia="宋体" w:cs="宋体"/>
          <w:snapToGrid w:val="0"/>
          <w:color w:val="auto"/>
          <w:kern w:val="0"/>
          <w:highlight w:val="none"/>
          <w:lang w:val="en-US" w:eastAsia="zh-CN"/>
        </w:rPr>
        <w:t>申报监理进度款；具体分期支付方式如下：</w:t>
      </w:r>
    </w:p>
    <w:p w14:paraId="02D0D0D2">
      <w:pPr>
        <w:shd w:val="clear" w:color="auto" w:fill="auto"/>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lang w:val="en-US" w:eastAsia="zh-CN"/>
        </w:rPr>
        <w:t>5.4.1</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lang w:val="en-US" w:eastAsia="zh-CN"/>
        </w:rPr>
        <w:t>季</w:t>
      </w:r>
      <w:r>
        <w:rPr>
          <w:rFonts w:hint="eastAsia" w:ascii="宋体" w:hAnsi="宋体" w:eastAsia="宋体" w:cs="宋体"/>
          <w:snapToGrid w:val="0"/>
          <w:color w:val="auto"/>
          <w:kern w:val="0"/>
          <w:highlight w:val="none"/>
          <w:lang w:eastAsia="zh-CN"/>
        </w:rPr>
        <w:t>度监理服务费=经</w:t>
      </w:r>
      <w:r>
        <w:rPr>
          <w:rFonts w:hint="eastAsia" w:ascii="宋体" w:hAnsi="宋体" w:eastAsia="宋体" w:cs="宋体"/>
          <w:snapToGrid w:val="0"/>
          <w:color w:val="auto"/>
          <w:kern w:val="0"/>
          <w:highlight w:val="none"/>
          <w:lang w:val="en-US" w:eastAsia="zh-CN"/>
        </w:rPr>
        <w:t>全过程造价</w:t>
      </w:r>
      <w:r>
        <w:rPr>
          <w:rFonts w:hint="eastAsia" w:ascii="宋体" w:hAnsi="宋体" w:eastAsia="宋体" w:cs="宋体"/>
          <w:snapToGrid w:val="0"/>
          <w:color w:val="auto"/>
          <w:kern w:val="0"/>
          <w:highlight w:val="none"/>
          <w:lang w:eastAsia="zh-CN"/>
        </w:rPr>
        <w:t>审核的</w:t>
      </w:r>
      <w:r>
        <w:rPr>
          <w:rFonts w:hint="eastAsia" w:ascii="宋体" w:hAnsi="宋体" w:eastAsia="宋体" w:cs="宋体"/>
          <w:snapToGrid w:val="0"/>
          <w:color w:val="auto"/>
          <w:kern w:val="0"/>
          <w:highlight w:val="none"/>
          <w:lang w:val="en-US" w:eastAsia="zh-CN"/>
        </w:rPr>
        <w:t>季度</w:t>
      </w:r>
      <w:r>
        <w:rPr>
          <w:rFonts w:hint="eastAsia" w:ascii="宋体" w:hAnsi="宋体" w:eastAsia="宋体" w:cs="宋体"/>
          <w:snapToGrid w:val="0"/>
          <w:color w:val="auto"/>
          <w:kern w:val="0"/>
          <w:highlight w:val="none"/>
          <w:lang w:eastAsia="zh-CN"/>
        </w:rPr>
        <w:t>实际所有专业施工完成投资额×</w:t>
      </w:r>
      <w:r>
        <w:rPr>
          <w:rFonts w:hint="eastAsia" w:hAnsi="宋体" w:cs="宋体"/>
          <w:snapToGrid w:val="0"/>
          <w:color w:val="auto"/>
          <w:kern w:val="0"/>
          <w:highlight w:val="none"/>
          <w:lang w:val="en-US" w:eastAsia="zh-CN"/>
        </w:rPr>
        <w:t>8</w:t>
      </w:r>
      <w:r>
        <w:rPr>
          <w:rFonts w:hint="eastAsia" w:ascii="宋体" w:hAnsi="宋体" w:eastAsia="宋体" w:cs="宋体"/>
          <w:snapToGrid w:val="0"/>
          <w:color w:val="auto"/>
          <w:kern w:val="0"/>
          <w:highlight w:val="none"/>
          <w:lang w:val="en-US" w:eastAsia="zh-CN"/>
        </w:rPr>
        <w:t>0</w:t>
      </w:r>
      <w:r>
        <w:rPr>
          <w:rFonts w:hint="eastAsia" w:ascii="宋体" w:hAnsi="宋体" w:eastAsia="宋体" w:cs="宋体"/>
          <w:snapToGrid w:val="0"/>
          <w:color w:val="auto"/>
          <w:kern w:val="0"/>
          <w:highlight w:val="none"/>
          <w:lang w:eastAsia="zh-CN"/>
        </w:rPr>
        <w:t>%×监理人取费费率。</w:t>
      </w:r>
    </w:p>
    <w:p w14:paraId="6DB5B982">
      <w:pPr>
        <w:shd w:val="clear" w:color="auto" w:fill="auto"/>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lang w:val="en-US" w:eastAsia="zh-CN"/>
        </w:rPr>
        <w:t xml:space="preserve">5.4.2 </w:t>
      </w:r>
      <w:r>
        <w:rPr>
          <w:rFonts w:hint="eastAsia" w:ascii="宋体" w:hAnsi="宋体" w:eastAsia="宋体" w:cs="宋体"/>
          <w:snapToGrid w:val="0"/>
          <w:color w:val="auto"/>
          <w:kern w:val="0"/>
          <w:highlight w:val="none"/>
        </w:rPr>
        <w:t>当每一期的监理服务费达到申请支付条件时，监理人将符合财政部门审批要求的本期监理服务费支付申请资料上报委托人，委托人在收到监理支付申请资料后7日内予以审核，报有关部门审定。监理人按审定金额开具发票。</w:t>
      </w:r>
    </w:p>
    <w:p w14:paraId="159DD1C2">
      <w:pPr>
        <w:shd w:val="clear" w:color="auto" w:fill="auto"/>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5.6</w:t>
      </w:r>
      <w:r>
        <w:rPr>
          <w:rFonts w:hint="eastAsia" w:ascii="宋体" w:hAnsi="宋体" w:eastAsia="宋体" w:cs="宋体"/>
          <w:snapToGrid w:val="0"/>
          <w:color w:val="auto"/>
          <w:kern w:val="0"/>
          <w:highlight w:val="none"/>
        </w:rPr>
        <w:t>竣工验收合格后，经委托人或委托人委托的第三方审核机构结算定案后支付至监理结算价的97%；</w:t>
      </w:r>
    </w:p>
    <w:p w14:paraId="3E86D38A">
      <w:pPr>
        <w:widowControl w:val="0"/>
        <w:shd w:val="clear" w:color="auto" w:fill="auto"/>
        <w:adjustRightInd w:val="0"/>
        <w:spacing w:line="360" w:lineRule="auto"/>
        <w:ind w:firstLine="482" w:firstLineChars="200"/>
        <w:jc w:val="left"/>
        <w:textAlignment w:val="baseline"/>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 w:val="24"/>
          <w:highlight w:val="none"/>
          <w:lang w:val="en-US" w:eastAsia="zh-CN" w:bidi="ar-SA"/>
        </w:rPr>
        <w:t>5.7</w:t>
      </w:r>
      <w:r>
        <w:rPr>
          <w:rFonts w:hint="eastAsia" w:ascii="宋体" w:hAnsi="宋体" w:eastAsia="宋体" w:cs="宋体"/>
          <w:bCs/>
          <w:snapToGrid w:val="0"/>
          <w:color w:val="auto"/>
          <w:kern w:val="0"/>
          <w:sz w:val="24"/>
          <w:highlight w:val="none"/>
          <w:lang w:val="en-US" w:eastAsia="zh-CN" w:bidi="ar-SA"/>
        </w:rPr>
        <w:t xml:space="preserve">剩余 </w:t>
      </w:r>
      <w:r>
        <w:rPr>
          <w:rFonts w:hint="eastAsia" w:ascii="宋体" w:hAnsi="宋体" w:eastAsia="宋体" w:cs="宋体"/>
          <w:bCs/>
          <w:snapToGrid w:val="0"/>
          <w:color w:val="auto"/>
          <w:kern w:val="0"/>
          <w:sz w:val="24"/>
          <w:highlight w:val="none"/>
          <w:u w:val="single"/>
          <w:lang w:val="en-US" w:eastAsia="zh-CN" w:bidi="ar-SA"/>
        </w:rPr>
        <w:t>3 %</w:t>
      </w:r>
      <w:r>
        <w:rPr>
          <w:rFonts w:hint="eastAsia" w:ascii="宋体" w:hAnsi="宋体" w:eastAsia="宋体" w:cs="宋体"/>
          <w:bCs/>
          <w:snapToGrid w:val="0"/>
          <w:color w:val="auto"/>
          <w:kern w:val="0"/>
          <w:sz w:val="24"/>
          <w:highlight w:val="none"/>
          <w:lang w:val="en-US" w:eastAsia="zh-CN" w:bidi="ar-SA"/>
        </w:rPr>
        <w:t xml:space="preserve"> 转为工程质量保证金，承包人提交了等额质量保证担保或质量保证保险的，于次月一次性结清合同价格。本招标项目缺陷责任期为</w:t>
      </w:r>
      <w:r>
        <w:rPr>
          <w:rFonts w:hint="eastAsia" w:ascii="宋体" w:hAnsi="宋体" w:eastAsia="宋体" w:cs="宋体"/>
          <w:bCs/>
          <w:snapToGrid w:val="0"/>
          <w:color w:val="auto"/>
          <w:kern w:val="0"/>
          <w:sz w:val="24"/>
          <w:highlight w:val="none"/>
          <w:u w:val="single"/>
          <w:lang w:val="en-US" w:eastAsia="zh-CN" w:bidi="ar-SA"/>
        </w:rPr>
        <w:t xml:space="preserve"> 1 </w:t>
      </w:r>
      <w:r>
        <w:rPr>
          <w:rFonts w:hint="eastAsia" w:ascii="宋体" w:hAnsi="宋体" w:eastAsia="宋体" w:cs="宋体"/>
          <w:bCs/>
          <w:snapToGrid w:val="0"/>
          <w:color w:val="auto"/>
          <w:kern w:val="0"/>
          <w:sz w:val="24"/>
          <w:highlight w:val="none"/>
          <w:lang w:val="en-US" w:eastAsia="zh-CN" w:bidi="ar-SA"/>
        </w:rPr>
        <w:t>年（自通过竣工验收之日起计）。</w:t>
      </w:r>
      <w:r>
        <w:rPr>
          <w:rFonts w:hint="eastAsia" w:ascii="宋体" w:hAnsi="宋体" w:eastAsia="宋体" w:cs="宋体"/>
          <w:snapToGrid w:val="0"/>
          <w:color w:val="auto"/>
          <w:kern w:val="0"/>
          <w:sz w:val="24"/>
          <w:highlight w:val="none"/>
          <w:lang w:val="en-US" w:eastAsia="zh-CN" w:bidi="ar-SA"/>
        </w:rPr>
        <w:t>缺陷责任期到期后，承包人向发包人申请退还质量保证。</w:t>
      </w:r>
    </w:p>
    <w:p w14:paraId="0EBAD749">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6．合同生效、变更、暂停、解除与终止</w:t>
      </w:r>
    </w:p>
    <w:p w14:paraId="56440F9B">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6.1</w:t>
      </w:r>
      <w:r>
        <w:rPr>
          <w:rFonts w:hint="eastAsia" w:ascii="宋体" w:hAnsi="宋体" w:eastAsia="宋体" w:cs="宋体"/>
          <w:snapToGrid w:val="0"/>
          <w:color w:val="auto"/>
          <w:kern w:val="0"/>
          <w:highlight w:val="none"/>
        </w:rPr>
        <w:t xml:space="preserve"> 生效</w:t>
      </w:r>
    </w:p>
    <w:p w14:paraId="61B20716">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委托人和监理人的法定代表人或其授权代理人在协议书上签字并盖单位章后本合同生效。</w:t>
      </w:r>
    </w:p>
    <w:p w14:paraId="42D4C485">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6.2</w:t>
      </w:r>
      <w:r>
        <w:rPr>
          <w:rFonts w:hint="eastAsia" w:ascii="宋体" w:hAnsi="宋体" w:eastAsia="宋体" w:cs="宋体"/>
          <w:snapToGrid w:val="0"/>
          <w:color w:val="auto"/>
          <w:kern w:val="0"/>
          <w:highlight w:val="none"/>
        </w:rPr>
        <w:t xml:space="preserve"> 变更</w:t>
      </w:r>
    </w:p>
    <w:p w14:paraId="223752A6">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6.2.1</w:t>
      </w:r>
      <w:r>
        <w:rPr>
          <w:rFonts w:hint="eastAsia" w:ascii="宋体" w:hAnsi="宋体" w:eastAsia="宋体" w:cs="宋体"/>
          <w:snapToGrid w:val="0"/>
          <w:color w:val="auto"/>
          <w:kern w:val="0"/>
          <w:highlight w:val="none"/>
        </w:rPr>
        <w:t xml:space="preserve"> 任何一方提出变更请求时，双方经协商一致后可进行变更。</w:t>
      </w:r>
    </w:p>
    <w:p w14:paraId="23DC4845">
      <w:pPr>
        <w:shd w:val="clear" w:color="auto" w:fill="auto"/>
        <w:wordWrap w:val="0"/>
        <w:adjustRightInd w:val="0"/>
        <w:snapToGrid w:val="0"/>
        <w:spacing w:line="440" w:lineRule="exact"/>
        <w:ind w:firstLine="482" w:firstLineChars="200"/>
        <w:rPr>
          <w:rFonts w:hint="eastAsia" w:ascii="宋体" w:hAnsi="宋体" w:eastAsia="宋体" w:cs="宋体"/>
          <w:b w:val="0"/>
          <w:bCs w:val="0"/>
          <w:snapToGrid w:val="0"/>
          <w:color w:val="auto"/>
          <w:kern w:val="0"/>
          <w:highlight w:val="none"/>
        </w:rPr>
      </w:pPr>
      <w:r>
        <w:rPr>
          <w:rFonts w:hint="eastAsia" w:ascii="宋体" w:hAnsi="宋体" w:eastAsia="宋体" w:cs="宋体"/>
          <w:b/>
          <w:bCs/>
          <w:snapToGrid w:val="0"/>
          <w:color w:val="auto"/>
          <w:kern w:val="0"/>
          <w:highlight w:val="none"/>
        </w:rPr>
        <w:t>6.2.2</w:t>
      </w:r>
      <w:r>
        <w:rPr>
          <w:rFonts w:hint="eastAsia" w:ascii="宋体" w:hAnsi="宋体" w:eastAsia="宋体" w:cs="宋体"/>
          <w:b w:val="0"/>
          <w:bCs w:val="0"/>
          <w:snapToGrid w:val="0"/>
          <w:color w:val="auto"/>
          <w:kern w:val="0"/>
          <w:highlight w:val="none"/>
        </w:rPr>
        <w:t>除不可抗力外，因非监理人原因导致监理人履行合同期限延长、内容增加时，监理人应当将此情况与可能产生的影响及时通知委托人。增加的监理工作时间、工作内容应视为附加工作。</w:t>
      </w:r>
    </w:p>
    <w:p w14:paraId="038A4E49">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val="0"/>
          <w:bCs w:val="0"/>
          <w:snapToGrid w:val="0"/>
          <w:color w:val="auto"/>
          <w:kern w:val="0"/>
          <w:highlight w:val="none"/>
        </w:rPr>
        <w:t>发生以上情形的附加工作酬金的确定方法为：项目建设期间，即使出现缓建或停建事件导致监理工期延长，不另增加监理服务费。</w:t>
      </w:r>
    </w:p>
    <w:p w14:paraId="7790E695">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6.2.3</w:t>
      </w:r>
      <w:r>
        <w:rPr>
          <w:rFonts w:hint="eastAsia" w:ascii="宋体" w:hAnsi="宋体" w:eastAsia="宋体" w:cs="宋体"/>
          <w:snapToGrid w:val="0"/>
          <w:color w:val="auto"/>
          <w:kern w:val="0"/>
          <w:highlight w:val="none"/>
        </w:rPr>
        <w:t xml:space="preserve"> 合同生效后，如果实际情况发生变化使得监理人不能完成全部或部分工作时，监理人应立即通知委托人。除不可抗力外，其善后工作以及恢复服务的准备工作应为附加工作。监理人用于恢复服务的准备时间不应超过28天。</w:t>
      </w:r>
    </w:p>
    <w:p w14:paraId="38FC8AAF">
      <w:pPr>
        <w:shd w:val="clear" w:color="auto" w:fill="auto"/>
        <w:wordWrap w:val="0"/>
        <w:adjustRightInd w:val="0"/>
        <w:snapToGrid w:val="0"/>
        <w:spacing w:line="440" w:lineRule="exact"/>
        <w:ind w:firstLine="480" w:firstLineChars="200"/>
        <w:rPr>
          <w:rFonts w:hint="eastAsia" w:ascii="宋体" w:hAnsi="宋体" w:eastAsia="宋体" w:cs="宋体"/>
          <w:color w:val="auto"/>
          <w:highlight w:val="none"/>
        </w:rPr>
      </w:pPr>
      <w:r>
        <w:rPr>
          <w:rFonts w:hint="eastAsia" w:ascii="宋体" w:hAnsi="宋体" w:eastAsia="宋体" w:cs="宋体"/>
          <w:snapToGrid w:val="0"/>
          <w:color w:val="auto"/>
          <w:kern w:val="0"/>
          <w:highlight w:val="none"/>
        </w:rPr>
        <w:t>发生以上情形的附加工作酬金的确定方法为：</w:t>
      </w:r>
      <w:r>
        <w:rPr>
          <w:rFonts w:hint="eastAsia" w:ascii="宋体" w:hAnsi="宋体" w:eastAsia="宋体" w:cs="宋体"/>
          <w:snapToGrid w:val="0"/>
          <w:color w:val="auto"/>
          <w:kern w:val="0"/>
          <w:highlight w:val="none"/>
          <w:u w:val="single"/>
        </w:rPr>
        <w:t>项目建设期间，即使出现缓建或停建事件导致监理工期延长，不另增加监理服务费</w:t>
      </w:r>
      <w:r>
        <w:rPr>
          <w:rFonts w:hint="eastAsia" w:ascii="宋体" w:hAnsi="宋体" w:eastAsia="宋体" w:cs="宋体"/>
          <w:snapToGrid w:val="0"/>
          <w:color w:val="auto"/>
          <w:kern w:val="0"/>
          <w:highlight w:val="none"/>
        </w:rPr>
        <w:t>。</w:t>
      </w:r>
    </w:p>
    <w:p w14:paraId="530F0C1C">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6.2.4</w:t>
      </w:r>
      <w:r>
        <w:rPr>
          <w:rFonts w:hint="eastAsia" w:ascii="宋体" w:hAnsi="宋体" w:eastAsia="宋体" w:cs="宋体"/>
          <w:snapToGrid w:val="0"/>
          <w:color w:val="auto"/>
          <w:kern w:val="0"/>
          <w:highlight w:val="none"/>
        </w:rPr>
        <w:t xml:space="preserve"> 合同签订后，遇有与工程相关的法律法规、标准颁布或修订的，双方应遵照执行。由此引起监理与相关服务的范围、时间、酬金变化的，双方应通过协商进行相应调整。</w:t>
      </w:r>
    </w:p>
    <w:p w14:paraId="40F36BDD">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6.2.</w:t>
      </w:r>
      <w:r>
        <w:rPr>
          <w:rFonts w:hint="eastAsia" w:ascii="宋体" w:hAnsi="宋体" w:eastAsia="宋体" w:cs="宋体"/>
          <w:b/>
          <w:bCs/>
          <w:snapToGrid w:val="0"/>
          <w:color w:val="auto"/>
          <w:kern w:val="0"/>
          <w:highlight w:val="none"/>
          <w:lang w:val="en-US" w:eastAsia="zh-CN"/>
        </w:rPr>
        <w:t>5</w:t>
      </w:r>
      <w:r>
        <w:rPr>
          <w:rFonts w:hint="eastAsia" w:ascii="宋体" w:hAnsi="宋体" w:eastAsia="宋体" w:cs="宋体"/>
          <w:snapToGrid w:val="0"/>
          <w:color w:val="auto"/>
          <w:kern w:val="0"/>
          <w:highlight w:val="none"/>
        </w:rPr>
        <w:t xml:space="preserve"> 因工程规模、监理范围的变化导致监理人的正常工作量减少时，按减少工作量的比例从协议书约定的正常工作酬金中扣减相同比例的酬金。</w:t>
      </w:r>
    </w:p>
    <w:p w14:paraId="601287CE">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6.3</w:t>
      </w:r>
      <w:r>
        <w:rPr>
          <w:rFonts w:hint="eastAsia" w:ascii="宋体" w:hAnsi="宋体" w:eastAsia="宋体" w:cs="宋体"/>
          <w:snapToGrid w:val="0"/>
          <w:color w:val="auto"/>
          <w:kern w:val="0"/>
          <w:highlight w:val="none"/>
        </w:rPr>
        <w:t xml:space="preserve"> 暂停与解除</w:t>
      </w:r>
    </w:p>
    <w:p w14:paraId="7D6CDE0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除双方协商一致可以解除本合同外，当一方无正当理由未履行本合同约定的义务时，另一方可以根据本合同约定暂停履行本合同直至解除本合同。</w:t>
      </w:r>
    </w:p>
    <w:p w14:paraId="221C03F1">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6.3.1</w:t>
      </w:r>
      <w:r>
        <w:rPr>
          <w:rFonts w:hint="eastAsia" w:ascii="宋体" w:hAnsi="宋体" w:eastAsia="宋体" w:cs="宋体"/>
          <w:snapToGrid w:val="0"/>
          <w:color w:val="auto"/>
          <w:kern w:val="0"/>
          <w:highlight w:val="none"/>
        </w:rPr>
        <w:t xml:space="preserve">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72CA6220">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因解除本合同或解除监理人的部分义务导致监理人遭受的损失，除依法可以免除责任的情况外，应由委托人予以补偿，补偿金额由双方协商确定。解除本合同的协议必须采取书面形式，协议未达成之前，本合同仍然有效。</w:t>
      </w:r>
    </w:p>
    <w:p w14:paraId="48BC35DE">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6.3.2</w:t>
      </w:r>
      <w:r>
        <w:rPr>
          <w:rFonts w:hint="eastAsia" w:ascii="宋体" w:hAnsi="宋体" w:eastAsia="宋体" w:cs="宋体"/>
          <w:snapToGrid w:val="0"/>
          <w:color w:val="auto"/>
          <w:kern w:val="0"/>
          <w:highlight w:val="none"/>
        </w:rPr>
        <w:t xml:space="preserve">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14:paraId="5166E1FD">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6.3.3</w:t>
      </w:r>
      <w:r>
        <w:rPr>
          <w:rFonts w:hint="eastAsia" w:ascii="宋体" w:hAnsi="宋体" w:eastAsia="宋体" w:cs="宋体"/>
          <w:snapToGrid w:val="0"/>
          <w:color w:val="auto"/>
          <w:kern w:val="0"/>
          <w:highlight w:val="none"/>
        </w:rPr>
        <w:t xml:space="preserve">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本章第</w:t>
      </w:r>
      <w:r>
        <w:rPr>
          <w:rFonts w:hint="eastAsia" w:ascii="宋体" w:hAnsi="宋体" w:eastAsia="宋体" w:cs="宋体"/>
          <w:b/>
          <w:bCs/>
          <w:snapToGrid w:val="0"/>
          <w:color w:val="auto"/>
          <w:kern w:val="0"/>
          <w:highlight w:val="none"/>
        </w:rPr>
        <w:t>4.1</w:t>
      </w:r>
      <w:r>
        <w:rPr>
          <w:rFonts w:hint="eastAsia" w:ascii="宋体" w:hAnsi="宋体" w:eastAsia="宋体" w:cs="宋体"/>
          <w:snapToGrid w:val="0"/>
          <w:color w:val="auto"/>
          <w:kern w:val="0"/>
          <w:highlight w:val="none"/>
        </w:rPr>
        <w:t>条约定的责任。</w:t>
      </w:r>
    </w:p>
    <w:p w14:paraId="18F77B3A">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6.3.</w:t>
      </w:r>
      <w:r>
        <w:rPr>
          <w:rFonts w:hint="eastAsia" w:ascii="宋体" w:hAnsi="宋体" w:eastAsia="宋体" w:cs="宋体"/>
          <w:b/>
          <w:bCs/>
          <w:snapToGrid w:val="0"/>
          <w:color w:val="auto"/>
          <w:kern w:val="0"/>
          <w:highlight w:val="none"/>
          <w:lang w:val="en-US" w:eastAsia="zh-CN"/>
        </w:rPr>
        <w:t>4</w:t>
      </w:r>
      <w:r>
        <w:rPr>
          <w:rFonts w:hint="eastAsia" w:ascii="宋体" w:hAnsi="宋体" w:eastAsia="宋体" w:cs="宋体"/>
          <w:snapToGrid w:val="0"/>
          <w:color w:val="auto"/>
          <w:kern w:val="0"/>
          <w:highlight w:val="none"/>
        </w:rPr>
        <w:t xml:space="preserve"> 因不可抗力致使本合同部分或全部不能履行时，一方应立即通知另一方，可暂停或解除本合同。</w:t>
      </w:r>
    </w:p>
    <w:p w14:paraId="074737D9">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6.3.</w:t>
      </w:r>
      <w:r>
        <w:rPr>
          <w:rFonts w:hint="eastAsia" w:ascii="宋体" w:hAnsi="宋体" w:eastAsia="宋体" w:cs="宋体"/>
          <w:b/>
          <w:bCs/>
          <w:snapToGrid w:val="0"/>
          <w:color w:val="auto"/>
          <w:kern w:val="0"/>
          <w:highlight w:val="none"/>
          <w:lang w:val="en-US" w:eastAsia="zh-CN"/>
        </w:rPr>
        <w:t>5</w:t>
      </w:r>
      <w:r>
        <w:rPr>
          <w:rFonts w:hint="eastAsia" w:ascii="宋体" w:hAnsi="宋体" w:eastAsia="宋体" w:cs="宋体"/>
          <w:snapToGrid w:val="0"/>
          <w:color w:val="auto"/>
          <w:kern w:val="0"/>
          <w:highlight w:val="none"/>
        </w:rPr>
        <w:t xml:space="preserve"> 本合同解除后，本合同约定的有关结算、清理、争议解决方式的条件仍然有效。</w:t>
      </w:r>
    </w:p>
    <w:p w14:paraId="65D52386">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6.4</w:t>
      </w:r>
      <w:r>
        <w:rPr>
          <w:rFonts w:hint="eastAsia" w:ascii="宋体" w:hAnsi="宋体" w:eastAsia="宋体" w:cs="宋体"/>
          <w:snapToGrid w:val="0"/>
          <w:color w:val="auto"/>
          <w:kern w:val="0"/>
          <w:highlight w:val="none"/>
        </w:rPr>
        <w:t xml:space="preserve"> 终止</w:t>
      </w:r>
    </w:p>
    <w:p w14:paraId="649BBDCE">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以下条件全部满足时，本合同即告终止：</w:t>
      </w:r>
    </w:p>
    <w:p w14:paraId="6826D3FA">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（1）监理人完成本合同约定的全部工作；</w:t>
      </w:r>
    </w:p>
    <w:p w14:paraId="166F5240">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（2）委托人与监理人结清并支付全部酬金。</w:t>
      </w:r>
    </w:p>
    <w:p w14:paraId="54BB9B1F">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1213E4BB">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7．争议解决</w:t>
      </w:r>
    </w:p>
    <w:p w14:paraId="01CDC3B0">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7.1</w:t>
      </w:r>
      <w:r>
        <w:rPr>
          <w:rFonts w:hint="eastAsia" w:ascii="宋体" w:hAnsi="宋体" w:eastAsia="宋体" w:cs="宋体"/>
          <w:snapToGrid w:val="0"/>
          <w:color w:val="auto"/>
          <w:kern w:val="0"/>
          <w:highlight w:val="none"/>
        </w:rPr>
        <w:t xml:space="preserve"> 协商</w:t>
      </w:r>
    </w:p>
    <w:p w14:paraId="2A90B76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双方应本着诚信原则协商解决彼此间的争议。</w:t>
      </w:r>
    </w:p>
    <w:p w14:paraId="2D5C243F">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7.2</w:t>
      </w:r>
      <w:r>
        <w:rPr>
          <w:rFonts w:hint="eastAsia" w:ascii="宋体" w:hAnsi="宋体" w:eastAsia="宋体" w:cs="宋体"/>
          <w:snapToGrid w:val="0"/>
          <w:color w:val="auto"/>
          <w:kern w:val="0"/>
          <w:highlight w:val="none"/>
        </w:rPr>
        <w:t xml:space="preserve"> 调解</w:t>
      </w:r>
    </w:p>
    <w:p w14:paraId="1828B28E">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如果双方不能在14天内或双方商定的其他时间内解决本合同争议，可以将其提交给</w:t>
      </w:r>
      <w:r>
        <w:rPr>
          <w:rFonts w:hint="eastAsia" w:ascii="宋体" w:hAnsi="宋体" w:eastAsia="宋体" w:cs="宋体"/>
          <w:snapToGrid w:val="0"/>
          <w:color w:val="auto"/>
          <w:kern w:val="0"/>
          <w:highlight w:val="none"/>
          <w:u w:val="single"/>
        </w:rPr>
        <w:t xml:space="preserve"> 合同备案部门或事后达成协议的调解人 </w:t>
      </w:r>
      <w:r>
        <w:rPr>
          <w:rFonts w:hint="eastAsia" w:ascii="宋体" w:hAnsi="宋体" w:eastAsia="宋体" w:cs="宋体"/>
          <w:snapToGrid w:val="0"/>
          <w:color w:val="auto"/>
          <w:kern w:val="0"/>
          <w:highlight w:val="none"/>
        </w:rPr>
        <w:t>进行调解。</w:t>
      </w:r>
    </w:p>
    <w:p w14:paraId="77E4D2C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7.3</w:t>
      </w:r>
      <w:r>
        <w:rPr>
          <w:rFonts w:hint="eastAsia" w:ascii="宋体" w:hAnsi="宋体" w:eastAsia="宋体" w:cs="宋体"/>
          <w:snapToGrid w:val="0"/>
          <w:color w:val="auto"/>
          <w:kern w:val="0"/>
          <w:highlight w:val="none"/>
        </w:rPr>
        <w:t xml:space="preserve"> 仲裁或诉讼</w:t>
      </w:r>
    </w:p>
    <w:p w14:paraId="72B99BC4">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双方均有权不经调解直接向专用条件约定的仲裁机构申请仲裁或向有管辖权的人民法院提起诉讼。</w:t>
      </w:r>
    </w:p>
    <w:p w14:paraId="672DF744">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本合同争议的最终解决方式为下列第</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2</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种方式：</w:t>
      </w:r>
    </w:p>
    <w:p w14:paraId="401D14DC">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（1）提请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项目所在地</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仲裁委员会进行仲裁。</w:t>
      </w:r>
    </w:p>
    <w:p w14:paraId="7E1A107D">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（2）向</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项目所在地</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人民法院提起诉讼。</w:t>
      </w:r>
    </w:p>
    <w:p w14:paraId="6986A170">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p>
    <w:p w14:paraId="6BBE6B48">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8．监理</w:t>
      </w:r>
      <w:r>
        <w:rPr>
          <w:rFonts w:hint="eastAsia" w:ascii="宋体" w:hAnsi="宋体" w:eastAsia="宋体" w:cs="宋体"/>
          <w:b/>
          <w:bCs/>
          <w:snapToGrid w:val="0"/>
          <w:color w:val="auto"/>
          <w:kern w:val="0"/>
          <w:sz w:val="24"/>
          <w:szCs w:val="24"/>
          <w:highlight w:val="none"/>
          <w:lang w:val="en-US" w:eastAsia="zh-CN"/>
        </w:rPr>
        <w:t>人</w:t>
      </w:r>
      <w:r>
        <w:rPr>
          <w:rFonts w:hint="eastAsia" w:ascii="宋体" w:hAnsi="宋体" w:eastAsia="宋体" w:cs="宋体"/>
          <w:b/>
          <w:bCs/>
          <w:snapToGrid w:val="0"/>
          <w:color w:val="auto"/>
          <w:kern w:val="0"/>
          <w:sz w:val="24"/>
          <w:szCs w:val="24"/>
          <w:highlight w:val="none"/>
        </w:rPr>
        <w:t>违约及违约责任条款</w:t>
      </w:r>
    </w:p>
    <w:p w14:paraId="38E2D084">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 违约及违约责任</w:t>
      </w:r>
    </w:p>
    <w:p w14:paraId="26C7549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8.1.1</w:t>
      </w:r>
      <w:r>
        <w:rPr>
          <w:rFonts w:hint="eastAsia" w:ascii="宋体" w:hAnsi="宋体" w:eastAsia="宋体" w:cs="宋体"/>
          <w:snapToGrid w:val="0"/>
          <w:color w:val="auto"/>
          <w:kern w:val="0"/>
          <w:sz w:val="24"/>
          <w:szCs w:val="24"/>
          <w:highlight w:val="none"/>
        </w:rPr>
        <w:t>通常情况下，监理人不能按合同履行其义务和职责，因工作过失或渎职而造成了工程的经济和工期损失，为监理人违约，监理人应当赔偿经济损失，并承担相关的行政、法律责任。在本监理合同中，双方约定将监理人违约范围适当扩大，增加两种视为监理人违约的情况，一是监理人未按约定履行其义务工作时，即使未造成损失，</w:t>
      </w:r>
      <w:r>
        <w:rPr>
          <w:rFonts w:hint="eastAsia" w:ascii="宋体" w:hAnsi="宋体" w:eastAsia="宋体" w:cs="宋体"/>
          <w:snapToGrid w:val="0"/>
          <w:color w:val="auto"/>
          <w:kern w:val="0"/>
          <w:sz w:val="24"/>
          <w:szCs w:val="24"/>
          <w:highlight w:val="none"/>
          <w:lang w:eastAsia="zh-CN"/>
        </w:rPr>
        <w:t>亦</w:t>
      </w:r>
      <w:r>
        <w:rPr>
          <w:rFonts w:hint="eastAsia" w:ascii="宋体" w:hAnsi="宋体" w:eastAsia="宋体" w:cs="宋体"/>
          <w:snapToGrid w:val="0"/>
          <w:color w:val="auto"/>
          <w:kern w:val="0"/>
          <w:sz w:val="24"/>
          <w:szCs w:val="24"/>
          <w:highlight w:val="none"/>
        </w:rPr>
        <w:t xml:space="preserve">视为监理人违约；二是监理目标未能达标，无论主要原因是什么，视为监理人违约。故本附件将监理人违约分为监理不良行为、监理过失、监理渎职及监理不达标四大情形造成的违约，这四种违约情形及违约责任的承担作如下规定： </w:t>
      </w:r>
    </w:p>
    <w:p w14:paraId="3FDBBEE6">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b/>
          <w:bCs/>
          <w:snapToGrid w:val="0"/>
          <w:color w:val="auto"/>
          <w:kern w:val="0"/>
          <w:sz w:val="24"/>
          <w:szCs w:val="24"/>
          <w:highlight w:val="none"/>
          <w:lang w:val="en-US" w:eastAsia="zh-CN"/>
        </w:rPr>
        <w:t>2</w:t>
      </w:r>
      <w:r>
        <w:rPr>
          <w:rFonts w:hint="eastAsia" w:ascii="宋体" w:hAnsi="宋体" w:eastAsia="宋体" w:cs="宋体"/>
          <w:b/>
          <w:bCs/>
          <w:snapToGrid w:val="0"/>
          <w:color w:val="auto"/>
          <w:kern w:val="0"/>
          <w:sz w:val="24"/>
          <w:szCs w:val="24"/>
          <w:highlight w:val="none"/>
        </w:rPr>
        <w:t xml:space="preserve"> 监理违约行为一览表</w:t>
      </w:r>
    </w:p>
    <w:p w14:paraId="206E7A13">
      <w:pPr>
        <w:pStyle w:val="40"/>
        <w:shd w:val="clear" w:color="auto" w:fil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监理违约行为一览表</w:t>
      </w:r>
      <w:r>
        <w:rPr>
          <w:rFonts w:hint="eastAsia" w:ascii="宋体" w:hAnsi="宋体" w:eastAsia="宋体" w:cs="宋体"/>
          <w:color w:val="auto"/>
          <w:sz w:val="24"/>
          <w:szCs w:val="24"/>
          <w:highlight w:val="none"/>
        </w:rPr>
        <w:t xml:space="preserve"> </w:t>
      </w:r>
    </w:p>
    <w:p w14:paraId="45C0C8F9">
      <w:pPr>
        <w:pStyle w:val="40"/>
        <w:shd w:val="clear" w:color="auto" w:fill="auto"/>
        <w:rPr>
          <w:rFonts w:hint="eastAsia" w:ascii="宋体" w:hAnsi="宋体" w:eastAsia="宋体" w:cs="宋体"/>
          <w:color w:val="auto"/>
          <w:sz w:val="24"/>
          <w:szCs w:val="24"/>
          <w:highlight w:val="none"/>
        </w:rPr>
      </w:pPr>
    </w:p>
    <w:tbl>
      <w:tblPr>
        <w:tblStyle w:val="32"/>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4290"/>
        <w:gridCol w:w="2040"/>
        <w:gridCol w:w="1747"/>
      </w:tblGrid>
      <w:tr w14:paraId="1BA8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83" w:type="dxa"/>
          </w:tcPr>
          <w:p w14:paraId="0B2C6AC8">
            <w:pPr>
              <w:pStyle w:val="40"/>
              <w:shd w:val="clear" w:color="auto" w:fill="auto"/>
              <w:rPr>
                <w:rFonts w:hint="eastAsia" w:ascii="宋体" w:hAnsi="宋体" w:eastAsia="宋体" w:cs="宋体"/>
                <w:b/>
                <w:bCs w:val="0"/>
                <w:color w:val="auto"/>
                <w:sz w:val="24"/>
                <w:szCs w:val="24"/>
                <w:highlight w:val="none"/>
                <w:vertAlign w:val="baseline"/>
                <w:lang w:eastAsia="zh-CN"/>
              </w:rPr>
            </w:pPr>
            <w:r>
              <w:rPr>
                <w:rFonts w:hint="eastAsia" w:ascii="宋体" w:hAnsi="宋体" w:eastAsia="宋体" w:cs="宋体"/>
                <w:b/>
                <w:bCs w:val="0"/>
                <w:color w:val="auto"/>
                <w:sz w:val="24"/>
                <w:szCs w:val="24"/>
                <w:highlight w:val="none"/>
                <w:vertAlign w:val="baseline"/>
                <w:lang w:eastAsia="zh-CN"/>
              </w:rPr>
              <w:t>序号</w:t>
            </w:r>
          </w:p>
        </w:tc>
        <w:tc>
          <w:tcPr>
            <w:tcW w:w="4290" w:type="dxa"/>
          </w:tcPr>
          <w:p w14:paraId="773424F8">
            <w:pPr>
              <w:pStyle w:val="40"/>
              <w:shd w:val="clear" w:color="auto" w:fill="auto"/>
              <w:rPr>
                <w:rFonts w:hint="eastAsia" w:ascii="宋体" w:hAnsi="宋体" w:eastAsia="宋体" w:cs="宋体"/>
                <w:b/>
                <w:bCs w:val="0"/>
                <w:color w:val="auto"/>
                <w:sz w:val="24"/>
                <w:szCs w:val="24"/>
                <w:highlight w:val="none"/>
                <w:vertAlign w:val="baseline"/>
                <w:lang w:eastAsia="zh-CN"/>
              </w:rPr>
            </w:pPr>
            <w:r>
              <w:rPr>
                <w:rFonts w:hint="eastAsia" w:ascii="宋体" w:hAnsi="宋体" w:eastAsia="宋体" w:cs="宋体"/>
                <w:b/>
                <w:bCs w:val="0"/>
                <w:color w:val="auto"/>
                <w:sz w:val="24"/>
                <w:szCs w:val="24"/>
                <w:highlight w:val="none"/>
                <w:vertAlign w:val="baseline"/>
                <w:lang w:eastAsia="zh-CN"/>
              </w:rPr>
              <w:t>违约行为</w:t>
            </w:r>
          </w:p>
        </w:tc>
        <w:tc>
          <w:tcPr>
            <w:tcW w:w="2040" w:type="dxa"/>
          </w:tcPr>
          <w:p w14:paraId="397998ED">
            <w:pPr>
              <w:pStyle w:val="40"/>
              <w:shd w:val="clear" w:color="auto" w:fill="auto"/>
              <w:rPr>
                <w:rFonts w:hint="eastAsia" w:ascii="宋体" w:hAnsi="宋体" w:eastAsia="宋体" w:cs="宋体"/>
                <w:b/>
                <w:bCs w:val="0"/>
                <w:color w:val="auto"/>
                <w:sz w:val="24"/>
                <w:szCs w:val="24"/>
                <w:highlight w:val="none"/>
                <w:vertAlign w:val="baseline"/>
                <w:lang w:eastAsia="zh-CN"/>
              </w:rPr>
            </w:pPr>
            <w:r>
              <w:rPr>
                <w:rFonts w:hint="eastAsia" w:ascii="宋体" w:hAnsi="宋体" w:eastAsia="宋体" w:cs="宋体"/>
                <w:b/>
                <w:bCs w:val="0"/>
                <w:color w:val="auto"/>
                <w:sz w:val="24"/>
                <w:szCs w:val="24"/>
                <w:highlight w:val="none"/>
                <w:vertAlign w:val="baseline"/>
                <w:lang w:eastAsia="zh-CN"/>
              </w:rPr>
              <w:t>违约金额</w:t>
            </w:r>
          </w:p>
        </w:tc>
        <w:tc>
          <w:tcPr>
            <w:tcW w:w="1747" w:type="dxa"/>
          </w:tcPr>
          <w:p w14:paraId="148C7625">
            <w:pPr>
              <w:pStyle w:val="40"/>
              <w:shd w:val="clear" w:color="auto" w:fill="auto"/>
              <w:rPr>
                <w:rFonts w:hint="eastAsia" w:ascii="宋体" w:hAnsi="宋体" w:eastAsia="宋体" w:cs="宋体"/>
                <w:b/>
                <w:bCs w:val="0"/>
                <w:color w:val="auto"/>
                <w:sz w:val="24"/>
                <w:szCs w:val="24"/>
                <w:highlight w:val="none"/>
                <w:vertAlign w:val="baseline"/>
                <w:lang w:eastAsia="zh-CN"/>
              </w:rPr>
            </w:pPr>
            <w:r>
              <w:rPr>
                <w:rFonts w:hint="eastAsia" w:ascii="宋体" w:hAnsi="宋体" w:eastAsia="宋体" w:cs="宋体"/>
                <w:b/>
                <w:bCs w:val="0"/>
                <w:color w:val="auto"/>
                <w:sz w:val="24"/>
                <w:szCs w:val="24"/>
                <w:highlight w:val="none"/>
                <w:vertAlign w:val="baseline"/>
                <w:lang w:eastAsia="zh-CN"/>
              </w:rPr>
              <w:t>备注</w:t>
            </w:r>
          </w:p>
        </w:tc>
      </w:tr>
      <w:tr w14:paraId="4D15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3" w:type="dxa"/>
            <w:vAlign w:val="center"/>
          </w:tcPr>
          <w:p w14:paraId="7FB3B60C">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color w:val="auto"/>
                <w:sz w:val="24"/>
                <w:szCs w:val="24"/>
                <w:highlight w:val="none"/>
                <w:vertAlign w:val="baseline"/>
                <w:lang w:val="en-US" w:eastAsia="zh-CN"/>
              </w:rPr>
            </w:pPr>
            <w:r>
              <w:rPr>
                <w:rFonts w:hint="eastAsia" w:ascii="宋体" w:hAnsi="宋体" w:eastAsia="宋体" w:cs="宋体"/>
                <w:b/>
                <w:bCs w:val="0"/>
                <w:color w:val="auto"/>
                <w:sz w:val="24"/>
                <w:szCs w:val="24"/>
                <w:highlight w:val="none"/>
                <w:vertAlign w:val="baseline"/>
                <w:lang w:val="en-US" w:eastAsia="zh-CN"/>
              </w:rPr>
              <w:t>一</w:t>
            </w:r>
          </w:p>
        </w:tc>
        <w:tc>
          <w:tcPr>
            <w:tcW w:w="4290" w:type="dxa"/>
          </w:tcPr>
          <w:p w14:paraId="7AE94470">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bCs w:val="0"/>
                <w:color w:val="auto"/>
                <w:sz w:val="24"/>
                <w:szCs w:val="24"/>
                <w:highlight w:val="none"/>
                <w:vertAlign w:val="baseline"/>
              </w:rPr>
            </w:pPr>
            <w:r>
              <w:rPr>
                <w:rFonts w:hint="eastAsia" w:ascii="宋体" w:hAnsi="宋体" w:eastAsia="宋体" w:cs="宋体"/>
                <w:b/>
                <w:bCs w:val="0"/>
                <w:color w:val="auto"/>
                <w:sz w:val="24"/>
                <w:szCs w:val="24"/>
                <w:highlight w:val="none"/>
                <w:vertAlign w:val="baseline"/>
              </w:rPr>
              <w:t>监理不良行为违约</w:t>
            </w:r>
          </w:p>
        </w:tc>
        <w:tc>
          <w:tcPr>
            <w:tcW w:w="2040" w:type="dxa"/>
            <w:vAlign w:val="center"/>
          </w:tcPr>
          <w:p w14:paraId="711BED1B">
            <w:pPr>
              <w:pStyle w:val="40"/>
              <w:shd w:val="clear" w:color="auto" w:fill="auto"/>
              <w:jc w:val="center"/>
              <w:rPr>
                <w:rFonts w:hint="eastAsia" w:ascii="宋体" w:hAnsi="宋体" w:eastAsia="宋体" w:cs="宋体"/>
                <w:b w:val="0"/>
                <w:bCs/>
                <w:color w:val="auto"/>
                <w:sz w:val="24"/>
                <w:szCs w:val="24"/>
                <w:highlight w:val="none"/>
                <w:vertAlign w:val="baseline"/>
              </w:rPr>
            </w:pPr>
          </w:p>
        </w:tc>
        <w:tc>
          <w:tcPr>
            <w:tcW w:w="1747" w:type="dxa"/>
          </w:tcPr>
          <w:p w14:paraId="4AAC6FBC">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28E0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152095CD">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w:t>
            </w:r>
          </w:p>
        </w:tc>
        <w:tc>
          <w:tcPr>
            <w:tcW w:w="4290" w:type="dxa"/>
          </w:tcPr>
          <w:p w14:paraId="23F93AEE">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rPr>
              <w:t>本项目对总监实施考勤，考勤每月累计不少于20天</w:t>
            </w:r>
          </w:p>
        </w:tc>
        <w:tc>
          <w:tcPr>
            <w:tcW w:w="2040" w:type="dxa"/>
            <w:vAlign w:val="center"/>
          </w:tcPr>
          <w:p w14:paraId="2D43F690">
            <w:pPr>
              <w:pStyle w:val="40"/>
              <w:shd w:val="clear" w:color="auto" w:fill="auto"/>
              <w:jc w:val="center"/>
              <w:rPr>
                <w:rFonts w:hint="eastAsia" w:ascii="宋体" w:hAnsi="宋体" w:eastAsia="宋体" w:cs="宋体"/>
                <w:b w:val="0"/>
                <w:bCs/>
                <w:color w:val="auto"/>
                <w:sz w:val="24"/>
                <w:szCs w:val="24"/>
                <w:highlight w:val="none"/>
                <w:u w:val="none"/>
                <w:vertAlign w:val="baseline"/>
              </w:rPr>
            </w:pPr>
            <w:r>
              <w:rPr>
                <w:rFonts w:hint="eastAsia" w:ascii="宋体" w:hAnsi="宋体" w:eastAsia="宋体" w:cs="宋体"/>
                <w:b w:val="0"/>
                <w:bCs/>
                <w:color w:val="auto"/>
                <w:sz w:val="24"/>
                <w:szCs w:val="24"/>
                <w:highlight w:val="none"/>
                <w:u w:val="none"/>
                <w:vertAlign w:val="baseline"/>
              </w:rPr>
              <w:t>¥</w:t>
            </w:r>
            <w:r>
              <w:rPr>
                <w:rFonts w:hint="eastAsia" w:ascii="宋体" w:hAnsi="宋体" w:eastAsia="宋体" w:cs="宋体"/>
                <w:b w:val="0"/>
                <w:bCs/>
                <w:color w:val="auto"/>
                <w:sz w:val="24"/>
                <w:szCs w:val="24"/>
                <w:highlight w:val="none"/>
                <w:u w:val="none"/>
                <w:vertAlign w:val="baseline"/>
                <w:lang w:val="en-US" w:eastAsia="zh-CN"/>
              </w:rPr>
              <w:t>1</w:t>
            </w:r>
            <w:r>
              <w:rPr>
                <w:rFonts w:hint="eastAsia" w:ascii="宋体" w:hAnsi="宋体" w:eastAsia="宋体" w:cs="宋体"/>
                <w:b w:val="0"/>
                <w:bCs/>
                <w:color w:val="auto"/>
                <w:sz w:val="24"/>
                <w:szCs w:val="24"/>
                <w:highlight w:val="none"/>
                <w:u w:val="none"/>
                <w:vertAlign w:val="baseline"/>
              </w:rPr>
              <w:t>000元/天</w:t>
            </w:r>
          </w:p>
        </w:tc>
        <w:tc>
          <w:tcPr>
            <w:tcW w:w="1747" w:type="dxa"/>
          </w:tcPr>
          <w:p w14:paraId="0F7DDBB6">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6A81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3FB687CB">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2</w:t>
            </w:r>
          </w:p>
        </w:tc>
        <w:tc>
          <w:tcPr>
            <w:tcW w:w="4290" w:type="dxa"/>
          </w:tcPr>
          <w:p w14:paraId="4DA55D12">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rPr>
              <w:t>本项目对驻场监理人员实施考勤，考勤每月累计不到位天数超过6天</w:t>
            </w:r>
          </w:p>
        </w:tc>
        <w:tc>
          <w:tcPr>
            <w:tcW w:w="2040" w:type="dxa"/>
            <w:vAlign w:val="center"/>
          </w:tcPr>
          <w:p w14:paraId="033F80D3">
            <w:pPr>
              <w:pStyle w:val="40"/>
              <w:shd w:val="clear" w:color="auto" w:fill="auto"/>
              <w:jc w:val="center"/>
              <w:rPr>
                <w:rFonts w:hint="eastAsia" w:ascii="宋体" w:hAnsi="宋体" w:eastAsia="宋体" w:cs="宋体"/>
                <w:b w:val="0"/>
                <w:bCs/>
                <w:color w:val="auto"/>
                <w:sz w:val="24"/>
                <w:szCs w:val="24"/>
                <w:highlight w:val="none"/>
                <w:u w:val="none"/>
                <w:vertAlign w:val="baseline"/>
                <w:lang w:val="en-US" w:eastAsia="zh-CN"/>
              </w:rPr>
            </w:pPr>
            <w:r>
              <w:rPr>
                <w:rFonts w:hint="eastAsia" w:ascii="宋体" w:hAnsi="宋体" w:eastAsia="宋体" w:cs="宋体"/>
                <w:b w:val="0"/>
                <w:bCs/>
                <w:color w:val="auto"/>
                <w:sz w:val="24"/>
                <w:szCs w:val="24"/>
                <w:highlight w:val="none"/>
                <w:u w:val="none"/>
              </w:rPr>
              <w:t>¥</w:t>
            </w:r>
            <w:r>
              <w:rPr>
                <w:rFonts w:hint="eastAsia" w:ascii="宋体" w:hAnsi="宋体" w:eastAsia="宋体" w:cs="宋体"/>
                <w:b w:val="0"/>
                <w:bCs/>
                <w:color w:val="auto"/>
                <w:sz w:val="24"/>
                <w:szCs w:val="24"/>
                <w:highlight w:val="none"/>
                <w:u w:val="none"/>
                <w:lang w:val="en-US" w:eastAsia="zh-CN"/>
              </w:rPr>
              <w:t>1</w:t>
            </w:r>
            <w:r>
              <w:rPr>
                <w:rFonts w:hint="eastAsia" w:ascii="宋体" w:hAnsi="宋体" w:eastAsia="宋体" w:cs="宋体"/>
                <w:b w:val="0"/>
                <w:bCs/>
                <w:color w:val="auto"/>
                <w:sz w:val="24"/>
                <w:szCs w:val="24"/>
                <w:highlight w:val="none"/>
                <w:u w:val="none"/>
              </w:rPr>
              <w:t>000元</w:t>
            </w:r>
            <w:r>
              <w:rPr>
                <w:rFonts w:hint="eastAsia" w:ascii="宋体" w:hAnsi="宋体" w:eastAsia="宋体" w:cs="宋体"/>
                <w:b w:val="0"/>
                <w:bCs/>
                <w:color w:val="auto"/>
                <w:sz w:val="24"/>
                <w:szCs w:val="24"/>
                <w:highlight w:val="none"/>
                <w:u w:val="none"/>
                <w:lang w:val="en-US" w:eastAsia="zh-CN"/>
              </w:rPr>
              <w:t>/天</w:t>
            </w:r>
          </w:p>
        </w:tc>
        <w:tc>
          <w:tcPr>
            <w:tcW w:w="1747" w:type="dxa"/>
          </w:tcPr>
          <w:p w14:paraId="3E508AAE">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6573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0EC2887A">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3</w:t>
            </w:r>
          </w:p>
        </w:tc>
        <w:tc>
          <w:tcPr>
            <w:tcW w:w="4290" w:type="dxa"/>
          </w:tcPr>
          <w:p w14:paraId="5AC41EBC">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rPr>
              <w:t>其他监理人员必须按配备要求在现场驻场监理，离开项目现场必须经委托人书面同意，如委托人发现监理人员非正常离岗</w:t>
            </w:r>
          </w:p>
        </w:tc>
        <w:tc>
          <w:tcPr>
            <w:tcW w:w="2040" w:type="dxa"/>
            <w:vAlign w:val="center"/>
          </w:tcPr>
          <w:p w14:paraId="61C07D0F">
            <w:pPr>
              <w:pStyle w:val="40"/>
              <w:shd w:val="clear" w:color="auto" w:fill="auto"/>
              <w:jc w:val="center"/>
              <w:rPr>
                <w:rFonts w:hint="eastAsia" w:ascii="宋体" w:hAnsi="宋体" w:eastAsia="宋体" w:cs="宋体"/>
                <w:b w:val="0"/>
                <w:bCs/>
                <w:color w:val="auto"/>
                <w:sz w:val="24"/>
                <w:szCs w:val="24"/>
                <w:highlight w:val="none"/>
                <w:u w:val="none"/>
                <w:vertAlign w:val="baseline"/>
              </w:rPr>
            </w:pPr>
            <w:r>
              <w:rPr>
                <w:rFonts w:hint="eastAsia" w:ascii="宋体" w:hAnsi="宋体" w:eastAsia="宋体" w:cs="宋体"/>
                <w:b w:val="0"/>
                <w:bCs/>
                <w:color w:val="auto"/>
                <w:sz w:val="24"/>
                <w:szCs w:val="24"/>
                <w:highlight w:val="none"/>
                <w:u w:val="none"/>
              </w:rPr>
              <w:t>¥</w:t>
            </w:r>
            <w:r>
              <w:rPr>
                <w:rFonts w:hint="eastAsia" w:ascii="宋体" w:hAnsi="宋体" w:eastAsia="宋体" w:cs="宋体"/>
                <w:b w:val="0"/>
                <w:bCs/>
                <w:color w:val="auto"/>
                <w:sz w:val="24"/>
                <w:szCs w:val="24"/>
                <w:highlight w:val="none"/>
                <w:u w:val="none"/>
                <w:lang w:val="en-US" w:eastAsia="zh-CN"/>
              </w:rPr>
              <w:t>1</w:t>
            </w:r>
            <w:r>
              <w:rPr>
                <w:rFonts w:hint="eastAsia" w:ascii="宋体" w:hAnsi="宋体" w:eastAsia="宋体" w:cs="宋体"/>
                <w:b w:val="0"/>
                <w:bCs/>
                <w:color w:val="auto"/>
                <w:sz w:val="24"/>
                <w:szCs w:val="24"/>
                <w:highlight w:val="none"/>
                <w:u w:val="none"/>
              </w:rPr>
              <w:t>000元</w:t>
            </w:r>
            <w:r>
              <w:rPr>
                <w:rFonts w:hint="eastAsia" w:ascii="宋体" w:hAnsi="宋体" w:eastAsia="宋体" w:cs="宋体"/>
                <w:b w:val="0"/>
                <w:bCs/>
                <w:color w:val="auto"/>
                <w:sz w:val="24"/>
                <w:szCs w:val="24"/>
                <w:highlight w:val="none"/>
                <w:u w:val="none"/>
                <w:lang w:val="en-US" w:eastAsia="zh-CN"/>
              </w:rPr>
              <w:t>/次</w:t>
            </w:r>
          </w:p>
        </w:tc>
        <w:tc>
          <w:tcPr>
            <w:tcW w:w="1747" w:type="dxa"/>
          </w:tcPr>
          <w:p w14:paraId="38DC1C46">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3725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48593D5C">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4</w:t>
            </w:r>
          </w:p>
        </w:tc>
        <w:tc>
          <w:tcPr>
            <w:tcW w:w="4290" w:type="dxa"/>
          </w:tcPr>
          <w:p w14:paraId="5056991B">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rPr>
              <w:t>同一问题未能按时整改，每重复一次</w:t>
            </w:r>
          </w:p>
        </w:tc>
        <w:tc>
          <w:tcPr>
            <w:tcW w:w="2040" w:type="dxa"/>
            <w:vAlign w:val="center"/>
          </w:tcPr>
          <w:p w14:paraId="46DAAF17">
            <w:pPr>
              <w:pStyle w:val="40"/>
              <w:shd w:val="clear" w:color="auto" w:fill="auto"/>
              <w:jc w:val="center"/>
              <w:rPr>
                <w:rFonts w:hint="eastAsia" w:ascii="宋体" w:hAnsi="宋体" w:eastAsia="宋体" w:cs="宋体"/>
                <w:b w:val="0"/>
                <w:bCs/>
                <w:color w:val="auto"/>
                <w:sz w:val="24"/>
                <w:szCs w:val="24"/>
                <w:highlight w:val="none"/>
                <w:u w:val="none"/>
                <w:vertAlign w:val="baseline"/>
              </w:rPr>
            </w:pPr>
            <w:r>
              <w:rPr>
                <w:rFonts w:hint="eastAsia" w:ascii="宋体" w:hAnsi="宋体" w:eastAsia="宋体" w:cs="宋体"/>
                <w:b w:val="0"/>
                <w:bCs/>
                <w:color w:val="auto"/>
                <w:sz w:val="24"/>
                <w:szCs w:val="24"/>
                <w:highlight w:val="none"/>
                <w:u w:val="none"/>
              </w:rPr>
              <w:t>¥</w:t>
            </w:r>
            <w:r>
              <w:rPr>
                <w:rFonts w:hint="eastAsia" w:ascii="宋体" w:hAnsi="宋体" w:eastAsia="宋体" w:cs="宋体"/>
                <w:b w:val="0"/>
                <w:bCs/>
                <w:color w:val="auto"/>
                <w:sz w:val="24"/>
                <w:szCs w:val="24"/>
                <w:highlight w:val="none"/>
                <w:u w:val="none"/>
                <w:lang w:val="en-US" w:eastAsia="zh-CN"/>
              </w:rPr>
              <w:t>3</w:t>
            </w:r>
            <w:r>
              <w:rPr>
                <w:rFonts w:hint="eastAsia" w:ascii="宋体" w:hAnsi="宋体" w:eastAsia="宋体" w:cs="宋体"/>
                <w:b w:val="0"/>
                <w:bCs/>
                <w:color w:val="auto"/>
                <w:sz w:val="24"/>
                <w:szCs w:val="24"/>
                <w:highlight w:val="none"/>
                <w:u w:val="none"/>
              </w:rPr>
              <w:t>000元</w:t>
            </w:r>
            <w:r>
              <w:rPr>
                <w:rFonts w:hint="eastAsia" w:ascii="宋体" w:hAnsi="宋体" w:eastAsia="宋体" w:cs="宋体"/>
                <w:b w:val="0"/>
                <w:bCs/>
                <w:color w:val="auto"/>
                <w:sz w:val="24"/>
                <w:szCs w:val="24"/>
                <w:highlight w:val="none"/>
                <w:u w:val="none"/>
                <w:lang w:val="en-US" w:eastAsia="zh-CN"/>
              </w:rPr>
              <w:t>/次</w:t>
            </w:r>
          </w:p>
        </w:tc>
        <w:tc>
          <w:tcPr>
            <w:tcW w:w="1747" w:type="dxa"/>
          </w:tcPr>
          <w:p w14:paraId="320B00A2">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4266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10318FE3">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5</w:t>
            </w:r>
          </w:p>
        </w:tc>
        <w:tc>
          <w:tcPr>
            <w:tcW w:w="4290" w:type="dxa"/>
          </w:tcPr>
          <w:p w14:paraId="112397C0">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投标人必须充分考虑总监的履职能力和可行性，充分评估总监的身体健康状况及合同约定服务期限，监理人原则上不得更换总监，若监理人提出《广东省住房和城乡建设厅关于建设工程项目招标中标后监督检查的办法》（粤建市〔2009〕8号第九条所述除外情形之</w:t>
            </w:r>
            <w:r>
              <w:rPr>
                <w:rFonts w:hint="eastAsia" w:ascii="宋体" w:hAnsi="宋体" w:eastAsia="宋体" w:cs="宋体"/>
                <w:b w:val="0"/>
                <w:bCs/>
                <w:color w:val="auto"/>
                <w:sz w:val="24"/>
                <w:szCs w:val="24"/>
                <w:highlight w:val="none"/>
                <w:lang w:eastAsia="zh-CN"/>
              </w:rPr>
              <w:t>一</w:t>
            </w:r>
            <w:r>
              <w:rPr>
                <w:rFonts w:hint="eastAsia" w:ascii="宋体" w:hAnsi="宋体" w:eastAsia="宋体" w:cs="宋体"/>
                <w:b w:val="0"/>
                <w:bCs/>
                <w:color w:val="auto"/>
                <w:sz w:val="24"/>
                <w:szCs w:val="24"/>
                <w:highlight w:val="none"/>
              </w:rPr>
              <w:t>需变更更换总监的</w:t>
            </w:r>
          </w:p>
        </w:tc>
        <w:tc>
          <w:tcPr>
            <w:tcW w:w="2040" w:type="dxa"/>
            <w:vAlign w:val="center"/>
          </w:tcPr>
          <w:p w14:paraId="28ACDFB7">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合同价的2%</w:t>
            </w:r>
          </w:p>
        </w:tc>
        <w:tc>
          <w:tcPr>
            <w:tcW w:w="1747" w:type="dxa"/>
          </w:tcPr>
          <w:p w14:paraId="7720F379">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42D3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1B63F664">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6</w:t>
            </w:r>
          </w:p>
        </w:tc>
        <w:tc>
          <w:tcPr>
            <w:tcW w:w="4290" w:type="dxa"/>
          </w:tcPr>
          <w:p w14:paraId="4AB566F3">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监理人未按规定进驻现场或者未按要求</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在</w:t>
            </w:r>
            <w:r>
              <w:rPr>
                <w:rFonts w:hint="eastAsia" w:ascii="宋体" w:hAnsi="宋体" w:eastAsia="宋体" w:cs="宋体"/>
                <w:b w:val="0"/>
                <w:bCs/>
                <w:color w:val="auto"/>
                <w:sz w:val="24"/>
                <w:szCs w:val="24"/>
                <w:highlight w:val="none"/>
              </w:rPr>
              <w:t>关键工序（如桩基施工、大体积混凝土浇筑、钢结构安装等）、隐蔽工程（如地基处理、防水层施工、管线预埋等）或高风险作</w:t>
            </w:r>
            <w:r>
              <w:rPr>
                <w:rFonts w:hint="eastAsia" w:ascii="宋体" w:hAnsi="宋体" w:eastAsia="宋体" w:cs="宋体"/>
                <w:b w:val="0"/>
                <w:bCs/>
                <w:color w:val="auto"/>
                <w:sz w:val="24"/>
                <w:szCs w:val="24"/>
                <w:highlight w:val="none"/>
                <w:lang w:val="en-US" w:eastAsia="zh-CN"/>
              </w:rPr>
              <w:t>业（如</w:t>
            </w:r>
            <w:r>
              <w:rPr>
                <w:rFonts w:hint="eastAsia" w:ascii="宋体" w:hAnsi="宋体" w:eastAsia="宋体" w:cs="宋体"/>
                <w:b w:val="0"/>
                <w:bCs/>
                <w:color w:val="auto"/>
                <w:sz w:val="24"/>
                <w:szCs w:val="24"/>
                <w:highlight w:val="none"/>
              </w:rPr>
              <w:t>深基坑支护、高支模混凝土浇筑、起重吊装、爆破作业等</w:t>
            </w:r>
            <w:r>
              <w:rPr>
                <w:rFonts w:hint="eastAsia" w:ascii="宋体" w:hAnsi="宋体" w:eastAsia="宋体" w:cs="宋体"/>
                <w:b w:val="0"/>
                <w:bCs/>
                <w:color w:val="auto"/>
                <w:sz w:val="24"/>
                <w:szCs w:val="24"/>
                <w:highlight w:val="none"/>
                <w:lang w:val="en-US" w:eastAsia="zh-CN"/>
              </w:rPr>
              <w:t>）环节</w:t>
            </w:r>
            <w:r>
              <w:rPr>
                <w:rFonts w:hint="eastAsia" w:ascii="宋体" w:hAnsi="宋体" w:eastAsia="宋体" w:cs="宋体"/>
                <w:b w:val="0"/>
                <w:bCs/>
                <w:color w:val="auto"/>
                <w:sz w:val="24"/>
                <w:szCs w:val="24"/>
                <w:highlight w:val="none"/>
              </w:rPr>
              <w:t>旁站监理的</w:t>
            </w:r>
          </w:p>
        </w:tc>
        <w:tc>
          <w:tcPr>
            <w:tcW w:w="2040" w:type="dxa"/>
            <w:vAlign w:val="center"/>
          </w:tcPr>
          <w:p w14:paraId="31DD2013">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合同价的1%/次</w:t>
            </w:r>
          </w:p>
        </w:tc>
        <w:tc>
          <w:tcPr>
            <w:tcW w:w="1747" w:type="dxa"/>
          </w:tcPr>
          <w:p w14:paraId="733DE10E">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09CF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24DC5E5E">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7</w:t>
            </w:r>
          </w:p>
        </w:tc>
        <w:tc>
          <w:tcPr>
            <w:tcW w:w="4290" w:type="dxa"/>
          </w:tcPr>
          <w:p w14:paraId="02136481">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监理人</w:t>
            </w:r>
            <w:r>
              <w:rPr>
                <w:rFonts w:hint="eastAsia" w:ascii="宋体" w:hAnsi="宋体" w:eastAsia="宋体" w:cs="宋体"/>
                <w:b w:val="0"/>
                <w:bCs/>
                <w:color w:val="auto"/>
                <w:sz w:val="24"/>
                <w:szCs w:val="24"/>
                <w:highlight w:val="none"/>
                <w:lang w:val="en-US" w:eastAsia="zh-CN"/>
              </w:rPr>
              <w:t>未</w:t>
            </w:r>
            <w:r>
              <w:rPr>
                <w:rFonts w:hint="eastAsia" w:ascii="宋体" w:hAnsi="宋体" w:eastAsia="宋体" w:cs="宋体"/>
                <w:b w:val="0"/>
                <w:bCs/>
                <w:color w:val="auto"/>
                <w:sz w:val="24"/>
                <w:szCs w:val="24"/>
                <w:highlight w:val="none"/>
              </w:rPr>
              <w:t>按规定向发包人报告工作或者提供不实报告的</w:t>
            </w:r>
          </w:p>
        </w:tc>
        <w:tc>
          <w:tcPr>
            <w:tcW w:w="2040" w:type="dxa"/>
            <w:vAlign w:val="center"/>
          </w:tcPr>
          <w:p w14:paraId="6A3EAFAB">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合同价的5%/次</w:t>
            </w:r>
          </w:p>
        </w:tc>
        <w:tc>
          <w:tcPr>
            <w:tcW w:w="1747" w:type="dxa"/>
          </w:tcPr>
          <w:p w14:paraId="773B6085">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0827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192B55BD">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8</w:t>
            </w:r>
          </w:p>
        </w:tc>
        <w:tc>
          <w:tcPr>
            <w:tcW w:w="4290" w:type="dxa"/>
          </w:tcPr>
          <w:p w14:paraId="71330C0A">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监理人指派不具有相应资质的人员进行监理的</w:t>
            </w:r>
          </w:p>
        </w:tc>
        <w:tc>
          <w:tcPr>
            <w:tcW w:w="2040" w:type="dxa"/>
            <w:vAlign w:val="center"/>
          </w:tcPr>
          <w:p w14:paraId="4B637F0D">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合同价的5%/次</w:t>
            </w:r>
          </w:p>
        </w:tc>
        <w:tc>
          <w:tcPr>
            <w:tcW w:w="1747" w:type="dxa"/>
          </w:tcPr>
          <w:p w14:paraId="20158E53">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1A6F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1BD45B48">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9</w:t>
            </w:r>
          </w:p>
        </w:tc>
        <w:tc>
          <w:tcPr>
            <w:tcW w:w="4290" w:type="dxa"/>
          </w:tcPr>
          <w:p w14:paraId="4CE2EDC9">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监理人及其工作人员接受承包人或者建筑材料、建筑构配件和设备供应人的利益或者请客送礼的</w:t>
            </w:r>
          </w:p>
        </w:tc>
        <w:tc>
          <w:tcPr>
            <w:tcW w:w="2040" w:type="dxa"/>
            <w:vAlign w:val="center"/>
          </w:tcPr>
          <w:p w14:paraId="55129724">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合同价的40%/次</w:t>
            </w:r>
          </w:p>
        </w:tc>
        <w:tc>
          <w:tcPr>
            <w:tcW w:w="1747" w:type="dxa"/>
          </w:tcPr>
          <w:p w14:paraId="74781A5F">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17F7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317B90BF">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10</w:t>
            </w:r>
          </w:p>
        </w:tc>
        <w:tc>
          <w:tcPr>
            <w:tcW w:w="4290" w:type="dxa"/>
          </w:tcPr>
          <w:p w14:paraId="5420A792">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监理人明知不合格的建设工程、建筑材料、建筑构配件和设备按照合格签字的</w:t>
            </w:r>
          </w:p>
        </w:tc>
        <w:tc>
          <w:tcPr>
            <w:tcW w:w="2040" w:type="dxa"/>
            <w:vAlign w:val="center"/>
          </w:tcPr>
          <w:p w14:paraId="4260B176">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合同价的10%/次；造成发包人损失的，赔偿全部损失或者与有关责任人连带赔偿全部损失</w:t>
            </w:r>
          </w:p>
        </w:tc>
        <w:tc>
          <w:tcPr>
            <w:tcW w:w="1747" w:type="dxa"/>
          </w:tcPr>
          <w:p w14:paraId="7428BB09">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0832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231323BF">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11</w:t>
            </w:r>
          </w:p>
        </w:tc>
        <w:tc>
          <w:tcPr>
            <w:tcW w:w="4290" w:type="dxa"/>
          </w:tcPr>
          <w:p w14:paraId="5231225C">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监理人与承包人串通，弄虚作假、降低工程质量的</w:t>
            </w:r>
          </w:p>
        </w:tc>
        <w:tc>
          <w:tcPr>
            <w:tcW w:w="2040" w:type="dxa"/>
            <w:vAlign w:val="center"/>
          </w:tcPr>
          <w:p w14:paraId="0DD6C7DA">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合同价的10%/次；造成发包人损失的，应当赔偿全部损失或者与有关责任人连带赔偿全部损失。</w:t>
            </w:r>
          </w:p>
        </w:tc>
        <w:tc>
          <w:tcPr>
            <w:tcW w:w="1747" w:type="dxa"/>
          </w:tcPr>
          <w:p w14:paraId="1A4EB697">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2954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18D6F329">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12.1</w:t>
            </w:r>
          </w:p>
        </w:tc>
        <w:tc>
          <w:tcPr>
            <w:tcW w:w="4290" w:type="dxa"/>
          </w:tcPr>
          <w:p w14:paraId="35D1F8E3">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根据《关于进一步加强政府投资项目工程变更管理的通知》的要求，因监理单位履职不到位引起的累计工程变更调整费用总额超过项目施工合同价(暂列金、预留金除外)的10%以上(含)</w:t>
            </w:r>
          </w:p>
        </w:tc>
        <w:tc>
          <w:tcPr>
            <w:tcW w:w="2040" w:type="dxa"/>
            <w:vAlign w:val="center"/>
          </w:tcPr>
          <w:p w14:paraId="0008B43F">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由项目建设单位按照合同扣减其30%的委托费用</w:t>
            </w:r>
          </w:p>
        </w:tc>
        <w:tc>
          <w:tcPr>
            <w:tcW w:w="1747" w:type="dxa"/>
          </w:tcPr>
          <w:p w14:paraId="15812631">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2F7B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49706F99">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12.2</w:t>
            </w:r>
          </w:p>
        </w:tc>
        <w:tc>
          <w:tcPr>
            <w:tcW w:w="4290" w:type="dxa"/>
          </w:tcPr>
          <w:p w14:paraId="6FC02C20">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根据《关于进一步加强政府投资项目工程变更管理的通知》的要求，因监理单位履职不到位引起的累计工程变更调整费用总额超过项目施工合同价(暂列金、预留金除外)的20%以上(含)</w:t>
            </w:r>
          </w:p>
        </w:tc>
        <w:tc>
          <w:tcPr>
            <w:tcW w:w="2040" w:type="dxa"/>
            <w:vAlign w:val="center"/>
          </w:tcPr>
          <w:p w14:paraId="0A0C70D9">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全额扣减相关费用，并由相关部门在市场诚信管理、市场准入、资质管理等方面依法给予处理并进行通报。</w:t>
            </w:r>
          </w:p>
        </w:tc>
        <w:tc>
          <w:tcPr>
            <w:tcW w:w="1747" w:type="dxa"/>
          </w:tcPr>
          <w:p w14:paraId="6E78F54C">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3FC4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6FB19267">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color w:val="auto"/>
                <w:sz w:val="24"/>
                <w:szCs w:val="24"/>
                <w:highlight w:val="none"/>
                <w:vertAlign w:val="baseline"/>
                <w:lang w:val="en-US" w:eastAsia="zh-CN"/>
              </w:rPr>
            </w:pPr>
            <w:r>
              <w:rPr>
                <w:rFonts w:hint="eastAsia" w:ascii="宋体" w:hAnsi="宋体" w:eastAsia="宋体" w:cs="宋体"/>
                <w:b/>
                <w:bCs w:val="0"/>
                <w:color w:val="auto"/>
                <w:sz w:val="24"/>
                <w:szCs w:val="24"/>
                <w:highlight w:val="none"/>
                <w:vertAlign w:val="baseline"/>
                <w:lang w:val="en-US" w:eastAsia="zh-CN"/>
              </w:rPr>
              <w:t>二</w:t>
            </w:r>
          </w:p>
        </w:tc>
        <w:tc>
          <w:tcPr>
            <w:tcW w:w="4290" w:type="dxa"/>
          </w:tcPr>
          <w:p w14:paraId="0D4BEE18">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eastAsia="zh-CN"/>
              </w:rPr>
              <w:t>监理过失</w:t>
            </w:r>
            <w:r>
              <w:rPr>
                <w:rFonts w:hint="eastAsia" w:ascii="宋体" w:hAnsi="宋体" w:eastAsia="宋体" w:cs="宋体"/>
                <w:b/>
                <w:bCs w:val="0"/>
                <w:color w:val="auto"/>
                <w:sz w:val="24"/>
                <w:szCs w:val="24"/>
                <w:highlight w:val="none"/>
              </w:rPr>
              <w:t>事件违约</w:t>
            </w:r>
          </w:p>
        </w:tc>
        <w:tc>
          <w:tcPr>
            <w:tcW w:w="2040" w:type="dxa"/>
            <w:vAlign w:val="center"/>
          </w:tcPr>
          <w:p w14:paraId="0343D539">
            <w:pPr>
              <w:pStyle w:val="40"/>
              <w:shd w:val="clear" w:color="auto" w:fill="auto"/>
              <w:jc w:val="center"/>
              <w:rPr>
                <w:rFonts w:hint="eastAsia" w:ascii="宋体" w:hAnsi="宋体" w:eastAsia="宋体" w:cs="宋体"/>
                <w:b w:val="0"/>
                <w:bCs/>
                <w:color w:val="auto"/>
                <w:sz w:val="24"/>
                <w:szCs w:val="24"/>
                <w:highlight w:val="none"/>
                <w:u w:val="single"/>
                <w:lang w:val="en-US" w:eastAsia="zh-CN"/>
              </w:rPr>
            </w:pPr>
          </w:p>
        </w:tc>
        <w:tc>
          <w:tcPr>
            <w:tcW w:w="1747" w:type="dxa"/>
          </w:tcPr>
          <w:p w14:paraId="0982D77C">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5ED6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42EA47B1">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w:t>
            </w:r>
          </w:p>
        </w:tc>
        <w:tc>
          <w:tcPr>
            <w:tcW w:w="4290" w:type="dxa"/>
          </w:tcPr>
          <w:p w14:paraId="36504EAD">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①委托人发现施工中存在问题，而监理人未发现的；②监理人发现施工中存在的问题，但未督促发现勘察、设计、施工单位整改或整改不到位的（以监理人发出的整改通知和发现勘察、设计、施工单位回复及监理复查意见为准）；③监理人三次及以上发出整改通知发现勘察</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设计</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施工单位未能给予响应的，但监理人未能采取果断措施的</w:t>
            </w:r>
          </w:p>
        </w:tc>
        <w:tc>
          <w:tcPr>
            <w:tcW w:w="2040" w:type="dxa"/>
            <w:vAlign w:val="center"/>
          </w:tcPr>
          <w:p w14:paraId="1C289212">
            <w:pPr>
              <w:pStyle w:val="40"/>
              <w:shd w:val="clear" w:color="auto" w:fill="auto"/>
              <w:jc w:val="center"/>
              <w:rPr>
                <w:rFonts w:hint="eastAsia" w:ascii="宋体" w:hAnsi="宋体" w:eastAsia="宋体" w:cs="宋体"/>
                <w:b w:val="0"/>
                <w:bCs/>
                <w:color w:val="auto"/>
                <w:sz w:val="24"/>
                <w:szCs w:val="24"/>
                <w:highlight w:val="none"/>
                <w:u w:val="single"/>
                <w:lang w:val="en-US" w:eastAsia="zh-CN"/>
              </w:rPr>
            </w:pPr>
            <w:r>
              <w:rPr>
                <w:rFonts w:hint="eastAsia" w:ascii="宋体" w:hAnsi="宋体" w:eastAsia="宋体" w:cs="宋体"/>
                <w:b w:val="0"/>
                <w:bCs/>
                <w:color w:val="auto"/>
                <w:sz w:val="24"/>
                <w:szCs w:val="24"/>
                <w:highlight w:val="none"/>
                <w:u w:val="single"/>
                <w:lang w:val="en-US" w:eastAsia="zh-CN"/>
              </w:rPr>
              <w:t>¥2000元/次</w:t>
            </w:r>
          </w:p>
        </w:tc>
        <w:tc>
          <w:tcPr>
            <w:tcW w:w="1747" w:type="dxa"/>
          </w:tcPr>
          <w:p w14:paraId="4FB92DB4">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7A45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14EB1B52">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color w:val="auto"/>
                <w:sz w:val="24"/>
                <w:szCs w:val="24"/>
                <w:highlight w:val="none"/>
                <w:vertAlign w:val="baseline"/>
                <w:lang w:val="en-US" w:eastAsia="zh-CN"/>
              </w:rPr>
            </w:pPr>
            <w:r>
              <w:rPr>
                <w:rFonts w:hint="eastAsia" w:ascii="宋体" w:hAnsi="宋体" w:eastAsia="宋体" w:cs="宋体"/>
                <w:b/>
                <w:bCs w:val="0"/>
                <w:color w:val="auto"/>
                <w:sz w:val="24"/>
                <w:szCs w:val="24"/>
                <w:highlight w:val="none"/>
                <w:vertAlign w:val="baseline"/>
                <w:lang w:val="en-US" w:eastAsia="zh-CN"/>
              </w:rPr>
              <w:t>三</w:t>
            </w:r>
          </w:p>
        </w:tc>
        <w:tc>
          <w:tcPr>
            <w:tcW w:w="4290" w:type="dxa"/>
          </w:tcPr>
          <w:p w14:paraId="3307EFE8">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监理渎职事件违约</w:t>
            </w:r>
          </w:p>
        </w:tc>
        <w:tc>
          <w:tcPr>
            <w:tcW w:w="2040" w:type="dxa"/>
            <w:vAlign w:val="center"/>
          </w:tcPr>
          <w:p w14:paraId="397185CA">
            <w:pPr>
              <w:pStyle w:val="40"/>
              <w:shd w:val="clear" w:color="auto" w:fill="auto"/>
              <w:jc w:val="center"/>
              <w:rPr>
                <w:rFonts w:hint="eastAsia" w:ascii="宋体" w:hAnsi="宋体" w:eastAsia="宋体" w:cs="宋体"/>
                <w:b w:val="0"/>
                <w:bCs/>
                <w:color w:val="auto"/>
                <w:sz w:val="24"/>
                <w:szCs w:val="24"/>
                <w:highlight w:val="none"/>
                <w:u w:val="single"/>
                <w:lang w:val="en-US" w:eastAsia="zh-CN"/>
              </w:rPr>
            </w:pPr>
          </w:p>
        </w:tc>
        <w:tc>
          <w:tcPr>
            <w:tcW w:w="1747" w:type="dxa"/>
          </w:tcPr>
          <w:p w14:paraId="7B2F55F0">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50D1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7" w:hRule="atLeast"/>
        </w:trPr>
        <w:tc>
          <w:tcPr>
            <w:tcW w:w="983" w:type="dxa"/>
            <w:vAlign w:val="center"/>
          </w:tcPr>
          <w:p w14:paraId="07BECD52">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w:t>
            </w:r>
          </w:p>
        </w:tc>
        <w:tc>
          <w:tcPr>
            <w:tcW w:w="4290" w:type="dxa"/>
          </w:tcPr>
          <w:p w14:paraId="51DEFD48">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2"/>
                <w:sz w:val="24"/>
                <w:szCs w:val="24"/>
                <w:highlight w:val="none"/>
                <w:lang w:val="en-US" w:eastAsia="zh-CN" w:bidi="ar-SA"/>
              </w:rPr>
              <w:t>监理人必须加强对监理人员职业操守、廉政建设的培训和教育，本项目监理人员利用职业身份“吃、拿、卡、要”或有其他违反职业操守及廉政建设相关规定的，一经查实，监理人应立即清退该监理人员，并承担1次非常严重违约责任</w:t>
            </w:r>
          </w:p>
        </w:tc>
        <w:tc>
          <w:tcPr>
            <w:tcW w:w="2040" w:type="dxa"/>
            <w:vAlign w:val="center"/>
          </w:tcPr>
          <w:p w14:paraId="52FE93DF">
            <w:pPr>
              <w:pStyle w:val="40"/>
              <w:shd w:val="clear" w:color="auto" w:fill="auto"/>
              <w:jc w:val="center"/>
              <w:rPr>
                <w:rFonts w:hint="eastAsia" w:ascii="宋体" w:hAnsi="宋体" w:eastAsia="宋体" w:cs="宋体"/>
                <w:b w:val="0"/>
                <w:bCs/>
                <w:color w:val="auto"/>
                <w:sz w:val="24"/>
                <w:szCs w:val="24"/>
                <w:highlight w:val="none"/>
                <w:u w:val="single"/>
                <w:lang w:val="en-US" w:eastAsia="zh-CN"/>
              </w:rPr>
            </w:pPr>
            <w:r>
              <w:rPr>
                <w:rFonts w:hint="eastAsia" w:ascii="宋体" w:hAnsi="宋体" w:eastAsia="宋体" w:cs="宋体"/>
                <w:b w:val="0"/>
                <w:bCs/>
                <w:color w:val="auto"/>
                <w:sz w:val="24"/>
                <w:szCs w:val="24"/>
                <w:highlight w:val="none"/>
                <w:u w:val="single"/>
              </w:rPr>
              <w:t>¥10000元</w:t>
            </w:r>
            <w:r>
              <w:rPr>
                <w:rFonts w:hint="eastAsia" w:ascii="宋体" w:hAnsi="宋体" w:eastAsia="宋体" w:cs="宋体"/>
                <w:b w:val="0"/>
                <w:bCs/>
                <w:color w:val="auto"/>
                <w:sz w:val="24"/>
                <w:szCs w:val="24"/>
                <w:highlight w:val="none"/>
                <w:u w:val="single"/>
                <w:lang w:val="en-US" w:eastAsia="zh-CN"/>
              </w:rPr>
              <w:t>/次</w:t>
            </w:r>
          </w:p>
        </w:tc>
        <w:tc>
          <w:tcPr>
            <w:tcW w:w="1747" w:type="dxa"/>
          </w:tcPr>
          <w:p w14:paraId="42E1067C">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4361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6A1AB9CD">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2</w:t>
            </w:r>
          </w:p>
        </w:tc>
        <w:tc>
          <w:tcPr>
            <w:tcW w:w="4290" w:type="dxa"/>
          </w:tcPr>
          <w:p w14:paraId="7584845D">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rPr>
              <w:t>①</w:t>
            </w:r>
            <w:r>
              <w:rPr>
                <w:rFonts w:hint="eastAsia" w:ascii="宋体" w:hAnsi="宋体" w:eastAsia="宋体" w:cs="宋体"/>
                <w:b w:val="0"/>
                <w:bCs/>
                <w:color w:val="auto"/>
                <w:sz w:val="24"/>
                <w:szCs w:val="24"/>
                <w:highlight w:val="none"/>
              </w:rPr>
              <w:t>与承包人串通，不合理提高施工难度及增加材料用量，以增大施工费用，获取不正当收益</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strike w:val="0"/>
                <w:dstrike w:val="0"/>
                <w:color w:val="auto"/>
                <w:sz w:val="24"/>
                <w:szCs w:val="24"/>
                <w:highlight w:val="none"/>
                <w:lang w:val="en-US" w:eastAsia="zh-CN"/>
              </w:rPr>
              <w:t>②</w:t>
            </w:r>
            <w:r>
              <w:rPr>
                <w:rFonts w:hint="eastAsia" w:ascii="宋体" w:hAnsi="宋体" w:eastAsia="宋体" w:cs="宋体"/>
                <w:b w:val="0"/>
                <w:bCs/>
                <w:color w:val="auto"/>
                <w:sz w:val="24"/>
                <w:szCs w:val="24"/>
                <w:highlight w:val="none"/>
              </w:rPr>
              <w:t>故意刁难承包人以谋取私利，损害委托人的合法利益</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③其他可鉴定为严重违约行为。</w:t>
            </w:r>
          </w:p>
        </w:tc>
        <w:tc>
          <w:tcPr>
            <w:tcW w:w="2040" w:type="dxa"/>
            <w:vAlign w:val="center"/>
          </w:tcPr>
          <w:p w14:paraId="18924DA8">
            <w:pPr>
              <w:pStyle w:val="40"/>
              <w:shd w:val="clear" w:color="auto" w:fill="auto"/>
              <w:jc w:val="center"/>
              <w:rPr>
                <w:rFonts w:hint="eastAsia" w:ascii="宋体" w:hAnsi="宋体" w:eastAsia="宋体" w:cs="宋体"/>
                <w:b w:val="0"/>
                <w:bCs/>
                <w:color w:val="auto"/>
                <w:sz w:val="24"/>
                <w:szCs w:val="24"/>
                <w:highlight w:val="none"/>
                <w:u w:val="single"/>
                <w:lang w:val="en-US" w:eastAsia="zh-CN"/>
              </w:rPr>
            </w:pPr>
            <w:r>
              <w:rPr>
                <w:rFonts w:hint="eastAsia" w:ascii="宋体" w:hAnsi="宋体" w:eastAsia="宋体" w:cs="宋体"/>
                <w:b w:val="0"/>
                <w:bCs/>
                <w:color w:val="auto"/>
                <w:sz w:val="24"/>
                <w:szCs w:val="24"/>
                <w:highlight w:val="none"/>
                <w:u w:val="single"/>
              </w:rPr>
              <w:t>¥10000元</w:t>
            </w:r>
            <w:r>
              <w:rPr>
                <w:rFonts w:hint="eastAsia" w:ascii="宋体" w:hAnsi="宋体" w:eastAsia="宋体" w:cs="宋体"/>
                <w:b w:val="0"/>
                <w:bCs/>
                <w:color w:val="auto"/>
                <w:sz w:val="24"/>
                <w:szCs w:val="24"/>
                <w:highlight w:val="none"/>
                <w:u w:val="single"/>
                <w:lang w:val="en-US" w:eastAsia="zh-CN"/>
              </w:rPr>
              <w:t>/次</w:t>
            </w:r>
          </w:p>
        </w:tc>
        <w:tc>
          <w:tcPr>
            <w:tcW w:w="1747" w:type="dxa"/>
          </w:tcPr>
          <w:p w14:paraId="41034280">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17D3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4F3B5C73">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color w:val="auto"/>
                <w:sz w:val="24"/>
                <w:szCs w:val="24"/>
                <w:highlight w:val="none"/>
                <w:vertAlign w:val="baseline"/>
                <w:lang w:val="en-US" w:eastAsia="zh-CN"/>
              </w:rPr>
            </w:pPr>
            <w:r>
              <w:rPr>
                <w:rFonts w:hint="eastAsia" w:ascii="宋体" w:hAnsi="宋体" w:eastAsia="宋体" w:cs="宋体"/>
                <w:b/>
                <w:bCs w:val="0"/>
                <w:color w:val="auto"/>
                <w:sz w:val="24"/>
                <w:szCs w:val="24"/>
                <w:highlight w:val="none"/>
                <w:vertAlign w:val="baseline"/>
                <w:lang w:val="en-US" w:eastAsia="zh-CN"/>
              </w:rPr>
              <w:t>四</w:t>
            </w:r>
          </w:p>
        </w:tc>
        <w:tc>
          <w:tcPr>
            <w:tcW w:w="4290" w:type="dxa"/>
          </w:tcPr>
          <w:p w14:paraId="5810EC89">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eastAsia="zh-CN"/>
              </w:rPr>
              <w:t>监理不达标违约</w:t>
            </w:r>
          </w:p>
        </w:tc>
        <w:tc>
          <w:tcPr>
            <w:tcW w:w="2040" w:type="dxa"/>
            <w:vAlign w:val="center"/>
          </w:tcPr>
          <w:p w14:paraId="742FC515">
            <w:pPr>
              <w:pStyle w:val="40"/>
              <w:shd w:val="clear" w:color="auto" w:fill="auto"/>
              <w:jc w:val="center"/>
              <w:rPr>
                <w:rFonts w:hint="eastAsia" w:ascii="宋体" w:hAnsi="宋体" w:eastAsia="宋体" w:cs="宋体"/>
                <w:b w:val="0"/>
                <w:bCs/>
                <w:color w:val="auto"/>
                <w:sz w:val="24"/>
                <w:szCs w:val="24"/>
                <w:highlight w:val="none"/>
                <w:u w:val="single"/>
              </w:rPr>
            </w:pPr>
          </w:p>
        </w:tc>
        <w:tc>
          <w:tcPr>
            <w:tcW w:w="1747" w:type="dxa"/>
          </w:tcPr>
          <w:p w14:paraId="388E3BEE">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7739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13CB1B72">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w:t>
            </w:r>
          </w:p>
        </w:tc>
        <w:tc>
          <w:tcPr>
            <w:tcW w:w="4290" w:type="dxa"/>
          </w:tcPr>
          <w:p w14:paraId="31C15C7C">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工程竣工验收质量未达到施工合同等级要求的</w:t>
            </w:r>
          </w:p>
        </w:tc>
        <w:tc>
          <w:tcPr>
            <w:tcW w:w="2040" w:type="dxa"/>
            <w:vAlign w:val="center"/>
          </w:tcPr>
          <w:p w14:paraId="6EEF1157">
            <w:pPr>
              <w:pStyle w:val="40"/>
              <w:shd w:val="clear" w:color="auto" w:fill="auto"/>
              <w:jc w:val="center"/>
              <w:rPr>
                <w:rFonts w:hint="eastAsia" w:ascii="宋体" w:hAnsi="宋体" w:eastAsia="宋体" w:cs="宋体"/>
                <w:b w:val="0"/>
                <w:bCs/>
                <w:color w:val="auto"/>
                <w:sz w:val="24"/>
                <w:szCs w:val="24"/>
                <w:highlight w:val="none"/>
                <w:u w:val="single"/>
              </w:rPr>
            </w:pPr>
            <w:r>
              <w:rPr>
                <w:rFonts w:hint="eastAsia" w:ascii="宋体" w:hAnsi="宋体" w:eastAsia="宋体" w:cs="宋体"/>
                <w:b w:val="0"/>
                <w:bCs/>
                <w:color w:val="auto"/>
                <w:sz w:val="24"/>
                <w:szCs w:val="24"/>
                <w:highlight w:val="none"/>
              </w:rPr>
              <w:t>合同价款的</w:t>
            </w:r>
            <w:r>
              <w:rPr>
                <w:rFonts w:hint="eastAsia" w:ascii="宋体" w:hAnsi="宋体" w:eastAsia="宋体" w:cs="宋体"/>
                <w:b w:val="0"/>
                <w:bCs/>
                <w:color w:val="auto"/>
                <w:sz w:val="24"/>
                <w:szCs w:val="24"/>
                <w:highlight w:val="none"/>
                <w:u w:val="single"/>
              </w:rPr>
              <w:t>5％</w:t>
            </w:r>
          </w:p>
        </w:tc>
        <w:tc>
          <w:tcPr>
            <w:tcW w:w="1747" w:type="dxa"/>
          </w:tcPr>
          <w:p w14:paraId="54EF2AB2">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122A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5C49024A">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2</w:t>
            </w:r>
          </w:p>
        </w:tc>
        <w:tc>
          <w:tcPr>
            <w:tcW w:w="4290" w:type="dxa"/>
          </w:tcPr>
          <w:p w14:paraId="4098A5B9">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监理人未按要求配备用于监理现场抽检所用的试验设备和仪器的（如不具备条件的须委托有相应资质的单位进行现场检测），无条件在整改期内达到要求为止，</w:t>
            </w:r>
            <w:r>
              <w:rPr>
                <w:rFonts w:hint="eastAsia" w:ascii="宋体" w:hAnsi="宋体" w:eastAsia="宋体" w:cs="宋体"/>
                <w:b w:val="0"/>
                <w:bCs/>
                <w:color w:val="auto"/>
                <w:sz w:val="24"/>
                <w:szCs w:val="24"/>
                <w:highlight w:val="none"/>
                <w:lang w:eastAsia="zh-CN"/>
              </w:rPr>
              <w:t>未在整改期内</w:t>
            </w:r>
            <w:r>
              <w:rPr>
                <w:rFonts w:hint="eastAsia" w:ascii="宋体" w:hAnsi="宋体" w:eastAsia="宋体" w:cs="宋体"/>
                <w:b w:val="0"/>
                <w:bCs/>
                <w:color w:val="auto"/>
                <w:sz w:val="24"/>
                <w:szCs w:val="24"/>
                <w:highlight w:val="none"/>
              </w:rPr>
              <w:t>配备</w:t>
            </w:r>
          </w:p>
        </w:tc>
        <w:tc>
          <w:tcPr>
            <w:tcW w:w="2040" w:type="dxa"/>
            <w:vAlign w:val="center"/>
          </w:tcPr>
          <w:p w14:paraId="599405B1">
            <w:pPr>
              <w:pStyle w:val="40"/>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¥2000元/天</w:t>
            </w:r>
          </w:p>
        </w:tc>
        <w:tc>
          <w:tcPr>
            <w:tcW w:w="1747" w:type="dxa"/>
          </w:tcPr>
          <w:p w14:paraId="696841C6">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081A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6FA65ECC">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3</w:t>
            </w:r>
          </w:p>
        </w:tc>
        <w:tc>
          <w:tcPr>
            <w:tcW w:w="4290" w:type="dxa"/>
          </w:tcPr>
          <w:p w14:paraId="088EA821">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工程未能按期竣工验收通过</w:t>
            </w:r>
          </w:p>
        </w:tc>
        <w:tc>
          <w:tcPr>
            <w:tcW w:w="2040" w:type="dxa"/>
            <w:vAlign w:val="center"/>
          </w:tcPr>
          <w:p w14:paraId="1C7B6E79">
            <w:pPr>
              <w:pStyle w:val="40"/>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合同价款的</w:t>
            </w:r>
            <w:r>
              <w:rPr>
                <w:rFonts w:hint="eastAsia" w:ascii="宋体" w:hAnsi="宋体" w:eastAsia="宋体" w:cs="宋体"/>
                <w:b w:val="0"/>
                <w:bCs/>
                <w:color w:val="auto"/>
                <w:sz w:val="24"/>
                <w:szCs w:val="24"/>
                <w:highlight w:val="none"/>
                <w:u w:val="single"/>
                <w:lang w:val="en-US" w:eastAsia="zh-CN"/>
              </w:rPr>
              <w:t>2</w:t>
            </w:r>
            <w:r>
              <w:rPr>
                <w:rFonts w:hint="eastAsia" w:ascii="宋体" w:hAnsi="宋体" w:eastAsia="宋体" w:cs="宋体"/>
                <w:b w:val="0"/>
                <w:bCs/>
                <w:color w:val="auto"/>
                <w:sz w:val="24"/>
                <w:szCs w:val="24"/>
                <w:highlight w:val="none"/>
                <w:u w:val="single"/>
              </w:rPr>
              <w:t>％</w:t>
            </w:r>
          </w:p>
        </w:tc>
        <w:tc>
          <w:tcPr>
            <w:tcW w:w="1747" w:type="dxa"/>
          </w:tcPr>
          <w:p w14:paraId="1B9A948A">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6D08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243BD336">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4</w:t>
            </w:r>
          </w:p>
        </w:tc>
        <w:tc>
          <w:tcPr>
            <w:tcW w:w="4290" w:type="dxa"/>
          </w:tcPr>
          <w:p w14:paraId="554EBC4D">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因监理单位</w:t>
            </w:r>
            <w:r>
              <w:rPr>
                <w:rFonts w:hint="eastAsia" w:ascii="宋体" w:hAnsi="宋体" w:eastAsia="宋体" w:cs="宋体"/>
                <w:b w:val="0"/>
                <w:bCs/>
                <w:color w:val="auto"/>
                <w:sz w:val="24"/>
                <w:szCs w:val="24"/>
                <w:highlight w:val="none"/>
              </w:rPr>
              <w:t>责任</w:t>
            </w:r>
            <w:r>
              <w:rPr>
                <w:rFonts w:hint="eastAsia" w:ascii="宋体" w:hAnsi="宋体" w:eastAsia="宋体" w:cs="宋体"/>
                <w:b w:val="0"/>
                <w:bCs/>
                <w:color w:val="auto"/>
                <w:sz w:val="24"/>
                <w:szCs w:val="24"/>
                <w:highlight w:val="none"/>
                <w:lang w:eastAsia="zh-CN"/>
              </w:rPr>
              <w:t>引起变更造成投资规模增加</w:t>
            </w:r>
            <w:r>
              <w:rPr>
                <w:rFonts w:hint="eastAsia" w:ascii="宋体" w:hAnsi="宋体" w:eastAsia="宋体" w:cs="宋体"/>
                <w:b w:val="0"/>
                <w:bCs/>
                <w:color w:val="auto"/>
                <w:sz w:val="24"/>
                <w:szCs w:val="24"/>
                <w:highlight w:val="none"/>
                <w:lang w:val="en-US" w:eastAsia="zh-CN"/>
              </w:rPr>
              <w:t>10%以上的</w:t>
            </w:r>
          </w:p>
        </w:tc>
        <w:tc>
          <w:tcPr>
            <w:tcW w:w="2040" w:type="dxa"/>
            <w:vAlign w:val="center"/>
          </w:tcPr>
          <w:p w14:paraId="0080634B">
            <w:pPr>
              <w:pStyle w:val="40"/>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合同价款的20%</w:t>
            </w:r>
          </w:p>
        </w:tc>
        <w:tc>
          <w:tcPr>
            <w:tcW w:w="1747" w:type="dxa"/>
          </w:tcPr>
          <w:p w14:paraId="2DEDAF79">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7687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606CE063">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5</w:t>
            </w:r>
          </w:p>
        </w:tc>
        <w:tc>
          <w:tcPr>
            <w:tcW w:w="4290" w:type="dxa"/>
          </w:tcPr>
          <w:p w14:paraId="485A14A9">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因监理单位</w:t>
            </w:r>
            <w:r>
              <w:rPr>
                <w:rFonts w:hint="eastAsia" w:ascii="宋体" w:hAnsi="宋体" w:eastAsia="宋体" w:cs="宋体"/>
                <w:b w:val="0"/>
                <w:bCs/>
                <w:color w:val="auto"/>
                <w:sz w:val="24"/>
                <w:szCs w:val="24"/>
                <w:highlight w:val="none"/>
              </w:rPr>
              <w:t>责任</w:t>
            </w:r>
            <w:r>
              <w:rPr>
                <w:rFonts w:hint="eastAsia" w:ascii="宋体" w:hAnsi="宋体" w:eastAsia="宋体" w:cs="宋体"/>
                <w:b w:val="0"/>
                <w:bCs/>
                <w:color w:val="auto"/>
                <w:sz w:val="24"/>
                <w:szCs w:val="24"/>
                <w:highlight w:val="none"/>
                <w:lang w:eastAsia="zh-CN"/>
              </w:rPr>
              <w:t>引起变更造成投资规模增加</w:t>
            </w:r>
            <w:r>
              <w:rPr>
                <w:rFonts w:hint="eastAsia" w:ascii="宋体" w:hAnsi="宋体" w:eastAsia="宋体" w:cs="宋体"/>
                <w:b w:val="0"/>
                <w:bCs/>
                <w:color w:val="auto"/>
                <w:sz w:val="24"/>
                <w:szCs w:val="24"/>
                <w:highlight w:val="none"/>
                <w:lang w:val="en-US" w:eastAsia="zh-CN"/>
              </w:rPr>
              <w:t>15%以上的</w:t>
            </w:r>
          </w:p>
        </w:tc>
        <w:tc>
          <w:tcPr>
            <w:tcW w:w="2040" w:type="dxa"/>
            <w:vAlign w:val="center"/>
          </w:tcPr>
          <w:p w14:paraId="462D1DF5">
            <w:pPr>
              <w:pStyle w:val="40"/>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合同价款的</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0%</w:t>
            </w:r>
          </w:p>
        </w:tc>
        <w:tc>
          <w:tcPr>
            <w:tcW w:w="1747" w:type="dxa"/>
          </w:tcPr>
          <w:p w14:paraId="0EA1FF29">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56F1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5B1AA9B1">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6</w:t>
            </w:r>
          </w:p>
        </w:tc>
        <w:tc>
          <w:tcPr>
            <w:tcW w:w="4290" w:type="dxa"/>
          </w:tcPr>
          <w:p w14:paraId="2FFDE171">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因监理单位</w:t>
            </w:r>
            <w:r>
              <w:rPr>
                <w:rFonts w:hint="eastAsia" w:ascii="宋体" w:hAnsi="宋体" w:eastAsia="宋体" w:cs="宋体"/>
                <w:b w:val="0"/>
                <w:bCs/>
                <w:color w:val="auto"/>
                <w:sz w:val="24"/>
                <w:szCs w:val="24"/>
                <w:highlight w:val="none"/>
              </w:rPr>
              <w:t>责任</w:t>
            </w:r>
            <w:r>
              <w:rPr>
                <w:rFonts w:hint="eastAsia" w:ascii="宋体" w:hAnsi="宋体" w:eastAsia="宋体" w:cs="宋体"/>
                <w:b w:val="0"/>
                <w:bCs/>
                <w:color w:val="auto"/>
                <w:sz w:val="24"/>
                <w:szCs w:val="24"/>
                <w:highlight w:val="none"/>
                <w:lang w:eastAsia="zh-CN"/>
              </w:rPr>
              <w:t>引起变更造成投资规模增加</w:t>
            </w:r>
            <w:r>
              <w:rPr>
                <w:rFonts w:hint="eastAsia" w:ascii="宋体" w:hAnsi="宋体" w:eastAsia="宋体" w:cs="宋体"/>
                <w:b w:val="0"/>
                <w:bCs/>
                <w:color w:val="auto"/>
                <w:sz w:val="24"/>
                <w:szCs w:val="24"/>
                <w:highlight w:val="none"/>
                <w:lang w:val="en-US" w:eastAsia="zh-CN"/>
              </w:rPr>
              <w:t>20%以上的</w:t>
            </w:r>
          </w:p>
        </w:tc>
        <w:tc>
          <w:tcPr>
            <w:tcW w:w="2040" w:type="dxa"/>
            <w:vAlign w:val="center"/>
          </w:tcPr>
          <w:p w14:paraId="7E36A2E6">
            <w:pPr>
              <w:pStyle w:val="40"/>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合同价款的</w:t>
            </w: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0%</w:t>
            </w:r>
          </w:p>
        </w:tc>
        <w:tc>
          <w:tcPr>
            <w:tcW w:w="1747" w:type="dxa"/>
          </w:tcPr>
          <w:p w14:paraId="64D2D1A3">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7DA4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658305FD">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7</w:t>
            </w:r>
          </w:p>
        </w:tc>
        <w:tc>
          <w:tcPr>
            <w:tcW w:w="4290" w:type="dxa"/>
          </w:tcPr>
          <w:p w14:paraId="122D73B4">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被上级主管部门通报批评、被新闻媒体曝光的</w:t>
            </w:r>
          </w:p>
        </w:tc>
        <w:tc>
          <w:tcPr>
            <w:tcW w:w="2040" w:type="dxa"/>
            <w:vAlign w:val="center"/>
          </w:tcPr>
          <w:p w14:paraId="7696A95D">
            <w:pPr>
              <w:pStyle w:val="40"/>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合同价款的</w:t>
            </w: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w:t>
            </w:r>
          </w:p>
        </w:tc>
        <w:tc>
          <w:tcPr>
            <w:tcW w:w="1747" w:type="dxa"/>
          </w:tcPr>
          <w:p w14:paraId="2F265D45">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11E9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2F4C4E92">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8</w:t>
            </w:r>
          </w:p>
        </w:tc>
        <w:tc>
          <w:tcPr>
            <w:tcW w:w="4290" w:type="dxa"/>
          </w:tcPr>
          <w:p w14:paraId="4221A264">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发生安全事故隐瞒不报、谎报或者拖延报告期限的</w:t>
            </w:r>
          </w:p>
        </w:tc>
        <w:tc>
          <w:tcPr>
            <w:tcW w:w="2040" w:type="dxa"/>
            <w:vAlign w:val="center"/>
          </w:tcPr>
          <w:p w14:paraId="6A89DCC6">
            <w:pPr>
              <w:pStyle w:val="40"/>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合同价款的</w:t>
            </w: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w:t>
            </w:r>
          </w:p>
        </w:tc>
        <w:tc>
          <w:tcPr>
            <w:tcW w:w="1747" w:type="dxa"/>
          </w:tcPr>
          <w:p w14:paraId="07000065">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0AC6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260C3CF3">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9</w:t>
            </w:r>
          </w:p>
        </w:tc>
        <w:tc>
          <w:tcPr>
            <w:tcW w:w="4290" w:type="dxa"/>
          </w:tcPr>
          <w:p w14:paraId="5BDDEE47">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发生较大以上安全质量事故（按国家及合同有关规定界定）的</w:t>
            </w:r>
          </w:p>
        </w:tc>
        <w:tc>
          <w:tcPr>
            <w:tcW w:w="2040" w:type="dxa"/>
            <w:vAlign w:val="center"/>
          </w:tcPr>
          <w:p w14:paraId="4A5A6601">
            <w:pPr>
              <w:pStyle w:val="40"/>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合同价款的</w:t>
            </w:r>
            <w:r>
              <w:rPr>
                <w:rFonts w:hint="eastAsia" w:ascii="宋体" w:hAnsi="宋体" w:eastAsia="宋体" w:cs="宋体"/>
                <w:b w:val="0"/>
                <w:bCs/>
                <w:color w:val="auto"/>
                <w:sz w:val="24"/>
                <w:szCs w:val="24"/>
                <w:highlight w:val="none"/>
                <w:lang w:val="en-US" w:eastAsia="zh-CN"/>
              </w:rPr>
              <w:t>10</w:t>
            </w:r>
            <w:r>
              <w:rPr>
                <w:rFonts w:hint="eastAsia" w:ascii="宋体" w:hAnsi="宋体" w:eastAsia="宋体" w:cs="宋体"/>
                <w:b w:val="0"/>
                <w:bCs/>
                <w:color w:val="auto"/>
                <w:sz w:val="24"/>
                <w:szCs w:val="24"/>
                <w:highlight w:val="none"/>
              </w:rPr>
              <w:t>%</w:t>
            </w:r>
          </w:p>
        </w:tc>
        <w:tc>
          <w:tcPr>
            <w:tcW w:w="1747" w:type="dxa"/>
          </w:tcPr>
          <w:p w14:paraId="57AB691F">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353A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4E10AFB8">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10</w:t>
            </w:r>
          </w:p>
        </w:tc>
        <w:tc>
          <w:tcPr>
            <w:tcW w:w="4290" w:type="dxa"/>
          </w:tcPr>
          <w:p w14:paraId="42F73DAE">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监理人应保证每</w:t>
            </w:r>
            <w:r>
              <w:rPr>
                <w:rFonts w:hint="eastAsia" w:ascii="宋体" w:hAnsi="宋体" w:eastAsia="宋体" w:cs="宋体"/>
                <w:b w:val="0"/>
                <w:bCs/>
                <w:color w:val="auto"/>
                <w:sz w:val="24"/>
                <w:szCs w:val="24"/>
                <w:highlight w:val="none"/>
                <w:lang w:eastAsia="zh-CN"/>
              </w:rPr>
              <w:t>期</w:t>
            </w:r>
            <w:r>
              <w:rPr>
                <w:rFonts w:hint="eastAsia" w:ascii="宋体" w:hAnsi="宋体" w:eastAsia="宋体" w:cs="宋体"/>
                <w:b w:val="0"/>
                <w:bCs/>
                <w:color w:val="auto"/>
                <w:sz w:val="24"/>
                <w:szCs w:val="24"/>
                <w:highlight w:val="none"/>
              </w:rPr>
              <w:t>进度计量（价）数据的</w:t>
            </w:r>
            <w:r>
              <w:rPr>
                <w:rFonts w:hint="eastAsia" w:ascii="宋体" w:hAnsi="宋体" w:eastAsia="宋体" w:cs="宋体"/>
                <w:b w:val="0"/>
                <w:bCs/>
                <w:color w:val="auto"/>
                <w:sz w:val="24"/>
                <w:szCs w:val="24"/>
                <w:highlight w:val="none"/>
                <w:lang w:eastAsia="zh-CN"/>
              </w:rPr>
              <w:t>真实性、</w:t>
            </w:r>
            <w:r>
              <w:rPr>
                <w:rFonts w:hint="eastAsia" w:ascii="宋体" w:hAnsi="宋体" w:eastAsia="宋体" w:cs="宋体"/>
                <w:b w:val="0"/>
                <w:bCs/>
                <w:color w:val="auto"/>
                <w:sz w:val="24"/>
                <w:szCs w:val="24"/>
                <w:highlight w:val="none"/>
              </w:rPr>
              <w:t>准确性，如发生计量（价）误差＞5%</w:t>
            </w:r>
            <w:r>
              <w:rPr>
                <w:rFonts w:hint="eastAsia" w:ascii="宋体" w:hAnsi="宋体" w:eastAsia="宋体" w:cs="宋体"/>
                <w:b w:val="0"/>
                <w:bCs/>
                <w:color w:val="auto"/>
                <w:sz w:val="24"/>
                <w:szCs w:val="24"/>
                <w:highlight w:val="none"/>
                <w:lang w:eastAsia="zh-CN"/>
              </w:rPr>
              <w:t>（以委托人聘请的第三方造价咨询公司审核计量（价）作为对比）</w:t>
            </w:r>
            <w:r>
              <w:rPr>
                <w:rFonts w:hint="eastAsia" w:ascii="宋体" w:hAnsi="宋体" w:eastAsia="宋体" w:cs="宋体"/>
                <w:b w:val="0"/>
                <w:bCs/>
                <w:color w:val="auto"/>
                <w:sz w:val="24"/>
                <w:szCs w:val="24"/>
                <w:highlight w:val="none"/>
              </w:rPr>
              <w:t>，则视为监理人违约一次，</w:t>
            </w:r>
          </w:p>
        </w:tc>
        <w:tc>
          <w:tcPr>
            <w:tcW w:w="2040" w:type="dxa"/>
            <w:vAlign w:val="center"/>
          </w:tcPr>
          <w:p w14:paraId="60D7E0D5">
            <w:pPr>
              <w:pStyle w:val="40"/>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u w:val="none"/>
              </w:rPr>
              <w:t>¥5000元/次</w:t>
            </w:r>
          </w:p>
        </w:tc>
        <w:tc>
          <w:tcPr>
            <w:tcW w:w="1747" w:type="dxa"/>
          </w:tcPr>
          <w:p w14:paraId="57523594">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3E4F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0FBFD257">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11</w:t>
            </w:r>
          </w:p>
        </w:tc>
        <w:tc>
          <w:tcPr>
            <w:tcW w:w="4290" w:type="dxa"/>
          </w:tcPr>
          <w:p w14:paraId="7D270DF0">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因监理单位</w:t>
            </w:r>
            <w:r>
              <w:rPr>
                <w:rFonts w:hint="eastAsia" w:ascii="宋体" w:hAnsi="宋体" w:eastAsia="宋体" w:cs="宋体"/>
                <w:b w:val="0"/>
                <w:bCs/>
                <w:color w:val="auto"/>
                <w:sz w:val="24"/>
                <w:szCs w:val="24"/>
                <w:highlight w:val="none"/>
              </w:rPr>
              <w:t>责任</w:t>
            </w:r>
            <w:r>
              <w:rPr>
                <w:rFonts w:hint="eastAsia" w:ascii="宋体" w:hAnsi="宋体" w:eastAsia="宋体" w:cs="宋体"/>
                <w:b w:val="0"/>
                <w:bCs/>
                <w:color w:val="auto"/>
                <w:sz w:val="24"/>
                <w:szCs w:val="24"/>
                <w:highlight w:val="none"/>
                <w:lang w:eastAsia="zh-CN"/>
              </w:rPr>
              <w:t>引起</w:t>
            </w:r>
            <w:r>
              <w:rPr>
                <w:rFonts w:hint="eastAsia" w:ascii="宋体" w:hAnsi="宋体" w:eastAsia="宋体" w:cs="宋体"/>
                <w:b w:val="0"/>
                <w:bCs/>
                <w:color w:val="auto"/>
                <w:sz w:val="24"/>
                <w:szCs w:val="24"/>
                <w:highlight w:val="none"/>
              </w:rPr>
              <w:t>分项工期延误日数占该项总工期的</w:t>
            </w:r>
            <w:r>
              <w:rPr>
                <w:rFonts w:hint="eastAsia" w:ascii="宋体" w:hAnsi="宋体" w:eastAsia="宋体" w:cs="宋体"/>
                <w:b w:val="0"/>
                <w:bCs/>
                <w:color w:val="auto"/>
                <w:sz w:val="24"/>
                <w:szCs w:val="24"/>
                <w:highlight w:val="none"/>
                <w:lang w:val="en-US" w:eastAsia="zh-CN"/>
              </w:rPr>
              <w:t>10</w:t>
            </w:r>
            <w:r>
              <w:rPr>
                <w:rFonts w:hint="eastAsia" w:ascii="宋体" w:hAnsi="宋体" w:eastAsia="宋体" w:cs="宋体"/>
                <w:b w:val="0"/>
                <w:bCs/>
                <w:color w:val="auto"/>
                <w:sz w:val="24"/>
                <w:szCs w:val="24"/>
                <w:highlight w:val="none"/>
              </w:rPr>
              <w:t>%时</w:t>
            </w:r>
          </w:p>
        </w:tc>
        <w:tc>
          <w:tcPr>
            <w:tcW w:w="2040" w:type="dxa"/>
            <w:vAlign w:val="center"/>
          </w:tcPr>
          <w:p w14:paraId="0314ED42">
            <w:pPr>
              <w:pStyle w:val="40"/>
              <w:shd w:val="clear" w:color="auto" w:fill="auto"/>
              <w:jc w:val="center"/>
              <w:rPr>
                <w:rFonts w:hint="eastAsia" w:ascii="宋体" w:hAnsi="宋体" w:eastAsia="宋体" w:cs="宋体"/>
                <w:b w:val="0"/>
                <w:bCs/>
                <w:color w:val="auto"/>
                <w:sz w:val="24"/>
                <w:szCs w:val="24"/>
                <w:highlight w:val="none"/>
                <w:u w:val="single"/>
              </w:rPr>
            </w:pPr>
            <w:r>
              <w:rPr>
                <w:rFonts w:hint="eastAsia" w:ascii="宋体" w:hAnsi="宋体" w:eastAsia="宋体" w:cs="宋体"/>
                <w:b w:val="0"/>
                <w:bCs/>
                <w:color w:val="auto"/>
                <w:sz w:val="24"/>
                <w:szCs w:val="24"/>
                <w:highlight w:val="none"/>
              </w:rPr>
              <w:t>合同价款的20%</w:t>
            </w:r>
          </w:p>
        </w:tc>
        <w:tc>
          <w:tcPr>
            <w:tcW w:w="1747" w:type="dxa"/>
          </w:tcPr>
          <w:p w14:paraId="6190F08E">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34E3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357DB350">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12</w:t>
            </w:r>
          </w:p>
        </w:tc>
        <w:tc>
          <w:tcPr>
            <w:tcW w:w="4290" w:type="dxa"/>
          </w:tcPr>
          <w:p w14:paraId="6B62338A">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因监理单位</w:t>
            </w:r>
            <w:r>
              <w:rPr>
                <w:rFonts w:hint="eastAsia" w:ascii="宋体" w:hAnsi="宋体" w:eastAsia="宋体" w:cs="宋体"/>
                <w:b w:val="0"/>
                <w:bCs/>
                <w:color w:val="auto"/>
                <w:sz w:val="24"/>
                <w:szCs w:val="24"/>
                <w:highlight w:val="none"/>
              </w:rPr>
              <w:t>责任</w:t>
            </w:r>
            <w:r>
              <w:rPr>
                <w:rFonts w:hint="eastAsia" w:ascii="宋体" w:hAnsi="宋体" w:eastAsia="宋体" w:cs="宋体"/>
                <w:b w:val="0"/>
                <w:bCs/>
                <w:color w:val="auto"/>
                <w:sz w:val="24"/>
                <w:szCs w:val="24"/>
                <w:highlight w:val="none"/>
                <w:lang w:eastAsia="zh-CN"/>
              </w:rPr>
              <w:t>引起</w:t>
            </w:r>
            <w:r>
              <w:rPr>
                <w:rFonts w:hint="eastAsia" w:ascii="宋体" w:hAnsi="宋体" w:eastAsia="宋体" w:cs="宋体"/>
                <w:b w:val="0"/>
                <w:bCs/>
                <w:color w:val="auto"/>
                <w:sz w:val="24"/>
                <w:szCs w:val="24"/>
                <w:highlight w:val="none"/>
              </w:rPr>
              <w:t>分项工期延误日数占该项总工期的</w:t>
            </w:r>
            <w:r>
              <w:rPr>
                <w:rFonts w:hint="eastAsia" w:ascii="宋体" w:hAnsi="宋体" w:eastAsia="宋体" w:cs="宋体"/>
                <w:b w:val="0"/>
                <w:bCs/>
                <w:color w:val="auto"/>
                <w:sz w:val="24"/>
                <w:szCs w:val="24"/>
                <w:highlight w:val="none"/>
                <w:lang w:val="en-US" w:eastAsia="zh-CN"/>
              </w:rPr>
              <w:t>20</w:t>
            </w:r>
            <w:r>
              <w:rPr>
                <w:rFonts w:hint="eastAsia" w:ascii="宋体" w:hAnsi="宋体" w:eastAsia="宋体" w:cs="宋体"/>
                <w:b w:val="0"/>
                <w:bCs/>
                <w:color w:val="auto"/>
                <w:sz w:val="24"/>
                <w:szCs w:val="24"/>
                <w:highlight w:val="none"/>
              </w:rPr>
              <w:t>%时</w:t>
            </w:r>
          </w:p>
        </w:tc>
        <w:tc>
          <w:tcPr>
            <w:tcW w:w="2040" w:type="dxa"/>
            <w:vAlign w:val="center"/>
          </w:tcPr>
          <w:p w14:paraId="6FA3A777">
            <w:pPr>
              <w:pStyle w:val="40"/>
              <w:shd w:val="clear" w:color="auto" w:fill="auto"/>
              <w:jc w:val="center"/>
              <w:rPr>
                <w:rFonts w:hint="eastAsia" w:ascii="宋体" w:hAnsi="宋体" w:eastAsia="宋体" w:cs="宋体"/>
                <w:b w:val="0"/>
                <w:bCs/>
                <w:color w:val="auto"/>
                <w:sz w:val="24"/>
                <w:szCs w:val="24"/>
                <w:highlight w:val="none"/>
                <w:u w:val="single"/>
              </w:rPr>
            </w:pPr>
            <w:r>
              <w:rPr>
                <w:rFonts w:hint="eastAsia" w:ascii="宋体" w:hAnsi="宋体" w:eastAsia="宋体" w:cs="宋体"/>
                <w:b w:val="0"/>
                <w:bCs/>
                <w:color w:val="auto"/>
                <w:sz w:val="24"/>
                <w:szCs w:val="24"/>
                <w:highlight w:val="none"/>
              </w:rPr>
              <w:t>合同价款的</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0%</w:t>
            </w:r>
          </w:p>
        </w:tc>
        <w:tc>
          <w:tcPr>
            <w:tcW w:w="1747" w:type="dxa"/>
          </w:tcPr>
          <w:p w14:paraId="0BDBC965">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3D70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601A1B71">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13</w:t>
            </w:r>
          </w:p>
        </w:tc>
        <w:tc>
          <w:tcPr>
            <w:tcW w:w="4290" w:type="dxa"/>
          </w:tcPr>
          <w:p w14:paraId="59E2E930">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因监理单位</w:t>
            </w:r>
            <w:r>
              <w:rPr>
                <w:rFonts w:hint="eastAsia" w:ascii="宋体" w:hAnsi="宋体" w:eastAsia="宋体" w:cs="宋体"/>
                <w:b w:val="0"/>
                <w:bCs/>
                <w:color w:val="auto"/>
                <w:sz w:val="24"/>
                <w:szCs w:val="24"/>
                <w:highlight w:val="none"/>
              </w:rPr>
              <w:t>责任</w:t>
            </w:r>
            <w:r>
              <w:rPr>
                <w:rFonts w:hint="eastAsia" w:ascii="宋体" w:hAnsi="宋体" w:eastAsia="宋体" w:cs="宋体"/>
                <w:b w:val="0"/>
                <w:bCs/>
                <w:color w:val="auto"/>
                <w:sz w:val="24"/>
                <w:szCs w:val="24"/>
                <w:highlight w:val="none"/>
                <w:lang w:eastAsia="zh-CN"/>
              </w:rPr>
              <w:t>引起</w:t>
            </w:r>
            <w:r>
              <w:rPr>
                <w:rFonts w:hint="eastAsia" w:ascii="宋体" w:hAnsi="宋体" w:eastAsia="宋体" w:cs="宋体"/>
                <w:b w:val="0"/>
                <w:bCs/>
                <w:color w:val="auto"/>
                <w:sz w:val="24"/>
                <w:szCs w:val="24"/>
                <w:highlight w:val="none"/>
              </w:rPr>
              <w:t>分项工期延误日数占该项总工期的</w:t>
            </w:r>
            <w:r>
              <w:rPr>
                <w:rFonts w:hint="eastAsia" w:ascii="宋体" w:hAnsi="宋体" w:eastAsia="宋体" w:cs="宋体"/>
                <w:b w:val="0"/>
                <w:bCs/>
                <w:color w:val="auto"/>
                <w:sz w:val="24"/>
                <w:szCs w:val="24"/>
                <w:highlight w:val="none"/>
                <w:lang w:val="en-US" w:eastAsia="zh-CN"/>
              </w:rPr>
              <w:t>30</w:t>
            </w:r>
            <w:r>
              <w:rPr>
                <w:rFonts w:hint="eastAsia" w:ascii="宋体" w:hAnsi="宋体" w:eastAsia="宋体" w:cs="宋体"/>
                <w:b w:val="0"/>
                <w:bCs/>
                <w:color w:val="auto"/>
                <w:sz w:val="24"/>
                <w:szCs w:val="24"/>
                <w:highlight w:val="none"/>
              </w:rPr>
              <w:t>%时</w:t>
            </w:r>
          </w:p>
        </w:tc>
        <w:tc>
          <w:tcPr>
            <w:tcW w:w="2040" w:type="dxa"/>
            <w:vAlign w:val="center"/>
          </w:tcPr>
          <w:p w14:paraId="0CA8AD54">
            <w:pPr>
              <w:pStyle w:val="40"/>
              <w:shd w:val="clear" w:color="auto" w:fill="auto"/>
              <w:jc w:val="center"/>
              <w:rPr>
                <w:rFonts w:hint="eastAsia" w:ascii="宋体" w:hAnsi="宋体" w:eastAsia="宋体" w:cs="宋体"/>
                <w:b w:val="0"/>
                <w:bCs/>
                <w:color w:val="auto"/>
                <w:sz w:val="24"/>
                <w:szCs w:val="24"/>
                <w:highlight w:val="none"/>
                <w:u w:val="single"/>
              </w:rPr>
            </w:pPr>
            <w:r>
              <w:rPr>
                <w:rFonts w:hint="eastAsia" w:ascii="宋体" w:hAnsi="宋体" w:eastAsia="宋体" w:cs="宋体"/>
                <w:b w:val="0"/>
                <w:bCs/>
                <w:color w:val="auto"/>
                <w:sz w:val="24"/>
                <w:szCs w:val="24"/>
                <w:highlight w:val="none"/>
              </w:rPr>
              <w:t>合同价款的</w:t>
            </w: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0%</w:t>
            </w:r>
          </w:p>
        </w:tc>
        <w:tc>
          <w:tcPr>
            <w:tcW w:w="1747" w:type="dxa"/>
          </w:tcPr>
          <w:p w14:paraId="0B8A0E60">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5545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725B4D14">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14</w:t>
            </w:r>
          </w:p>
        </w:tc>
        <w:tc>
          <w:tcPr>
            <w:tcW w:w="4290" w:type="dxa"/>
          </w:tcPr>
          <w:p w14:paraId="5E5B2C3B">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因监理单位</w:t>
            </w:r>
            <w:r>
              <w:rPr>
                <w:rFonts w:hint="eastAsia" w:ascii="宋体" w:hAnsi="宋体" w:eastAsia="宋体" w:cs="宋体"/>
                <w:b w:val="0"/>
                <w:bCs/>
                <w:color w:val="auto"/>
                <w:sz w:val="24"/>
                <w:szCs w:val="24"/>
                <w:highlight w:val="none"/>
              </w:rPr>
              <w:t>责任</w:t>
            </w:r>
            <w:r>
              <w:rPr>
                <w:rFonts w:hint="eastAsia" w:ascii="宋体" w:hAnsi="宋体" w:eastAsia="宋体" w:cs="宋体"/>
                <w:b w:val="0"/>
                <w:bCs/>
                <w:color w:val="auto"/>
                <w:sz w:val="24"/>
                <w:szCs w:val="24"/>
                <w:highlight w:val="none"/>
                <w:lang w:eastAsia="zh-CN"/>
              </w:rPr>
              <w:t>引起</w:t>
            </w:r>
            <w:r>
              <w:rPr>
                <w:rFonts w:hint="eastAsia" w:ascii="宋体" w:hAnsi="宋体" w:eastAsia="宋体" w:cs="宋体"/>
                <w:b w:val="0"/>
                <w:bCs/>
                <w:color w:val="auto"/>
                <w:sz w:val="24"/>
                <w:szCs w:val="24"/>
                <w:highlight w:val="none"/>
              </w:rPr>
              <w:t>分项工期延误日数占该项总工期的50%时</w:t>
            </w:r>
          </w:p>
        </w:tc>
        <w:tc>
          <w:tcPr>
            <w:tcW w:w="2040" w:type="dxa"/>
            <w:vAlign w:val="center"/>
          </w:tcPr>
          <w:p w14:paraId="7CC9AE74">
            <w:pPr>
              <w:pStyle w:val="40"/>
              <w:shd w:val="clear" w:color="auto" w:fill="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eastAsia="zh-CN"/>
              </w:rPr>
              <w:t>合同价款的</w:t>
            </w:r>
            <w:r>
              <w:rPr>
                <w:rFonts w:hint="eastAsia" w:ascii="宋体" w:hAnsi="宋体" w:eastAsia="宋体" w:cs="宋体"/>
                <w:b w:val="0"/>
                <w:bCs/>
                <w:color w:val="auto"/>
                <w:sz w:val="24"/>
                <w:szCs w:val="24"/>
                <w:highlight w:val="none"/>
                <w:u w:val="none"/>
                <w:lang w:val="en-US" w:eastAsia="zh-CN"/>
              </w:rPr>
              <w:t>1%/天，发包人有权解除合同</w:t>
            </w:r>
          </w:p>
        </w:tc>
        <w:tc>
          <w:tcPr>
            <w:tcW w:w="1747" w:type="dxa"/>
          </w:tcPr>
          <w:p w14:paraId="793F89A4">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170B7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374A2CC8">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15</w:t>
            </w:r>
          </w:p>
        </w:tc>
        <w:tc>
          <w:tcPr>
            <w:tcW w:w="4290" w:type="dxa"/>
          </w:tcPr>
          <w:p w14:paraId="544973C2">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因监理人责任导致工程竣工</w:t>
            </w:r>
            <w:r>
              <w:rPr>
                <w:rFonts w:hint="eastAsia" w:ascii="宋体" w:hAnsi="宋体" w:eastAsia="宋体" w:cs="宋体"/>
                <w:b w:val="0"/>
                <w:bCs/>
                <w:color w:val="auto"/>
                <w:sz w:val="24"/>
                <w:szCs w:val="24"/>
                <w:highlight w:val="none"/>
                <w:lang w:eastAsia="zh-CN"/>
              </w:rPr>
              <w:t>拖延</w:t>
            </w:r>
          </w:p>
        </w:tc>
        <w:tc>
          <w:tcPr>
            <w:tcW w:w="2040" w:type="dxa"/>
            <w:vAlign w:val="center"/>
          </w:tcPr>
          <w:p w14:paraId="63345AA8">
            <w:pPr>
              <w:pStyle w:val="40"/>
              <w:shd w:val="clear" w:color="auto" w:fill="auto"/>
              <w:jc w:val="center"/>
              <w:rPr>
                <w:rFonts w:hint="eastAsia" w:ascii="宋体" w:hAnsi="宋体" w:eastAsia="宋体" w:cs="宋体"/>
                <w:b w:val="0"/>
                <w:bCs/>
                <w:color w:val="auto"/>
                <w:sz w:val="24"/>
                <w:szCs w:val="24"/>
                <w:highlight w:val="none"/>
                <w:u w:val="none"/>
                <w:lang w:eastAsia="zh-CN"/>
              </w:rPr>
            </w:pPr>
            <w:r>
              <w:rPr>
                <w:rFonts w:hint="eastAsia" w:ascii="宋体" w:hAnsi="宋体" w:eastAsia="宋体" w:cs="宋体"/>
                <w:b w:val="0"/>
                <w:bCs/>
                <w:color w:val="auto"/>
                <w:sz w:val="24"/>
                <w:szCs w:val="24"/>
                <w:highlight w:val="none"/>
                <w:u w:val="none"/>
                <w:lang w:eastAsia="zh-CN"/>
              </w:rPr>
              <w:t>合同价款的</w:t>
            </w:r>
            <w:r>
              <w:rPr>
                <w:rFonts w:hint="eastAsia" w:ascii="宋体" w:hAnsi="宋体" w:eastAsia="宋体" w:cs="宋体"/>
                <w:b w:val="0"/>
                <w:bCs/>
                <w:color w:val="auto"/>
                <w:sz w:val="24"/>
                <w:szCs w:val="24"/>
                <w:highlight w:val="none"/>
                <w:u w:val="none"/>
                <w:lang w:val="en-US" w:eastAsia="zh-CN"/>
              </w:rPr>
              <w:t>1%/天</w:t>
            </w:r>
          </w:p>
        </w:tc>
        <w:tc>
          <w:tcPr>
            <w:tcW w:w="1747" w:type="dxa"/>
          </w:tcPr>
          <w:p w14:paraId="73C69A20">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20FF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600D2501">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16</w:t>
            </w:r>
          </w:p>
        </w:tc>
        <w:tc>
          <w:tcPr>
            <w:tcW w:w="4290" w:type="dxa"/>
          </w:tcPr>
          <w:p w14:paraId="53C57D98">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snapToGrid w:val="0"/>
                <w:color w:val="auto"/>
                <w:kern w:val="0"/>
                <w:sz w:val="24"/>
                <w:szCs w:val="24"/>
                <w:highlight w:val="none"/>
              </w:rPr>
              <w:t>监理</w:t>
            </w:r>
            <w:r>
              <w:rPr>
                <w:rFonts w:hint="eastAsia" w:ascii="宋体" w:hAnsi="宋体" w:eastAsia="宋体" w:cs="宋体"/>
                <w:b w:val="0"/>
                <w:bCs/>
                <w:snapToGrid w:val="0"/>
                <w:color w:val="auto"/>
                <w:kern w:val="0"/>
                <w:sz w:val="24"/>
                <w:szCs w:val="24"/>
                <w:highlight w:val="none"/>
                <w:lang w:eastAsia="zh-CN"/>
              </w:rPr>
              <w:t>人</w:t>
            </w:r>
            <w:r>
              <w:rPr>
                <w:rFonts w:hint="eastAsia" w:ascii="宋体" w:hAnsi="宋体" w:eastAsia="宋体" w:cs="宋体"/>
                <w:b w:val="0"/>
                <w:bCs/>
                <w:snapToGrid w:val="0"/>
                <w:color w:val="auto"/>
                <w:kern w:val="0"/>
                <w:sz w:val="24"/>
                <w:szCs w:val="24"/>
                <w:highlight w:val="none"/>
              </w:rPr>
              <w:t>应在每月28日前向委托人报审下月的监理人员名单及监理工作计划</w:t>
            </w:r>
            <w:r>
              <w:rPr>
                <w:rFonts w:hint="eastAsia" w:ascii="宋体" w:hAnsi="宋体" w:eastAsia="宋体" w:cs="宋体"/>
                <w:b w:val="0"/>
                <w:bCs/>
                <w:snapToGrid w:val="0"/>
                <w:color w:val="auto"/>
                <w:kern w:val="0"/>
                <w:sz w:val="24"/>
                <w:szCs w:val="24"/>
                <w:highlight w:val="none"/>
                <w:lang w:eastAsia="zh-CN"/>
              </w:rPr>
              <w:t>、月报（含下个月投资计划）</w:t>
            </w:r>
            <w:r>
              <w:rPr>
                <w:rFonts w:hint="eastAsia" w:ascii="宋体" w:hAnsi="宋体" w:eastAsia="宋体" w:cs="宋体"/>
                <w:b w:val="0"/>
                <w:bCs/>
                <w:snapToGrid w:val="0"/>
                <w:color w:val="auto"/>
                <w:kern w:val="0"/>
                <w:sz w:val="24"/>
                <w:szCs w:val="24"/>
                <w:highlight w:val="none"/>
              </w:rPr>
              <w:t>。如未按时提交，每推迟一天</w:t>
            </w:r>
          </w:p>
        </w:tc>
        <w:tc>
          <w:tcPr>
            <w:tcW w:w="2040" w:type="dxa"/>
            <w:vAlign w:val="center"/>
          </w:tcPr>
          <w:p w14:paraId="70DC0A02">
            <w:pPr>
              <w:pStyle w:val="40"/>
              <w:shd w:val="clear" w:color="auto" w:fill="auto"/>
              <w:jc w:val="center"/>
              <w:rPr>
                <w:rFonts w:hint="eastAsia" w:ascii="宋体" w:hAnsi="宋体" w:eastAsia="宋体" w:cs="宋体"/>
                <w:b w:val="0"/>
                <w:bCs/>
                <w:color w:val="auto"/>
                <w:sz w:val="24"/>
                <w:szCs w:val="24"/>
                <w:highlight w:val="none"/>
                <w:u w:val="none"/>
                <w:lang w:eastAsia="zh-CN"/>
              </w:rPr>
            </w:pPr>
            <w:r>
              <w:rPr>
                <w:rFonts w:hint="eastAsia" w:ascii="宋体" w:hAnsi="宋体" w:eastAsia="宋体" w:cs="宋体"/>
                <w:b w:val="0"/>
                <w:bCs/>
                <w:snapToGrid w:val="0"/>
                <w:color w:val="auto"/>
                <w:kern w:val="0"/>
                <w:sz w:val="24"/>
                <w:szCs w:val="24"/>
                <w:highlight w:val="none"/>
                <w:u w:val="none"/>
              </w:rPr>
              <w:t>¥</w:t>
            </w:r>
            <w:r>
              <w:rPr>
                <w:rFonts w:hint="eastAsia" w:ascii="宋体" w:hAnsi="宋体" w:eastAsia="宋体" w:cs="宋体"/>
                <w:b w:val="0"/>
                <w:bCs/>
                <w:snapToGrid w:val="0"/>
                <w:color w:val="auto"/>
                <w:kern w:val="0"/>
                <w:sz w:val="24"/>
                <w:szCs w:val="24"/>
                <w:highlight w:val="none"/>
                <w:u w:val="none"/>
                <w:lang w:val="en-US" w:eastAsia="zh-CN"/>
              </w:rPr>
              <w:t>2</w:t>
            </w:r>
            <w:r>
              <w:rPr>
                <w:rFonts w:hint="eastAsia" w:ascii="宋体" w:hAnsi="宋体" w:eastAsia="宋体" w:cs="宋体"/>
                <w:b w:val="0"/>
                <w:bCs/>
                <w:snapToGrid w:val="0"/>
                <w:color w:val="auto"/>
                <w:kern w:val="0"/>
                <w:sz w:val="24"/>
                <w:szCs w:val="24"/>
                <w:highlight w:val="none"/>
                <w:u w:val="none"/>
              </w:rPr>
              <w:t>000元/天</w:t>
            </w:r>
          </w:p>
        </w:tc>
        <w:tc>
          <w:tcPr>
            <w:tcW w:w="1747" w:type="dxa"/>
          </w:tcPr>
          <w:p w14:paraId="5464096E">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0D56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03540AFF">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17</w:t>
            </w:r>
          </w:p>
        </w:tc>
        <w:tc>
          <w:tcPr>
            <w:tcW w:w="4290" w:type="dxa"/>
          </w:tcPr>
          <w:p w14:paraId="1BE90170">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监理</w:t>
            </w:r>
            <w:r>
              <w:rPr>
                <w:rFonts w:hint="eastAsia" w:ascii="宋体" w:hAnsi="宋体" w:eastAsia="宋体" w:cs="宋体"/>
                <w:b w:val="0"/>
                <w:bCs/>
                <w:snapToGrid w:val="0"/>
                <w:color w:val="auto"/>
                <w:kern w:val="0"/>
                <w:sz w:val="24"/>
                <w:szCs w:val="24"/>
                <w:highlight w:val="none"/>
                <w:lang w:eastAsia="zh-CN"/>
              </w:rPr>
              <w:t>人</w:t>
            </w:r>
            <w:r>
              <w:rPr>
                <w:rFonts w:hint="eastAsia" w:ascii="宋体" w:hAnsi="宋体" w:eastAsia="宋体" w:cs="宋体"/>
                <w:b w:val="0"/>
                <w:bCs/>
                <w:snapToGrid w:val="0"/>
                <w:color w:val="auto"/>
                <w:kern w:val="0"/>
                <w:sz w:val="24"/>
                <w:szCs w:val="24"/>
                <w:highlight w:val="none"/>
              </w:rPr>
              <w:t>根据委托人与施工单位签订的施工合同所约定的工程进度关键节点进行考核，在考核节点后的5天内提交考核报告，报告每逾期一天</w:t>
            </w:r>
          </w:p>
        </w:tc>
        <w:tc>
          <w:tcPr>
            <w:tcW w:w="2040" w:type="dxa"/>
            <w:vAlign w:val="center"/>
          </w:tcPr>
          <w:p w14:paraId="6C999B71">
            <w:pPr>
              <w:pStyle w:val="40"/>
              <w:shd w:val="clear" w:color="auto" w:fill="auto"/>
              <w:jc w:val="center"/>
              <w:rPr>
                <w:rFonts w:hint="eastAsia" w:ascii="宋体" w:hAnsi="宋体" w:eastAsia="宋体" w:cs="宋体"/>
                <w:b w:val="0"/>
                <w:bCs/>
                <w:snapToGrid w:val="0"/>
                <w:color w:val="auto"/>
                <w:kern w:val="0"/>
                <w:sz w:val="24"/>
                <w:szCs w:val="24"/>
                <w:highlight w:val="none"/>
                <w:u w:val="single"/>
              </w:rPr>
            </w:pPr>
            <w:r>
              <w:rPr>
                <w:rFonts w:hint="eastAsia" w:ascii="宋体" w:hAnsi="宋体" w:eastAsia="宋体" w:cs="宋体"/>
                <w:b w:val="0"/>
                <w:bCs/>
                <w:snapToGrid w:val="0"/>
                <w:color w:val="auto"/>
                <w:kern w:val="0"/>
                <w:sz w:val="24"/>
                <w:szCs w:val="24"/>
                <w:highlight w:val="none"/>
                <w:u w:val="none"/>
              </w:rPr>
              <w:t>¥1000元/天</w:t>
            </w:r>
          </w:p>
        </w:tc>
        <w:tc>
          <w:tcPr>
            <w:tcW w:w="1747" w:type="dxa"/>
          </w:tcPr>
          <w:p w14:paraId="07899EA3">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3691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4EB6A854">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18</w:t>
            </w:r>
          </w:p>
        </w:tc>
        <w:tc>
          <w:tcPr>
            <w:tcW w:w="4290" w:type="dxa"/>
          </w:tcPr>
          <w:p w14:paraId="0D4C7E25">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监理</w:t>
            </w:r>
            <w:r>
              <w:rPr>
                <w:rFonts w:hint="eastAsia" w:ascii="宋体" w:hAnsi="宋体" w:eastAsia="宋体" w:cs="宋体"/>
                <w:b w:val="0"/>
                <w:bCs/>
                <w:snapToGrid w:val="0"/>
                <w:color w:val="auto"/>
                <w:kern w:val="0"/>
                <w:sz w:val="24"/>
                <w:szCs w:val="24"/>
                <w:highlight w:val="none"/>
                <w:lang w:eastAsia="zh-CN"/>
              </w:rPr>
              <w:t>人</w:t>
            </w:r>
            <w:r>
              <w:rPr>
                <w:rFonts w:hint="eastAsia" w:ascii="宋体" w:hAnsi="宋体" w:eastAsia="宋体" w:cs="宋体"/>
                <w:b w:val="0"/>
                <w:bCs/>
                <w:snapToGrid w:val="0"/>
                <w:color w:val="auto"/>
                <w:kern w:val="0"/>
                <w:sz w:val="24"/>
                <w:szCs w:val="24"/>
                <w:highlight w:val="none"/>
              </w:rPr>
              <w:t>应根据招标文件及</w:t>
            </w:r>
            <w:r>
              <w:rPr>
                <w:rFonts w:hint="eastAsia" w:ascii="宋体" w:hAnsi="宋体" w:eastAsia="宋体" w:cs="宋体"/>
                <w:b w:val="0"/>
                <w:bCs/>
                <w:snapToGrid w:val="0"/>
                <w:color w:val="auto"/>
                <w:kern w:val="0"/>
                <w:sz w:val="24"/>
                <w:szCs w:val="24"/>
                <w:highlight w:val="none"/>
                <w:lang w:eastAsia="zh-CN"/>
              </w:rPr>
              <w:t>承包</w:t>
            </w:r>
            <w:r>
              <w:rPr>
                <w:rFonts w:hint="eastAsia" w:ascii="宋体" w:hAnsi="宋体" w:eastAsia="宋体" w:cs="宋体"/>
                <w:b w:val="0"/>
                <w:bCs/>
                <w:snapToGrid w:val="0"/>
                <w:color w:val="auto"/>
                <w:kern w:val="0"/>
                <w:sz w:val="24"/>
                <w:szCs w:val="24"/>
                <w:highlight w:val="none"/>
              </w:rPr>
              <w:t>合同对</w:t>
            </w:r>
            <w:r>
              <w:rPr>
                <w:rFonts w:hint="eastAsia" w:ascii="宋体" w:hAnsi="宋体" w:eastAsia="宋体" w:cs="宋体"/>
                <w:b w:val="0"/>
                <w:bCs/>
                <w:snapToGrid w:val="0"/>
                <w:color w:val="auto"/>
                <w:kern w:val="0"/>
                <w:sz w:val="24"/>
                <w:szCs w:val="24"/>
                <w:highlight w:val="none"/>
                <w:lang w:eastAsia="zh-CN"/>
              </w:rPr>
              <w:t>承包单位</w:t>
            </w:r>
            <w:r>
              <w:rPr>
                <w:rFonts w:hint="eastAsia" w:ascii="宋体" w:hAnsi="宋体" w:eastAsia="宋体" w:cs="宋体"/>
                <w:b w:val="0"/>
                <w:bCs/>
                <w:snapToGrid w:val="0"/>
                <w:color w:val="auto"/>
                <w:kern w:val="0"/>
                <w:sz w:val="24"/>
                <w:szCs w:val="24"/>
                <w:highlight w:val="none"/>
              </w:rPr>
              <w:t>履约情况（人员到位情况、进度节点控制、质量控制、造价控制、违约情况等）进行考核，对于出现进度、质量等不达标或其他违约的情况及时发出整改通知及相应违约处罚单，并于每月5日前将上月考核相关资料整理提交委托人备案，若监理未按相关要求执行视为监理违约</w:t>
            </w:r>
          </w:p>
        </w:tc>
        <w:tc>
          <w:tcPr>
            <w:tcW w:w="2040" w:type="dxa"/>
            <w:vAlign w:val="center"/>
          </w:tcPr>
          <w:p w14:paraId="028606F6">
            <w:pPr>
              <w:pStyle w:val="40"/>
              <w:shd w:val="clear" w:color="auto" w:fill="auto"/>
              <w:jc w:val="center"/>
              <w:rPr>
                <w:rFonts w:hint="eastAsia" w:ascii="宋体" w:hAnsi="宋体" w:eastAsia="宋体" w:cs="宋体"/>
                <w:b w:val="0"/>
                <w:bCs/>
                <w:snapToGrid w:val="0"/>
                <w:color w:val="auto"/>
                <w:kern w:val="0"/>
                <w:sz w:val="24"/>
                <w:szCs w:val="24"/>
                <w:highlight w:val="none"/>
                <w:u w:val="single"/>
              </w:rPr>
            </w:pPr>
            <w:r>
              <w:rPr>
                <w:rFonts w:hint="eastAsia" w:ascii="宋体" w:hAnsi="宋体" w:eastAsia="宋体" w:cs="宋体"/>
                <w:b w:val="0"/>
                <w:bCs/>
                <w:snapToGrid w:val="0"/>
                <w:color w:val="auto"/>
                <w:kern w:val="0"/>
                <w:sz w:val="24"/>
                <w:szCs w:val="24"/>
                <w:highlight w:val="none"/>
                <w:u w:val="none"/>
              </w:rPr>
              <w:t>¥1000元/天</w:t>
            </w:r>
          </w:p>
        </w:tc>
        <w:tc>
          <w:tcPr>
            <w:tcW w:w="1747" w:type="dxa"/>
          </w:tcPr>
          <w:p w14:paraId="656A30F7">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2E00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5618ECCC">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color w:val="auto"/>
                <w:sz w:val="24"/>
                <w:szCs w:val="24"/>
                <w:highlight w:val="none"/>
                <w:vertAlign w:val="baseline"/>
                <w:lang w:val="en-US" w:eastAsia="zh-CN"/>
              </w:rPr>
            </w:pPr>
            <w:r>
              <w:rPr>
                <w:rFonts w:hint="eastAsia" w:ascii="宋体" w:hAnsi="宋体" w:eastAsia="宋体" w:cs="宋体"/>
                <w:b/>
                <w:bCs w:val="0"/>
                <w:color w:val="auto"/>
                <w:sz w:val="24"/>
                <w:szCs w:val="24"/>
                <w:highlight w:val="none"/>
                <w:vertAlign w:val="baseline"/>
                <w:lang w:val="en-US" w:eastAsia="zh-CN"/>
              </w:rPr>
              <w:t>五</w:t>
            </w:r>
          </w:p>
        </w:tc>
        <w:tc>
          <w:tcPr>
            <w:tcW w:w="8077" w:type="dxa"/>
            <w:gridSpan w:val="3"/>
          </w:tcPr>
          <w:p w14:paraId="6805942F">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left"/>
              <w:textAlignment w:val="auto"/>
              <w:rPr>
                <w:rFonts w:hint="eastAsia" w:ascii="宋体" w:hAnsi="宋体" w:eastAsia="宋体" w:cs="宋体"/>
                <w:b/>
                <w:bCs w:val="0"/>
                <w:color w:val="auto"/>
                <w:sz w:val="24"/>
                <w:szCs w:val="24"/>
                <w:highlight w:val="none"/>
                <w:vertAlign w:val="baseline"/>
                <w:lang w:val="en-US" w:eastAsia="zh-CN"/>
              </w:rPr>
            </w:pPr>
            <w:r>
              <w:rPr>
                <w:rFonts w:hint="eastAsia" w:ascii="宋体" w:hAnsi="宋体" w:eastAsia="宋体" w:cs="宋体"/>
                <w:b/>
                <w:bCs w:val="0"/>
                <w:color w:val="auto"/>
                <w:sz w:val="24"/>
                <w:szCs w:val="24"/>
                <w:highlight w:val="none"/>
                <w:vertAlign w:val="baseline"/>
                <w:lang w:val="en-US" w:eastAsia="zh-CN"/>
              </w:rPr>
              <w:t>监理人出现以下违规情况，除需要按照规定缴纳罚款，还应根据业主单位需求更换现场监理人员</w:t>
            </w:r>
          </w:p>
        </w:tc>
      </w:tr>
      <w:tr w14:paraId="0D7F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5CC6B079">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1</w:t>
            </w:r>
          </w:p>
        </w:tc>
        <w:tc>
          <w:tcPr>
            <w:tcW w:w="4290" w:type="dxa"/>
          </w:tcPr>
          <w:p w14:paraId="313301FA">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监理人在工作中超越合同规定权限审批的</w:t>
            </w:r>
          </w:p>
        </w:tc>
        <w:tc>
          <w:tcPr>
            <w:tcW w:w="2040" w:type="dxa"/>
            <w:vAlign w:val="center"/>
          </w:tcPr>
          <w:p w14:paraId="3BF4F117">
            <w:pPr>
              <w:pStyle w:val="40"/>
              <w:shd w:val="clear" w:color="auto" w:fill="auto"/>
              <w:jc w:val="center"/>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合同价的5%/次；负有直接责任的监理人员应当被撤换。</w:t>
            </w:r>
          </w:p>
        </w:tc>
        <w:tc>
          <w:tcPr>
            <w:tcW w:w="1747" w:type="dxa"/>
          </w:tcPr>
          <w:p w14:paraId="3D355206">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6704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34549458">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2</w:t>
            </w:r>
          </w:p>
        </w:tc>
        <w:tc>
          <w:tcPr>
            <w:tcW w:w="4290" w:type="dxa"/>
          </w:tcPr>
          <w:p w14:paraId="39F81527">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监理人在计量或变更设计工作中弄虚作假的</w:t>
            </w:r>
          </w:p>
        </w:tc>
        <w:tc>
          <w:tcPr>
            <w:tcW w:w="2040" w:type="dxa"/>
            <w:vAlign w:val="center"/>
          </w:tcPr>
          <w:p w14:paraId="36C29A6B">
            <w:pPr>
              <w:pStyle w:val="40"/>
              <w:shd w:val="clear" w:color="auto" w:fill="auto"/>
              <w:jc w:val="center"/>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合同价的10%/次；造成发包人损失的，应当赔偿全部损失或者与有关责任人连带赔偿全部损失;负有直接责任的监理人员应当被撤换。</w:t>
            </w:r>
          </w:p>
        </w:tc>
        <w:tc>
          <w:tcPr>
            <w:tcW w:w="1747" w:type="dxa"/>
          </w:tcPr>
          <w:p w14:paraId="2F7295AB">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0F6D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604662B9">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3</w:t>
            </w:r>
          </w:p>
        </w:tc>
        <w:tc>
          <w:tcPr>
            <w:tcW w:w="4290" w:type="dxa"/>
          </w:tcPr>
          <w:p w14:paraId="797B428B">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监理人及其工作人员向承包人介绍分包队伍，推荐建筑材料、建筑构配件和设备的</w:t>
            </w:r>
          </w:p>
        </w:tc>
        <w:tc>
          <w:tcPr>
            <w:tcW w:w="2040" w:type="dxa"/>
            <w:vAlign w:val="center"/>
          </w:tcPr>
          <w:p w14:paraId="4C7B051D">
            <w:pPr>
              <w:pStyle w:val="40"/>
              <w:shd w:val="clear" w:color="auto" w:fill="auto"/>
              <w:jc w:val="center"/>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合同价的10%/次；监理人及其介绍的分包队伍将被清除出场。</w:t>
            </w:r>
          </w:p>
        </w:tc>
        <w:tc>
          <w:tcPr>
            <w:tcW w:w="1747" w:type="dxa"/>
          </w:tcPr>
          <w:p w14:paraId="59159FFE">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6912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5A4A19E3">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4</w:t>
            </w:r>
          </w:p>
        </w:tc>
        <w:tc>
          <w:tcPr>
            <w:tcW w:w="4290" w:type="dxa"/>
          </w:tcPr>
          <w:p w14:paraId="1ED9464F">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监理人转包或者分包监理业务的</w:t>
            </w:r>
          </w:p>
        </w:tc>
        <w:tc>
          <w:tcPr>
            <w:tcW w:w="2040" w:type="dxa"/>
            <w:vAlign w:val="center"/>
          </w:tcPr>
          <w:p w14:paraId="4248F5B5">
            <w:pPr>
              <w:pStyle w:val="40"/>
              <w:shd w:val="clear" w:color="auto" w:fill="auto"/>
              <w:jc w:val="center"/>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合同价的10%/次；</w:t>
            </w:r>
          </w:p>
        </w:tc>
        <w:tc>
          <w:tcPr>
            <w:tcW w:w="1747" w:type="dxa"/>
          </w:tcPr>
          <w:p w14:paraId="5CEFE588">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6DFC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6722B3F6">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5</w:t>
            </w:r>
          </w:p>
        </w:tc>
        <w:tc>
          <w:tcPr>
            <w:tcW w:w="4290" w:type="dxa"/>
          </w:tcPr>
          <w:p w14:paraId="4AFAC054">
            <w:pPr>
              <w:pStyle w:val="60"/>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因监理人的故意行为致使工期延误的</w:t>
            </w:r>
          </w:p>
        </w:tc>
        <w:tc>
          <w:tcPr>
            <w:tcW w:w="2040" w:type="dxa"/>
            <w:vAlign w:val="center"/>
          </w:tcPr>
          <w:p w14:paraId="0C2AEAA0">
            <w:pPr>
              <w:pStyle w:val="40"/>
              <w:shd w:val="clear" w:color="auto" w:fill="auto"/>
              <w:jc w:val="center"/>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合同价的10%/逾期每日；给发包人造成损失的，还应当赔偿全部损失或者与有关责任人连带赔偿全部损失。</w:t>
            </w:r>
          </w:p>
        </w:tc>
        <w:tc>
          <w:tcPr>
            <w:tcW w:w="1747" w:type="dxa"/>
          </w:tcPr>
          <w:p w14:paraId="2C610A10">
            <w:pPr>
              <w:pStyle w:val="40"/>
              <w:shd w:val="clear" w:color="auto" w:fill="auto"/>
              <w:jc w:val="both"/>
              <w:rPr>
                <w:rFonts w:hint="eastAsia" w:ascii="宋体" w:hAnsi="宋体" w:eastAsia="宋体" w:cs="宋体"/>
                <w:b w:val="0"/>
                <w:bCs/>
                <w:color w:val="auto"/>
                <w:sz w:val="24"/>
                <w:szCs w:val="24"/>
                <w:highlight w:val="none"/>
                <w:vertAlign w:val="baseline"/>
              </w:rPr>
            </w:pPr>
          </w:p>
        </w:tc>
      </w:tr>
      <w:tr w14:paraId="3058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gridSpan w:val="4"/>
            <w:vAlign w:val="center"/>
          </w:tcPr>
          <w:p w14:paraId="205CA00D">
            <w:pPr>
              <w:pStyle w:val="40"/>
              <w:shd w:val="clear" w:color="auto" w:fill="auto"/>
              <w:jc w:val="both"/>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snapToGrid w:val="0"/>
                <w:color w:val="auto"/>
                <w:kern w:val="0"/>
                <w:sz w:val="24"/>
                <w:szCs w:val="24"/>
                <w:highlight w:val="none"/>
                <w:lang w:val="en-US" w:eastAsia="zh-CN" w:bidi="ar-SA"/>
              </w:rPr>
              <w:t>注：监理人存在监理不良行为违约中6-8项情况超过两次发包人有权更换现场监理人员。</w:t>
            </w:r>
          </w:p>
        </w:tc>
      </w:tr>
      <w:tr w14:paraId="5238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5729889E">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color w:val="auto"/>
                <w:sz w:val="24"/>
                <w:szCs w:val="24"/>
                <w:highlight w:val="none"/>
                <w:vertAlign w:val="baseline"/>
                <w:lang w:val="en-US" w:eastAsia="zh-CN"/>
              </w:rPr>
            </w:pPr>
            <w:r>
              <w:rPr>
                <w:rFonts w:hint="eastAsia" w:ascii="宋体" w:hAnsi="宋体" w:eastAsia="宋体" w:cs="宋体"/>
                <w:b/>
                <w:bCs w:val="0"/>
                <w:color w:val="auto"/>
                <w:sz w:val="24"/>
                <w:szCs w:val="24"/>
                <w:highlight w:val="none"/>
                <w:vertAlign w:val="baseline"/>
                <w:lang w:val="en-US" w:eastAsia="zh-CN"/>
              </w:rPr>
              <w:t>六</w:t>
            </w:r>
          </w:p>
        </w:tc>
        <w:tc>
          <w:tcPr>
            <w:tcW w:w="8077" w:type="dxa"/>
            <w:gridSpan w:val="3"/>
            <w:vAlign w:val="top"/>
          </w:tcPr>
          <w:p w14:paraId="15900FBE">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left"/>
              <w:textAlignment w:val="auto"/>
              <w:rPr>
                <w:rFonts w:hint="eastAsia" w:ascii="宋体" w:hAnsi="宋体" w:eastAsia="宋体" w:cs="宋体"/>
                <w:b/>
                <w:bCs w:val="0"/>
                <w:color w:val="auto"/>
                <w:sz w:val="24"/>
                <w:szCs w:val="24"/>
                <w:highlight w:val="none"/>
                <w:vertAlign w:val="baseline"/>
                <w:lang w:val="en-US" w:eastAsia="zh-CN"/>
              </w:rPr>
            </w:pPr>
            <w:r>
              <w:rPr>
                <w:rFonts w:hint="eastAsia" w:ascii="宋体" w:hAnsi="宋体" w:eastAsia="宋体" w:cs="宋体"/>
                <w:b/>
                <w:bCs w:val="0"/>
                <w:color w:val="auto"/>
                <w:sz w:val="24"/>
                <w:szCs w:val="24"/>
                <w:highlight w:val="none"/>
                <w:vertAlign w:val="baseline"/>
                <w:lang w:val="en-US" w:eastAsia="zh-CN"/>
              </w:rPr>
              <w:t>监理人出现以下违规情况，发包人有权终止合同</w:t>
            </w:r>
          </w:p>
        </w:tc>
      </w:tr>
      <w:tr w14:paraId="580E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14:paraId="297A4EFF">
            <w:pPr>
              <w:pStyle w:val="40"/>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napToGrid w:val="0"/>
                <w:color w:val="auto"/>
                <w:kern w:val="0"/>
                <w:sz w:val="24"/>
                <w:szCs w:val="24"/>
                <w:highlight w:val="none"/>
                <w:lang w:val="en-US" w:eastAsia="zh-CN" w:bidi="ar-SA"/>
              </w:rPr>
            </w:pPr>
            <w:r>
              <w:rPr>
                <w:rFonts w:hint="eastAsia" w:ascii="宋体" w:hAnsi="宋体" w:eastAsia="宋体" w:cs="宋体"/>
                <w:b w:val="0"/>
                <w:bCs/>
                <w:snapToGrid w:val="0"/>
                <w:color w:val="auto"/>
                <w:kern w:val="0"/>
                <w:sz w:val="24"/>
                <w:szCs w:val="24"/>
                <w:highlight w:val="none"/>
                <w:lang w:val="en-US" w:eastAsia="zh-CN" w:bidi="ar-SA"/>
              </w:rPr>
              <w:t>1</w:t>
            </w:r>
          </w:p>
        </w:tc>
        <w:tc>
          <w:tcPr>
            <w:tcW w:w="8077" w:type="dxa"/>
            <w:gridSpan w:val="3"/>
          </w:tcPr>
          <w:p w14:paraId="369CDA8D">
            <w:pPr>
              <w:pStyle w:val="40"/>
              <w:shd w:val="clear" w:color="auto" w:fill="auto"/>
              <w:jc w:val="both"/>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rPr>
              <w:t>监理人的违约行为给发包人造成重大损失或者情节严重的，</w:t>
            </w:r>
            <w:r>
              <w:rPr>
                <w:rFonts w:hint="eastAsia" w:ascii="宋体" w:hAnsi="宋体" w:eastAsia="宋体" w:cs="宋体"/>
                <w:b w:val="0"/>
                <w:bCs/>
                <w:color w:val="auto"/>
                <w:sz w:val="24"/>
                <w:szCs w:val="24"/>
                <w:highlight w:val="none"/>
                <w:vertAlign w:val="baseline"/>
                <w:lang w:val="en-US" w:eastAsia="zh-CN"/>
              </w:rPr>
              <w:t>发包人有权终止合同，并要求监理人退还已支付监理费，涉及违法犯罪的将</w:t>
            </w:r>
            <w:r>
              <w:rPr>
                <w:rFonts w:hint="eastAsia" w:ascii="宋体" w:hAnsi="宋体" w:eastAsia="宋体" w:cs="宋体"/>
                <w:b w:val="0"/>
                <w:bCs/>
                <w:color w:val="auto"/>
                <w:sz w:val="24"/>
                <w:szCs w:val="24"/>
                <w:highlight w:val="none"/>
                <w:vertAlign w:val="baseline"/>
              </w:rPr>
              <w:t>移送司法机关处理。</w:t>
            </w:r>
          </w:p>
        </w:tc>
      </w:tr>
    </w:tbl>
    <w:p w14:paraId="24119E77">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b/>
          <w:bCs/>
          <w:snapToGrid w:val="0"/>
          <w:color w:val="auto"/>
          <w:kern w:val="0"/>
          <w:sz w:val="24"/>
          <w:szCs w:val="24"/>
          <w:highlight w:val="none"/>
        </w:rPr>
        <w:t xml:space="preserve"> 监理违约的处理程序</w:t>
      </w:r>
    </w:p>
    <w:p w14:paraId="1A903907">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8.1</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b/>
          <w:bCs/>
          <w:snapToGrid w:val="0"/>
          <w:color w:val="auto"/>
          <w:kern w:val="0"/>
          <w:sz w:val="24"/>
          <w:szCs w:val="24"/>
          <w:highlight w:val="none"/>
        </w:rPr>
        <w:t xml:space="preserve">.1 </w:t>
      </w:r>
      <w:r>
        <w:rPr>
          <w:rFonts w:hint="eastAsia" w:ascii="宋体" w:hAnsi="宋体" w:eastAsia="宋体" w:cs="宋体"/>
          <w:b w:val="0"/>
          <w:bCs w:val="0"/>
          <w:snapToGrid w:val="0"/>
          <w:color w:val="auto"/>
          <w:kern w:val="0"/>
          <w:sz w:val="24"/>
          <w:szCs w:val="24"/>
          <w:highlight w:val="none"/>
        </w:rPr>
        <w:t>由委托人管理人员在“监理行为记录档案”中将监理人的具体违约情况记录，并将记录内容书面告知监理人。</w:t>
      </w:r>
    </w:p>
    <w:p w14:paraId="09C3EF2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lang w:val="en-US" w:eastAsia="zh-CN"/>
        </w:rPr>
        <w:t>2</w:t>
      </w:r>
      <w:r>
        <w:rPr>
          <w:rFonts w:hint="eastAsia" w:ascii="宋体" w:hAnsi="宋体" w:eastAsia="宋体" w:cs="宋体"/>
          <w:b/>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委托人不定期将有关监理人的违约情况以记录、通知、会议纪要等书面形式通知监理人，指明其未能履约的内容和委托人要求其承担违约责任的等级。</w:t>
      </w:r>
    </w:p>
    <w:p w14:paraId="2ED8C59A">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b/>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监理人收到书面处理通知后，如有足够证据证明不应由其承担违约责任的，应在收到违约处理决定后3个工作日内以书面形式向委托人提出异议并附上有关证据，委托人在收到监理人的异议后15个工作日内审核完毕且作出书面决定并通知监理人。否则书面通知则作为处理决定。</w:t>
      </w:r>
    </w:p>
    <w:p w14:paraId="19E3275B">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委托人将进一步将监理人执行国家强制性规范、标准和履行合同、招投标文件义务的情况（包括但不限于由委托人组织的考核、考评通报、违约责任处理决定等）再报当地建设行政主管部门并在媒体上公开披露。</w:t>
      </w:r>
    </w:p>
    <w:p w14:paraId="2520F20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lang w:val="en-US" w:eastAsia="zh-CN"/>
        </w:rPr>
        <w:t>5</w:t>
      </w:r>
      <w:r>
        <w:rPr>
          <w:rFonts w:hint="eastAsia" w:ascii="宋体" w:hAnsi="宋体" w:eastAsia="宋体" w:cs="宋体"/>
          <w:b/>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部分解除合同：委托人向监理人发出部分解除合同的通知后，合同部分解除即生效，监理人必须在3日内停止被解除部分的工作，5日内配合委托人完成现场工作和有关资料的移交，所交接资料必须完整。监理人无特殊原因未在规定期限内完成移交和撤出，或交接资料不完整的，委托人有权处理其留在现场的材料、设备和其他物件，处理费用由监理人承担，委托人有权视情况全部解除合同。因监理人拒交或延误交接现场工作和有关资料而引致委托人工期延误及其他方面的损失，委托人有权要求监理人赔偿有关损失。委托人在发出部分解除合同的通知后，委托人即可委托新的监理人承接该部分工程，监理人不得影响或阻碍新的监理人办理进场手续和相关工作。</w:t>
      </w:r>
    </w:p>
    <w:p w14:paraId="51FF0EFA">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lang w:val="en-US" w:eastAsia="zh-CN"/>
        </w:rPr>
        <w:t>6</w:t>
      </w:r>
      <w:r>
        <w:rPr>
          <w:rFonts w:hint="eastAsia" w:ascii="宋体" w:hAnsi="宋体" w:eastAsia="宋体" w:cs="宋体"/>
          <w:b/>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完全解除合同：委托人向监理人发出解除合同的通知后，合同即解除，监理人必须在3日内停止全部工作，5日内配合委托人完成现场工作和有关资料的移交，并于完成交接工作当日内离场。监理人应保证所移交的资料齐全完整，监理人无特殊原因未在规定期限内完成移交和离场或所移交的资料不完整的，委托人有权处理其留在现场的材料、设备和其他物件，处理费用由监理人承担，如果引致委托人工期延误和其他方面的损失，委托人将要求监理人赔偿有关损失。委托人在发出解除合同的通知后，委托人即可委托新的监理人承接该工程，监理人不得影响或阻碍新的监理人办理进场手续和相关工作。</w:t>
      </w:r>
    </w:p>
    <w:p w14:paraId="365DE72F">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8.2 工程质量、造价、进度控制及安全生产管理</w:t>
      </w:r>
    </w:p>
    <w:p w14:paraId="3B71C27D">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8.2.1 工程质量控制：</w:t>
      </w:r>
    </w:p>
    <w:p w14:paraId="7745A8E4">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 </w:t>
      </w:r>
      <w:r>
        <w:rPr>
          <w:rFonts w:hint="eastAsia" w:ascii="宋体" w:hAnsi="宋体" w:eastAsia="宋体" w:cs="宋体"/>
          <w:snapToGrid w:val="0"/>
          <w:color w:val="auto"/>
          <w:kern w:val="0"/>
          <w:sz w:val="24"/>
          <w:szCs w:val="24"/>
          <w:highlight w:val="none"/>
        </w:rPr>
        <w:t>工程开工前，项目监理机构应审查施工单位现场的质量管理组织机构、管理制度及专职管理人员和特种作业人员的资格。</w:t>
      </w:r>
    </w:p>
    <w:p w14:paraId="0FD7654E">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8.2.1.2 </w:t>
      </w:r>
      <w:r>
        <w:rPr>
          <w:rFonts w:hint="eastAsia" w:ascii="宋体" w:hAnsi="宋体" w:eastAsia="宋体" w:cs="宋体"/>
          <w:snapToGrid w:val="0"/>
          <w:color w:val="auto"/>
          <w:kern w:val="0"/>
          <w:sz w:val="24"/>
          <w:szCs w:val="24"/>
          <w:highlight w:val="none"/>
        </w:rPr>
        <w:t>总监理工程师应组织专业监理工程师审查施工单位报审的施工方案，符合要求后应予以签认。施工方案审查应包括下列基本内容：</w:t>
      </w:r>
    </w:p>
    <w:p w14:paraId="6E835FEC">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（1）编审程序应符合相关规定。</w:t>
      </w:r>
    </w:p>
    <w:p w14:paraId="2A8DBE4F">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（2）工程质量保证措施应符合有关标准。</w:t>
      </w:r>
    </w:p>
    <w:p w14:paraId="4961FD56">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8.2.1.3 </w:t>
      </w:r>
      <w:r>
        <w:rPr>
          <w:rFonts w:hint="eastAsia" w:ascii="宋体" w:hAnsi="宋体" w:eastAsia="宋体" w:cs="宋体"/>
          <w:snapToGrid w:val="0"/>
          <w:color w:val="auto"/>
          <w:kern w:val="0"/>
          <w:sz w:val="24"/>
          <w:szCs w:val="24"/>
          <w:highlight w:val="none"/>
        </w:rPr>
        <w:t>施工方案报审表应按相应规范的要求填写。</w:t>
      </w:r>
    </w:p>
    <w:p w14:paraId="62FE3B99">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8.2.1.4 </w:t>
      </w:r>
      <w:r>
        <w:rPr>
          <w:rFonts w:hint="eastAsia" w:ascii="宋体" w:hAnsi="宋体" w:eastAsia="宋体" w:cs="宋体"/>
          <w:snapToGrid w:val="0"/>
          <w:color w:val="auto"/>
          <w:kern w:val="0"/>
          <w:sz w:val="24"/>
          <w:szCs w:val="24"/>
          <w:highlight w:val="none"/>
        </w:rPr>
        <w:t>专业监理工程师应审查施工单位报送的新材料、新工艺、新技术、新设备的质量认证材料和相关验收标准的适用性，必要时，应要求施工单位组织专题论证，审查合格后报总监理工程师签认。</w:t>
      </w:r>
    </w:p>
    <w:p w14:paraId="2E9D4B6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8.2.1.5 </w:t>
      </w:r>
      <w:r>
        <w:rPr>
          <w:rFonts w:hint="eastAsia" w:ascii="宋体" w:hAnsi="宋体" w:eastAsia="宋体" w:cs="宋体"/>
          <w:snapToGrid w:val="0"/>
          <w:color w:val="auto"/>
          <w:kern w:val="0"/>
          <w:sz w:val="24"/>
          <w:szCs w:val="24"/>
          <w:highlight w:val="none"/>
        </w:rPr>
        <w:t>专业监理工程师应检查、复核施工单位报送的施工控制测量成果及保护措施，签署意见。专业监理工程师应对施工单位在施工过程中报送的施工测量放线成果进行查验。施工控制测量成果及保护措施的检查、复核，应包括下列内容：</w:t>
      </w:r>
    </w:p>
    <w:p w14:paraId="6638B1D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（1）施工单位测量人员的资格证书及测量设备检定证书。</w:t>
      </w:r>
    </w:p>
    <w:p w14:paraId="41E298C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（2）施工平面控制网、高程控制网和临时水准点的测量成果及控制桩的保护措施。</w:t>
      </w:r>
    </w:p>
    <w:p w14:paraId="02979845">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8.2.1.6 </w:t>
      </w:r>
      <w:r>
        <w:rPr>
          <w:rFonts w:hint="eastAsia" w:ascii="宋体" w:hAnsi="宋体" w:eastAsia="宋体" w:cs="宋体"/>
          <w:snapToGrid w:val="0"/>
          <w:color w:val="auto"/>
          <w:kern w:val="0"/>
          <w:sz w:val="24"/>
          <w:szCs w:val="24"/>
          <w:highlight w:val="none"/>
        </w:rPr>
        <w:t>施工控制测量成果报验表应按相应规范的要求填写。</w:t>
      </w:r>
    </w:p>
    <w:p w14:paraId="667FCD6A">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8.2.1.7 </w:t>
      </w:r>
      <w:r>
        <w:rPr>
          <w:rFonts w:hint="eastAsia" w:ascii="宋体" w:hAnsi="宋体" w:eastAsia="宋体" w:cs="宋体"/>
          <w:snapToGrid w:val="0"/>
          <w:color w:val="auto"/>
          <w:kern w:val="0"/>
          <w:sz w:val="24"/>
          <w:szCs w:val="24"/>
          <w:highlight w:val="none"/>
        </w:rPr>
        <w:t>专业监理工程师应检查施工单位为工程提供服务的试验室。</w:t>
      </w:r>
    </w:p>
    <w:p w14:paraId="18B74A82">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试验室的检查应包括下列内容：</w:t>
      </w:r>
    </w:p>
    <w:p w14:paraId="47EF0CE2">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（1）试验室的资质等级及试验范围。</w:t>
      </w:r>
    </w:p>
    <w:p w14:paraId="6D6599EA">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（2）法定计量部门对试验设备出具的计量检定证明。</w:t>
      </w:r>
    </w:p>
    <w:p w14:paraId="2CE5D2C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（3）试验室管理制度。</w:t>
      </w:r>
    </w:p>
    <w:p w14:paraId="711B53D5">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（4）试验人员资格证书。</w:t>
      </w:r>
    </w:p>
    <w:p w14:paraId="52634E6E">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8.2.1.8 </w:t>
      </w:r>
      <w:r>
        <w:rPr>
          <w:rFonts w:hint="eastAsia" w:ascii="宋体" w:hAnsi="宋体" w:eastAsia="宋体" w:cs="宋体"/>
          <w:snapToGrid w:val="0"/>
          <w:color w:val="auto"/>
          <w:kern w:val="0"/>
          <w:sz w:val="24"/>
          <w:szCs w:val="24"/>
          <w:highlight w:val="none"/>
        </w:rPr>
        <w:t>施工单位的试验室报审表应按相应规范的要求填写。</w:t>
      </w:r>
    </w:p>
    <w:p w14:paraId="23FB0009">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8.2.1.9 </w:t>
      </w:r>
      <w:r>
        <w:rPr>
          <w:rFonts w:hint="eastAsia" w:ascii="宋体" w:hAnsi="宋体" w:eastAsia="宋体" w:cs="宋体"/>
          <w:snapToGrid w:val="0"/>
          <w:color w:val="auto"/>
          <w:kern w:val="0"/>
          <w:sz w:val="24"/>
          <w:szCs w:val="24"/>
          <w:highlight w:val="none"/>
        </w:rPr>
        <w:t>项目监理机构应审查施工单位</w:t>
      </w:r>
      <w:r>
        <w:rPr>
          <w:rFonts w:hint="eastAsia" w:ascii="宋体" w:hAnsi="宋体" w:eastAsia="宋体" w:cs="宋体"/>
          <w:snapToGrid w:val="0"/>
          <w:color w:val="auto"/>
          <w:kern w:val="0"/>
          <w:sz w:val="24"/>
          <w:szCs w:val="24"/>
          <w:highlight w:val="none"/>
          <w:lang w:eastAsia="zh-CN"/>
        </w:rPr>
        <w:t>及发包人委托的第三方检测机构</w:t>
      </w:r>
      <w:r>
        <w:rPr>
          <w:rFonts w:hint="eastAsia" w:ascii="宋体" w:hAnsi="宋体" w:eastAsia="宋体" w:cs="宋体"/>
          <w:snapToGrid w:val="0"/>
          <w:color w:val="auto"/>
          <w:kern w:val="0"/>
          <w:sz w:val="24"/>
          <w:szCs w:val="24"/>
          <w:highlight w:val="none"/>
        </w:rPr>
        <w:t>报送的用于工程的材料、构配件、设备的质量证明文件，并应按有关规定、建设工程监理合同约定，对用于工程的材料进行见证取样、平行检验。项目监理机构对已进场经检验不合格的工程材料、构配件、设备，应要求施工单位限期将其撤出施工现场。工程材料、构配件、设备报审表应按相应规范的要求填写。</w:t>
      </w:r>
    </w:p>
    <w:p w14:paraId="64D59BE8">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8.2.1.10 </w:t>
      </w:r>
      <w:r>
        <w:rPr>
          <w:rFonts w:hint="eastAsia" w:ascii="宋体" w:hAnsi="宋体" w:eastAsia="宋体" w:cs="宋体"/>
          <w:snapToGrid w:val="0"/>
          <w:color w:val="auto"/>
          <w:kern w:val="0"/>
          <w:sz w:val="24"/>
          <w:szCs w:val="24"/>
          <w:highlight w:val="none"/>
        </w:rPr>
        <w:t>专业监理工程师应审查施工单位定期提交影响工程质量的计量设备的检查和检定报告。</w:t>
      </w:r>
    </w:p>
    <w:p w14:paraId="15FA2F6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8.2.1.11 </w:t>
      </w:r>
      <w:r>
        <w:rPr>
          <w:rFonts w:hint="eastAsia" w:ascii="宋体" w:hAnsi="宋体" w:eastAsia="宋体" w:cs="宋体"/>
          <w:snapToGrid w:val="0"/>
          <w:color w:val="auto"/>
          <w:kern w:val="0"/>
          <w:sz w:val="24"/>
          <w:szCs w:val="24"/>
          <w:highlight w:val="none"/>
        </w:rPr>
        <w:t>项目监理机构应根据工程特点和施工单位报送的施工组织设计，确定旁站的关键部位、关键工序，安排监理人员进行旁站，并应及时记录旁站情况。旁站记录应按相应规范的要求填写。</w:t>
      </w:r>
    </w:p>
    <w:p w14:paraId="55DF3219">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8.2.1.12 </w:t>
      </w:r>
      <w:r>
        <w:rPr>
          <w:rFonts w:hint="eastAsia" w:ascii="宋体" w:hAnsi="宋体" w:eastAsia="宋体" w:cs="宋体"/>
          <w:snapToGrid w:val="0"/>
          <w:color w:val="auto"/>
          <w:kern w:val="0"/>
          <w:sz w:val="24"/>
          <w:szCs w:val="24"/>
          <w:highlight w:val="none"/>
        </w:rPr>
        <w:t>项目监理机构应安排监理人员对工程施工质量进行巡视。巡视应包括下列主要内容：</w:t>
      </w:r>
    </w:p>
    <w:p w14:paraId="435DCE9E">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（1）施工单位是否按工程设计文件、工程建设标准和批准的施工组织设计、(专项)施工方案施工。</w:t>
      </w:r>
    </w:p>
    <w:p w14:paraId="7419F1DD">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（2）使用的工程材料、构配件和设备是否合格。</w:t>
      </w:r>
    </w:p>
    <w:p w14:paraId="52F4241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（3）施工现场管理人员，特别是施工质量管理人员是否到位。</w:t>
      </w:r>
    </w:p>
    <w:p w14:paraId="5A285249">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（4）特种作业人员是否持证上岗。</w:t>
      </w:r>
    </w:p>
    <w:p w14:paraId="68C8D898">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8.2.1.13 </w:t>
      </w:r>
      <w:r>
        <w:rPr>
          <w:rFonts w:hint="eastAsia" w:ascii="宋体" w:hAnsi="宋体" w:eastAsia="宋体" w:cs="宋体"/>
          <w:snapToGrid w:val="0"/>
          <w:color w:val="auto"/>
          <w:kern w:val="0"/>
          <w:sz w:val="24"/>
          <w:szCs w:val="24"/>
          <w:highlight w:val="none"/>
        </w:rPr>
        <w:t>项目监理机构应根据工程特点、专业要求，以及建设工程监理合同约定，对施工质量进行平行检验。</w:t>
      </w:r>
    </w:p>
    <w:p w14:paraId="51C3A60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8.2.1.14 </w:t>
      </w:r>
      <w:r>
        <w:rPr>
          <w:rFonts w:hint="eastAsia" w:ascii="宋体" w:hAnsi="宋体" w:eastAsia="宋体" w:cs="宋体"/>
          <w:snapToGrid w:val="0"/>
          <w:color w:val="auto"/>
          <w:kern w:val="0"/>
          <w:sz w:val="24"/>
          <w:szCs w:val="24"/>
          <w:highlight w:val="none"/>
        </w:rPr>
        <w:t>项目监理机构应对施工单位报验的隐蔽工程、检验批、分项工程和分部工程进行验收，对验收合格的应给予签认；对验收不合格的应拒绝签认，同时应要求施工单位在指定的时间内整改并重新报验。对已同意覆盖的工程隐蔽部位质量有疑问的，或发现施工单位私自覆盖工程隐蔽部位的，项目监理机构应要求施工单位对该隐蔽部位进行钻孔探测、剥离或其他方法进行重新检验。隐蔽工程、检验批、分项工程报验表及分部工程报验表应按相应规范的要求填写。</w:t>
      </w:r>
    </w:p>
    <w:p w14:paraId="4E7EE876">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8.2.1.15 </w:t>
      </w:r>
      <w:r>
        <w:rPr>
          <w:rFonts w:hint="eastAsia" w:ascii="宋体" w:hAnsi="宋体" w:eastAsia="宋体" w:cs="宋体"/>
          <w:snapToGrid w:val="0"/>
          <w:color w:val="auto"/>
          <w:kern w:val="0"/>
          <w:sz w:val="24"/>
          <w:szCs w:val="24"/>
          <w:highlight w:val="none"/>
        </w:rPr>
        <w:t>项目监理机构发现施工存在质量问题的，或施工单位采用不适当的施工工艺，或施工不当，造成工程质量不合格的，应及时签发监理通知单，要求施工单位整改。整改完毕后，项目监理机构应根据施工单位报送的监理通知回复单对整改情况进行复查，提出复查意见。监理通知单及监理通知回复单应按相应规范的要求填写。</w:t>
      </w:r>
    </w:p>
    <w:p w14:paraId="5DCF49C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8.2.1.16 </w:t>
      </w:r>
      <w:r>
        <w:rPr>
          <w:rFonts w:hint="eastAsia" w:ascii="宋体" w:hAnsi="宋体" w:eastAsia="宋体" w:cs="宋体"/>
          <w:snapToGrid w:val="0"/>
          <w:color w:val="auto"/>
          <w:kern w:val="0"/>
          <w:sz w:val="24"/>
          <w:szCs w:val="24"/>
          <w:highlight w:val="none"/>
        </w:rPr>
        <w:t>对需要返工处理或加固补强的质量缺陷，项目监理机构应要求施工单位报送经设计等相关单位认可的处理方案，并应对质量缺陷的处理过程进行跟踪检查，同时应对处理结果进行验收。</w:t>
      </w:r>
    </w:p>
    <w:p w14:paraId="08C5F280">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8.2.1.17 </w:t>
      </w:r>
      <w:r>
        <w:rPr>
          <w:rFonts w:hint="eastAsia" w:ascii="宋体" w:hAnsi="宋体" w:eastAsia="宋体" w:cs="宋体"/>
          <w:snapToGrid w:val="0"/>
          <w:color w:val="auto"/>
          <w:kern w:val="0"/>
          <w:sz w:val="24"/>
          <w:szCs w:val="24"/>
          <w:highlight w:val="none"/>
        </w:rPr>
        <w:t>对需要返工处理或加固补强的质量事故，项目监理机构应要求施工单位报送质量事故调查报告和经设计等相关单位认可的处理方案，并应对质量事故的处理过程进行跟踪检查，同时应对处理结果进行验收。项目监理机构应及时向建设单位提交质量事故书面报告，并应将完整的质量事故处理记录整理归档。</w:t>
      </w:r>
    </w:p>
    <w:p w14:paraId="7B35460D">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8.2.1.18 </w:t>
      </w:r>
      <w:r>
        <w:rPr>
          <w:rFonts w:hint="eastAsia" w:ascii="宋体" w:hAnsi="宋体" w:eastAsia="宋体" w:cs="宋体"/>
          <w:snapToGrid w:val="0"/>
          <w:color w:val="auto"/>
          <w:kern w:val="0"/>
          <w:sz w:val="24"/>
          <w:szCs w:val="24"/>
          <w:highlight w:val="none"/>
        </w:rPr>
        <w:t>项目监理机构应审查施工单位提交的单位工程竣工验收报审表及竣工资料，组织工程竣工预验收。存在问题的，应要求施工单位及时整改；合格的，总监理工程师应签认单位工程竣工验收报审表。单位工程竣工验收报审表应按相应规范的要求填写。</w:t>
      </w:r>
    </w:p>
    <w:p w14:paraId="623582F1">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8.2.1.19 </w:t>
      </w:r>
      <w:r>
        <w:rPr>
          <w:rFonts w:hint="eastAsia" w:ascii="宋体" w:hAnsi="宋体" w:eastAsia="宋体" w:cs="宋体"/>
          <w:snapToGrid w:val="0"/>
          <w:color w:val="auto"/>
          <w:kern w:val="0"/>
          <w:sz w:val="24"/>
          <w:szCs w:val="24"/>
          <w:highlight w:val="none"/>
        </w:rPr>
        <w:t>工程竣工预验收合格后，项目监理机构应编写工程质量评估报告，并应经总监理工程师和工程监理单位技术负责人审核签字后报建设单位。</w:t>
      </w:r>
    </w:p>
    <w:p w14:paraId="67AE112F">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8.2.1.20 </w:t>
      </w:r>
      <w:r>
        <w:rPr>
          <w:rFonts w:hint="eastAsia" w:ascii="宋体" w:hAnsi="宋体" w:eastAsia="宋体" w:cs="宋体"/>
          <w:snapToGrid w:val="0"/>
          <w:color w:val="auto"/>
          <w:kern w:val="0"/>
          <w:sz w:val="24"/>
          <w:szCs w:val="24"/>
          <w:highlight w:val="none"/>
        </w:rPr>
        <w:t>项目监理机构应参加由建设单位组织的竣工验收，对验收中提出的整改问题，应督促施工单位及时整改。工程质量符合要求的，总监理工程师应在工程竣工验收报告中签署意见。</w:t>
      </w:r>
    </w:p>
    <w:p w14:paraId="33B817F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 xml:space="preserve">8.2.1.21 </w:t>
      </w:r>
      <w:r>
        <w:rPr>
          <w:rFonts w:hint="eastAsia" w:ascii="宋体" w:hAnsi="宋体" w:eastAsia="宋体" w:cs="宋体"/>
          <w:snapToGrid w:val="0"/>
          <w:color w:val="auto"/>
          <w:kern w:val="0"/>
          <w:sz w:val="24"/>
          <w:szCs w:val="24"/>
          <w:highlight w:val="none"/>
        </w:rPr>
        <w:t>保修期满后，项目监理机构应参与保修期满质量复检，对复检中发现的问题提出整改意见并督促施工单位整改；整改合格后，总监理工程师在复检报告中签署意见。</w:t>
      </w:r>
    </w:p>
    <w:p w14:paraId="4E7BBB8F">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8.2.2 工程造价控制：</w:t>
      </w:r>
    </w:p>
    <w:p w14:paraId="4E3CFA25">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8.2.2.1 </w:t>
      </w:r>
      <w:r>
        <w:rPr>
          <w:rFonts w:hint="eastAsia" w:ascii="宋体" w:hAnsi="宋体" w:eastAsia="宋体" w:cs="宋体"/>
          <w:snapToGrid w:val="0"/>
          <w:color w:val="auto"/>
          <w:kern w:val="0"/>
          <w:sz w:val="24"/>
          <w:szCs w:val="24"/>
          <w:highlight w:val="none"/>
        </w:rPr>
        <w:t>项目监理机构应按下列程序进行工程计量和付款签证：</w:t>
      </w:r>
    </w:p>
    <w:p w14:paraId="15B6890C">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（1）专业监理工程师对施工单位在工程款支付报审表中提交的工程量和支付金额进行复核，确定实际完成的工程量，提出到期应支付给施工单位的金额，并提出相应的支持性材料。</w:t>
      </w:r>
    </w:p>
    <w:p w14:paraId="3A7515D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（2）总监理工程师对专业监理工程师的审查意见进行审核，签认后报建设单位审批。</w:t>
      </w:r>
    </w:p>
    <w:p w14:paraId="4530CCA4">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（3）总监理工程师根据建设单位的审批意见，向施工单位签发工程款支付证书。</w:t>
      </w:r>
    </w:p>
    <w:p w14:paraId="5AB495D8">
      <w:pPr>
        <w:shd w:val="clear" w:color="auto" w:fill="auto"/>
        <w:wordWrap w:val="0"/>
        <w:adjustRightInd w:val="0"/>
        <w:snapToGrid w:val="0"/>
        <w:spacing w:line="440" w:lineRule="exact"/>
        <w:ind w:firstLine="240" w:firstLineChars="1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工程款支付报审表及工程款支付证书应按相应规范的要求填写。</w:t>
      </w:r>
    </w:p>
    <w:p w14:paraId="4555DA69">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8.2.2.2 </w:t>
      </w:r>
      <w:r>
        <w:rPr>
          <w:rFonts w:hint="eastAsia" w:ascii="宋体" w:hAnsi="宋体" w:eastAsia="宋体" w:cs="宋体"/>
          <w:snapToGrid w:val="0"/>
          <w:color w:val="auto"/>
          <w:kern w:val="0"/>
          <w:sz w:val="24"/>
          <w:szCs w:val="24"/>
          <w:highlight w:val="none"/>
        </w:rPr>
        <w:t>项目监理机构应编制月完成工程量统计表，对实际完成量与计划完成量进行比较分析，发现偏差的，应提出调整建议，并应在监理月报中向建设单位报告。</w:t>
      </w:r>
    </w:p>
    <w:p w14:paraId="1EA90C88">
      <w:pPr>
        <w:keepNext w:val="0"/>
        <w:keepLines w:val="0"/>
        <w:pageBreakBefore w:val="0"/>
        <w:widowControl w:val="0"/>
        <w:shd w:val="clear" w:color="auto" w:fill="auto"/>
        <w:kinsoku/>
        <w:wordWrap w:val="0"/>
        <w:overflowPunct/>
        <w:topLinePunct w:val="0"/>
        <w:autoSpaceDE/>
        <w:autoSpaceDN/>
        <w:bidi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8.2.2.3</w:t>
      </w:r>
      <w:r>
        <w:rPr>
          <w:rFonts w:hint="eastAsia" w:ascii="宋体" w:hAnsi="宋体" w:eastAsia="宋体" w:cs="宋体"/>
          <w:b w:val="0"/>
          <w:bCs w:val="0"/>
          <w:snapToGrid w:val="0"/>
          <w:color w:val="auto"/>
          <w:kern w:val="0"/>
          <w:sz w:val="24"/>
          <w:szCs w:val="24"/>
          <w:highlight w:val="none"/>
        </w:rPr>
        <w:t>项目监理机构应按下列程序进行竣工结算款审核：</w:t>
      </w:r>
    </w:p>
    <w:p w14:paraId="3E5F5BD0">
      <w:pPr>
        <w:keepNext w:val="0"/>
        <w:keepLines w:val="0"/>
        <w:pageBreakBefore w:val="0"/>
        <w:widowControl w:val="0"/>
        <w:shd w:val="clear" w:color="auto" w:fill="auto"/>
        <w:kinsoku/>
        <w:overflowPunct/>
        <w:topLinePunct w:val="0"/>
        <w:autoSpaceDE/>
        <w:autoSpaceDN/>
        <w:bidi w:val="0"/>
        <w:spacing w:line="4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（1）专业监理工程师审查施工单位提交的竣工结算款支付申请，提出审查意见。</w:t>
      </w:r>
    </w:p>
    <w:p w14:paraId="66F7B19C">
      <w:pPr>
        <w:keepNext w:val="0"/>
        <w:keepLines w:val="0"/>
        <w:pageBreakBefore w:val="0"/>
        <w:widowControl w:val="0"/>
        <w:shd w:val="clear" w:color="auto" w:fill="auto"/>
        <w:kinsoku/>
        <w:overflowPunct/>
        <w:topLinePunct w:val="0"/>
        <w:autoSpaceDE/>
        <w:autoSpaceDN/>
        <w:bidi w:val="0"/>
        <w:spacing w:line="4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总监理工程师对专业监理工程师的审查意见进行审核，签认后报建设单位审批，同时抄送施工单位，并就工程竣工结算事宜与建设单位、施工单位协商；达成一致意见的，根据建设单位审批意见向施工单位签发竣工结算款支付证书；不能达成一致意见的，应按施工合同约定处理。</w:t>
      </w:r>
    </w:p>
    <w:p w14:paraId="3A98C1D7">
      <w:pPr>
        <w:keepNext w:val="0"/>
        <w:keepLines w:val="0"/>
        <w:pageBreakBefore w:val="0"/>
        <w:widowControl w:val="0"/>
        <w:shd w:val="clear" w:color="auto" w:fill="auto"/>
        <w:kinsoku/>
        <w:overflowPunct/>
        <w:topLinePunct w:val="0"/>
        <w:autoSpaceDE/>
        <w:autoSpaceDN/>
        <w:bidi w:val="0"/>
        <w:spacing w:line="4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工程竣工结算款支付报审表及竣工结算款支付证书应按相应规范的要求填写。</w:t>
      </w:r>
    </w:p>
    <w:p w14:paraId="10A1D4ED">
      <w:pPr>
        <w:keepNext w:val="0"/>
        <w:keepLines w:val="0"/>
        <w:pageBreakBefore w:val="0"/>
        <w:widowControl w:val="0"/>
        <w:shd w:val="clear" w:color="auto" w:fill="auto"/>
        <w:kinsoku/>
        <w:wordWrap w:val="0"/>
        <w:overflowPunct/>
        <w:topLinePunct w:val="0"/>
        <w:autoSpaceDE/>
        <w:autoSpaceDN/>
        <w:bidi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8.2.3 工程进度控制：</w:t>
      </w:r>
    </w:p>
    <w:p w14:paraId="50897431">
      <w:pPr>
        <w:keepNext w:val="0"/>
        <w:keepLines w:val="0"/>
        <w:pageBreakBefore w:val="0"/>
        <w:widowControl w:val="0"/>
        <w:shd w:val="clear" w:color="auto" w:fill="auto"/>
        <w:kinsoku/>
        <w:wordWrap w:val="0"/>
        <w:overflowPunct/>
        <w:topLinePunct w:val="0"/>
        <w:autoSpaceDE/>
        <w:autoSpaceDN/>
        <w:bidi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8.2.3.1 </w:t>
      </w:r>
      <w:r>
        <w:rPr>
          <w:rFonts w:hint="eastAsia" w:ascii="宋体" w:hAnsi="宋体" w:eastAsia="宋体" w:cs="宋体"/>
          <w:snapToGrid w:val="0"/>
          <w:color w:val="auto"/>
          <w:kern w:val="0"/>
          <w:sz w:val="24"/>
          <w:szCs w:val="24"/>
          <w:highlight w:val="none"/>
        </w:rPr>
        <w:t>项目监理机构应审查施工单位报审的施工总进度计划和阶段性施工进度计划，提出审查意见，并应由总监理工程师审核后报建设单位。</w:t>
      </w:r>
    </w:p>
    <w:p w14:paraId="064CC38C">
      <w:pPr>
        <w:keepNext w:val="0"/>
        <w:keepLines w:val="0"/>
        <w:pageBreakBefore w:val="0"/>
        <w:widowControl w:val="0"/>
        <w:shd w:val="clear" w:color="auto" w:fill="auto"/>
        <w:kinsoku/>
        <w:wordWrap w:val="0"/>
        <w:overflowPunct/>
        <w:topLinePunct w:val="0"/>
        <w:autoSpaceDE/>
        <w:autoSpaceDN/>
        <w:bidi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施工进度计划审查应包括下列基本内容：</w:t>
      </w:r>
    </w:p>
    <w:p w14:paraId="00A973C1">
      <w:pPr>
        <w:keepNext w:val="0"/>
        <w:keepLines w:val="0"/>
        <w:pageBreakBefore w:val="0"/>
        <w:widowControl w:val="0"/>
        <w:shd w:val="clear" w:color="auto" w:fill="auto"/>
        <w:kinsoku/>
        <w:wordWrap w:val="0"/>
        <w:overflowPunct/>
        <w:topLinePunct w:val="0"/>
        <w:autoSpaceDE/>
        <w:autoSpaceDN/>
        <w:bidi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（1）施工进度计划应符合施工合同中工期的约定。</w:t>
      </w:r>
    </w:p>
    <w:p w14:paraId="23791D97">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（2）施工进度计划中主要工程项目无遗漏，应满足分批投入试运、分批动用的需要，阶段性施工进度计划应满足总进度控制目标的要求。</w:t>
      </w:r>
    </w:p>
    <w:p w14:paraId="4C797AE6">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（3）施工顺序的安排应符合施工工艺要求。</w:t>
      </w:r>
    </w:p>
    <w:p w14:paraId="26D99D4A">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（4）施工人员、工程材料、施工机械等资源供应计划应满足施工进度计划的需要。</w:t>
      </w:r>
    </w:p>
    <w:p w14:paraId="3ED9BA05">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（5）施工进度计划应符合建设单位提供的资金、施工图纸、施工场地、物资等施工条件。</w:t>
      </w:r>
    </w:p>
    <w:p w14:paraId="01FB4F90">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施工进度计划报审表应按相应规范的要求填写。</w:t>
      </w:r>
    </w:p>
    <w:p w14:paraId="4FA6BC43">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8.2.3.2 </w:t>
      </w:r>
      <w:r>
        <w:rPr>
          <w:rFonts w:hint="eastAsia" w:ascii="宋体" w:hAnsi="宋体" w:eastAsia="宋体" w:cs="宋体"/>
          <w:snapToGrid w:val="0"/>
          <w:color w:val="auto"/>
          <w:kern w:val="0"/>
          <w:sz w:val="24"/>
          <w:szCs w:val="24"/>
          <w:highlight w:val="none"/>
        </w:rPr>
        <w:t>项目监理机构应检查施工进度计划的实施情况，发现实际进度严重滞后于计划进度且影响合同工期时，应签发监理通知单，要求施工单位采取调整措施加快施工进度。总监理工程师应向建设单位报告工期延误风险。</w:t>
      </w:r>
    </w:p>
    <w:p w14:paraId="18C3FA27">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8.2.3.3 </w:t>
      </w:r>
      <w:r>
        <w:rPr>
          <w:rFonts w:hint="eastAsia" w:ascii="宋体" w:hAnsi="宋体" w:eastAsia="宋体" w:cs="宋体"/>
          <w:snapToGrid w:val="0"/>
          <w:color w:val="auto"/>
          <w:kern w:val="0"/>
          <w:sz w:val="24"/>
          <w:szCs w:val="24"/>
          <w:highlight w:val="none"/>
        </w:rPr>
        <w:t>项目监理机构应比较分析工程施工实际进度与计划进度，预测实际进度对工程总工期的影响，并应在监理月报中向建设单位报告工程实际进展情况。</w:t>
      </w:r>
    </w:p>
    <w:p w14:paraId="02A84169">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8.2.4 工程安全生产管理：</w:t>
      </w:r>
    </w:p>
    <w:p w14:paraId="5AA962D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8.2.4.1 </w:t>
      </w:r>
      <w:r>
        <w:rPr>
          <w:rFonts w:hint="eastAsia" w:ascii="宋体" w:hAnsi="宋体" w:eastAsia="宋体" w:cs="宋体"/>
          <w:snapToGrid w:val="0"/>
          <w:color w:val="auto"/>
          <w:kern w:val="0"/>
          <w:sz w:val="24"/>
          <w:szCs w:val="24"/>
          <w:highlight w:val="none"/>
        </w:rPr>
        <w:t>项目监理机构应根据法律法规、工程建设强制性标准，履行建设工程安全生产管理的监理职责，并应将安全生产管理的监理工作内容、方法和措施纳入监理规划及监理实施细则。</w:t>
      </w:r>
    </w:p>
    <w:p w14:paraId="3513C118">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8.2.4.2</w:t>
      </w:r>
      <w:r>
        <w:rPr>
          <w:rFonts w:hint="eastAsia" w:ascii="宋体" w:hAnsi="宋体" w:eastAsia="宋体" w:cs="宋体"/>
          <w:snapToGrid w:val="0"/>
          <w:color w:val="auto"/>
          <w:kern w:val="0"/>
          <w:sz w:val="24"/>
          <w:szCs w:val="24"/>
          <w:highlight w:val="none"/>
        </w:rPr>
        <w:t xml:space="preserve"> 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p w14:paraId="059CABA2">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8.2.4.3</w:t>
      </w:r>
      <w:r>
        <w:rPr>
          <w:rFonts w:hint="eastAsia" w:ascii="宋体" w:hAnsi="宋体" w:eastAsia="宋体" w:cs="宋体"/>
          <w:snapToGrid w:val="0"/>
          <w:color w:val="auto"/>
          <w:kern w:val="0"/>
          <w:sz w:val="24"/>
          <w:szCs w:val="24"/>
          <w:highlight w:val="none"/>
        </w:rPr>
        <w:t xml:space="preserve"> 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p w14:paraId="7F00FD8E">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专项施工方案审查应包括下列基本内容：</w:t>
      </w:r>
    </w:p>
    <w:p w14:paraId="6116153B">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（1）编审程序应符合相关规定。</w:t>
      </w:r>
    </w:p>
    <w:p w14:paraId="3D3FBCCF">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（2）安全技术措施应符合工程建设强制性标准。</w:t>
      </w:r>
    </w:p>
    <w:p w14:paraId="1158EB29">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专项施工方案报审表应按相应规范的要求填写。</w:t>
      </w:r>
    </w:p>
    <w:p w14:paraId="7044842E">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8.2.4.4</w:t>
      </w:r>
      <w:r>
        <w:rPr>
          <w:rFonts w:hint="eastAsia" w:ascii="宋体" w:hAnsi="宋体" w:eastAsia="宋体" w:cs="宋体"/>
          <w:snapToGrid w:val="0"/>
          <w:color w:val="auto"/>
          <w:kern w:val="0"/>
          <w:sz w:val="24"/>
          <w:szCs w:val="24"/>
          <w:highlight w:val="none"/>
        </w:rPr>
        <w:t xml:space="preserve"> 项目监理机构应巡视检查危险性较大的分部分项工程专项施工方案实施情况。发现未按专项施工方案实施时，应签发监理通知单，要求施工单位按专项施工方案实施。</w:t>
      </w:r>
    </w:p>
    <w:p w14:paraId="29864624">
      <w:pPr>
        <w:shd w:val="clear" w:color="auto" w:fill="auto"/>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8.2.4.5</w:t>
      </w:r>
      <w:r>
        <w:rPr>
          <w:rFonts w:hint="eastAsia" w:ascii="宋体" w:hAnsi="宋体" w:eastAsia="宋体" w:cs="宋体"/>
          <w:snapToGrid w:val="0"/>
          <w:color w:val="auto"/>
          <w:kern w:val="0"/>
          <w:sz w:val="24"/>
          <w:szCs w:val="24"/>
          <w:highlight w:val="none"/>
        </w:rPr>
        <w:t xml:space="preserve"> 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监理报告应按相应规范的要求填写。</w:t>
      </w:r>
    </w:p>
    <w:p w14:paraId="16680713">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rPr>
        <w:t>8.2.4.</w:t>
      </w:r>
      <w:r>
        <w:rPr>
          <w:rFonts w:hint="eastAsia" w:ascii="宋体" w:hAnsi="宋体" w:eastAsia="宋体" w:cs="宋体"/>
          <w:b/>
          <w:bCs/>
          <w:snapToGrid w:val="0"/>
          <w:color w:val="auto"/>
          <w:kern w:val="0"/>
          <w:sz w:val="24"/>
          <w:szCs w:val="24"/>
          <w:highlight w:val="none"/>
          <w:lang w:val="en-US" w:eastAsia="zh-CN"/>
        </w:rPr>
        <w:t xml:space="preserve">6 </w:t>
      </w:r>
      <w:r>
        <w:rPr>
          <w:rFonts w:hint="eastAsia" w:ascii="宋体" w:hAnsi="宋体" w:eastAsia="宋体" w:cs="宋体"/>
          <w:b w:val="0"/>
          <w:bCs w:val="0"/>
          <w:snapToGrid w:val="0"/>
          <w:color w:val="auto"/>
          <w:kern w:val="0"/>
          <w:sz w:val="24"/>
          <w:szCs w:val="24"/>
          <w:highlight w:val="none"/>
          <w:lang w:val="en-US" w:eastAsia="zh-CN" w:bidi="ar-SA"/>
        </w:rPr>
        <w:t>监理人应按安全文明施工相关规定进行监管。</w:t>
      </w:r>
    </w:p>
    <w:p w14:paraId="6A84BBBD">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8.3缺陷责任保修期服务工作</w:t>
      </w:r>
    </w:p>
    <w:p w14:paraId="450CC57E">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在保修期内，监理人应每三个月对工程进行一次巡视、检查，向委托人提交书面报告。检查和记录工程质量缺陷，对缺陷原因进行调查分析并确定责任归属，发现有质量缺陷的，监理人应及时按工程质量缺陷保修书的条款鉴定责任，会同委托人组织施工单位及时维修，负责审核修复方案，监督修复过程并验收，审核修复费用。</w:t>
      </w:r>
    </w:p>
    <w:p w14:paraId="3D075694">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8.4</w:t>
      </w:r>
      <w:r>
        <w:rPr>
          <w:rFonts w:hint="eastAsia" w:ascii="宋体" w:hAnsi="宋体" w:eastAsia="宋体" w:cs="宋体"/>
          <w:b/>
          <w:bCs/>
          <w:snapToGrid w:val="0"/>
          <w:color w:val="auto"/>
          <w:kern w:val="0"/>
          <w:sz w:val="24"/>
          <w:szCs w:val="24"/>
          <w:highlight w:val="none"/>
        </w:rPr>
        <w:t>监理人的责任</w:t>
      </w:r>
    </w:p>
    <w:p w14:paraId="769E3F7C">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8.4.1</w:t>
      </w:r>
      <w:r>
        <w:rPr>
          <w:rFonts w:hint="eastAsia" w:ascii="宋体" w:hAnsi="宋体" w:eastAsia="宋体" w:cs="宋体"/>
          <w:snapToGrid w:val="0"/>
          <w:color w:val="auto"/>
          <w:kern w:val="0"/>
          <w:sz w:val="24"/>
          <w:szCs w:val="24"/>
          <w:highlight w:val="none"/>
        </w:rPr>
        <w:t>监理人对承包人违反合同约定的质量、安全要求和建筑节能要求，以及竣工（交图、交货）时限，监理人应当采取措施予以制止，不能有效制止的，应当及时通知委托人，并报告建设行政主管部门或有关行政主管部门；因承包人违反国家法律、法规、强制性标准规范和建设程序、建筑节能规定的行为，监理人应当采取措施予以制止，不能有效制止的，应当及时报告建设行政主管部门或有关行政主管部门。因不可抗力导致委托监理合同不能全部或部分履行，监理人不承担责任。</w:t>
      </w:r>
    </w:p>
    <w:p w14:paraId="78D6C05F">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8.4.2</w:t>
      </w:r>
      <w:r>
        <w:rPr>
          <w:rFonts w:hint="eastAsia" w:ascii="宋体" w:hAnsi="宋体" w:eastAsia="宋体" w:cs="宋体"/>
          <w:snapToGrid w:val="0"/>
          <w:color w:val="auto"/>
          <w:kern w:val="0"/>
          <w:sz w:val="24"/>
          <w:szCs w:val="24"/>
          <w:highlight w:val="none"/>
        </w:rPr>
        <w:t>监理人应当按照法律、法规，工程建设强制性标准及监理委托合同实施监理，对所监理工程的施工质量、安全生产、造价控制、建筑节能进行监督检查，并对施工质量、安全生产、造价控制及建筑节能承担监理责任。</w:t>
      </w:r>
    </w:p>
    <w:p w14:paraId="621E52E4">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（一）施工阶段质量监理服务责任</w:t>
      </w:r>
    </w:p>
    <w:p w14:paraId="7DDC30B4">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（1）监理人应当依照法律、法规以及有关技术标准、经审查批准的设计文件、建设工程承包合同和监理合同，代表委托人对施工质量实施监理，并对施工质量承担监理责任。</w:t>
      </w:r>
    </w:p>
    <w:p w14:paraId="04A118E3">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（2）监理人应当组织桩基础、地基基础、主体结构、重要结构部位等分项、分部工程和隐蔽工程的验收，并通知建设、勘察、设计单位和质监机构参加。</w:t>
      </w:r>
    </w:p>
    <w:p w14:paraId="66035F64">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监理人对工程使用的建筑材料、建筑构配件和设备的质量有异议的，有权进行抽查。对建设、施工单位违反规定使用建筑材料、建筑构配件和设备的，应当采取措施予以制止；不能有效制止的，应当及时报告建设行政主管部门或有关行政主管部门。</w:t>
      </w:r>
    </w:p>
    <w:p w14:paraId="010A9EA7">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（二）施工阶段安全生产监理服务责任</w:t>
      </w:r>
    </w:p>
    <w:p w14:paraId="364B69E8">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（1）监理人应对施工组织设计中的安全技术措施或专项施工方案进行审查，未进行审查的，监理人应承担《建设工程安全生产管理条例》第五十七条规定的法律责任。</w:t>
      </w:r>
    </w:p>
    <w:p w14:paraId="2A9DAC89">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施工组织设计中的安全技术措施或专项施工方案未经监理人审查签字认可，承包人擅自施工的，监理人应及时下达工程暂停令，并将情况及时书面报告委托人。监理人未及时制止并报告的，监理人应承担《建设工程安全生产管理条例》第五十七条规定的法律责任。</w:t>
      </w:r>
    </w:p>
    <w:p w14:paraId="2F8E9F92">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监理人在监理巡视检查过程中，发现存在安全隐患的，应按照有关规定及时下达书面指令要求承包人进行整改或停止施工。监理人没有及时下达书面指令要求承包人进行整改或停止施工的，应承担《建设工程安全生产管理条例》第五十七条规定的法律责任。</w:t>
      </w:r>
    </w:p>
    <w:p w14:paraId="05962E7E">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承包人拒绝按照监理人的要求进行整改或者停止施工的，监理人应及时将情况向建设行政主管部门或有关行政主管部门报告。监理人没有及时将情况报告的，应承担《建设工程安全生产管理条例》第五十七条规定的法律责任。</w:t>
      </w:r>
    </w:p>
    <w:p w14:paraId="4A12981E">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（5）监理人未依照法律、法规和工程建设强制性标准实施监理的，应当承担《建设工程安全生产管理条例》第五十七条规定的法律责任。</w:t>
      </w:r>
    </w:p>
    <w:p w14:paraId="5F191D14">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（6）监理人履行了上述规定的职责，承包人未执行监理指令继续施工而发生安全事故的，监理人不承担由此造成的责任，应依法追究监理企业以外的其他相关单位和人员的法律责任。</w:t>
      </w:r>
    </w:p>
    <w:p w14:paraId="48B896FE">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（三）建筑节能监理服务责任</w:t>
      </w:r>
    </w:p>
    <w:p w14:paraId="2FCD4878">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（1）严格按照审查合格的设计文件和建筑节能强制性标准和技术规范的要求实施监理，针对工程的特点编制包含节能专篇的监理规划及节能工程监理实施细则。</w:t>
      </w:r>
    </w:p>
    <w:p w14:paraId="2F0CA9FE">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总监理工程师应当对建筑节能专项施工技术方案审查并签字认可。专业监理工程师应当对工程使用的墙体材料、保温材料、门窗部品、采暖空调系统、照明设备，以及涉及建筑节能功能的重要部位施工质量检查验收并签字认可。</w:t>
      </w:r>
    </w:p>
    <w:p w14:paraId="741F6186">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（3）监理人采取巡视和旁站、平行检验等形式对节能工程实施监理。</w:t>
      </w:r>
    </w:p>
    <w:p w14:paraId="7D0A6B44">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（4）监理人应当在《工程质量评估报告》中明确建筑节能标准的实施情况。</w:t>
      </w:r>
    </w:p>
    <w:p w14:paraId="4663CEA3">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（5）监理人发现承包人不按节能设计及相关强制性标准施工的，应当及时督促承包人改正；承包人拒不改正的，监理人应当及时报告委托人，由委托人督促承包人整改。</w:t>
      </w:r>
    </w:p>
    <w:p w14:paraId="320345BB">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（6）对采用列入禁止目录的技术、工艺、设备、材料和产品的行为，监理机构应当采取措施予以制止；制止无效的，应当及时向委托人和政府建设行政主管部门报告或有关行政主管部门。</w:t>
      </w:r>
    </w:p>
    <w:p w14:paraId="6E6BD43B">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（四）法律法规、规章、监理规范等规定的其他责任。</w:t>
      </w:r>
    </w:p>
    <w:p w14:paraId="78478D27">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8.5</w:t>
      </w:r>
      <w:r>
        <w:rPr>
          <w:rFonts w:hint="eastAsia" w:ascii="宋体" w:hAnsi="宋体" w:eastAsia="宋体" w:cs="宋体"/>
          <w:b/>
          <w:bCs/>
          <w:snapToGrid w:val="0"/>
          <w:color w:val="auto"/>
          <w:kern w:val="0"/>
          <w:sz w:val="24"/>
          <w:szCs w:val="24"/>
          <w:highlight w:val="none"/>
        </w:rPr>
        <w:t>现场管理</w:t>
      </w:r>
    </w:p>
    <w:p w14:paraId="086005BE">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8.5.</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 xml:space="preserve"> 监理人在监理期间应严格遵守国家、广东省、韶关市有关绿色施工、文明施工、噪音扬尘、消防爆破、环境卫生、渣土清运、治安保卫等方面的规定，并建立相应规章制度和保障措施。否则由此造成的经济损失和法律责任，均由监理人承担。</w:t>
      </w:r>
    </w:p>
    <w:p w14:paraId="29498476">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8.5</w:t>
      </w:r>
      <w:r>
        <w:rPr>
          <w:rFonts w:hint="eastAsia" w:ascii="宋体" w:hAnsi="宋体" w:eastAsia="宋体" w:cs="宋体"/>
          <w:b/>
          <w:bCs/>
          <w:snapToGrid w:val="0"/>
          <w:color w:val="auto"/>
          <w:kern w:val="0"/>
          <w:sz w:val="24"/>
          <w:szCs w:val="24"/>
          <w:highlight w:val="none"/>
        </w:rPr>
        <w:t xml:space="preserve">.2 </w:t>
      </w:r>
      <w:r>
        <w:rPr>
          <w:rFonts w:hint="eastAsia" w:ascii="宋体" w:hAnsi="宋体" w:eastAsia="宋体" w:cs="宋体"/>
          <w:snapToGrid w:val="0"/>
          <w:color w:val="auto"/>
          <w:kern w:val="0"/>
          <w:sz w:val="24"/>
          <w:szCs w:val="24"/>
          <w:highlight w:val="none"/>
        </w:rPr>
        <w:t>监理人投标文件中所拟派的总监理工程师、专业监理工程师、其他监理人员全部在施工现场进行监理。</w:t>
      </w:r>
    </w:p>
    <w:p w14:paraId="35AAB966">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8.5.</w:t>
      </w:r>
      <w:r>
        <w:rPr>
          <w:rFonts w:hint="eastAsia" w:ascii="宋体" w:hAnsi="宋体" w:eastAsia="宋体" w:cs="宋体"/>
          <w:b/>
          <w:bCs/>
          <w:snapToGrid w:val="0"/>
          <w:color w:val="auto"/>
          <w:kern w:val="0"/>
          <w:sz w:val="24"/>
          <w:szCs w:val="24"/>
          <w:highlight w:val="none"/>
        </w:rPr>
        <w:t xml:space="preserve">3 </w:t>
      </w:r>
      <w:r>
        <w:rPr>
          <w:rFonts w:hint="eastAsia" w:ascii="宋体" w:hAnsi="宋体" w:eastAsia="宋体" w:cs="宋体"/>
          <w:snapToGrid w:val="0"/>
          <w:color w:val="auto"/>
          <w:kern w:val="0"/>
          <w:sz w:val="24"/>
          <w:szCs w:val="24"/>
          <w:highlight w:val="none"/>
        </w:rPr>
        <w:t>监理人在施工过程中若发生</w:t>
      </w:r>
      <w:r>
        <w:rPr>
          <w:rFonts w:hint="eastAsia" w:ascii="宋体" w:hAnsi="宋体" w:eastAsia="宋体" w:cs="宋体"/>
          <w:snapToGrid w:val="0"/>
          <w:color w:val="auto"/>
          <w:kern w:val="0"/>
          <w:sz w:val="24"/>
          <w:szCs w:val="24"/>
          <w:highlight w:val="none"/>
          <w:lang w:eastAsia="zh-CN"/>
        </w:rPr>
        <w:t>设计变更、</w:t>
      </w:r>
      <w:r>
        <w:rPr>
          <w:rFonts w:hint="eastAsia" w:ascii="宋体" w:hAnsi="宋体" w:eastAsia="宋体" w:cs="宋体"/>
          <w:snapToGrid w:val="0"/>
          <w:color w:val="auto"/>
          <w:kern w:val="0"/>
          <w:sz w:val="24"/>
          <w:szCs w:val="24"/>
          <w:highlight w:val="none"/>
        </w:rPr>
        <w:t>签证时，必须</w:t>
      </w:r>
      <w:r>
        <w:rPr>
          <w:rFonts w:hint="eastAsia" w:ascii="宋体" w:hAnsi="宋体" w:eastAsia="宋体" w:cs="宋体"/>
          <w:snapToGrid w:val="0"/>
          <w:color w:val="auto"/>
          <w:kern w:val="0"/>
          <w:sz w:val="24"/>
          <w:szCs w:val="24"/>
          <w:highlight w:val="none"/>
          <w:lang w:eastAsia="zh-CN"/>
        </w:rPr>
        <w:t>根据委托人的设计变更、签证有关管理办法执行</w:t>
      </w:r>
      <w:r>
        <w:rPr>
          <w:rFonts w:hint="eastAsia" w:ascii="宋体" w:hAnsi="宋体" w:eastAsia="宋体" w:cs="宋体"/>
          <w:snapToGrid w:val="0"/>
          <w:color w:val="auto"/>
          <w:kern w:val="0"/>
          <w:sz w:val="24"/>
          <w:szCs w:val="24"/>
          <w:highlight w:val="none"/>
        </w:rPr>
        <w:t>。</w:t>
      </w:r>
    </w:p>
    <w:p w14:paraId="51955762">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8.6</w:t>
      </w:r>
      <w:r>
        <w:rPr>
          <w:rFonts w:hint="eastAsia" w:ascii="宋体" w:hAnsi="宋体" w:eastAsia="宋体" w:cs="宋体"/>
          <w:b/>
          <w:bCs/>
          <w:snapToGrid w:val="0"/>
          <w:color w:val="auto"/>
          <w:kern w:val="0"/>
          <w:sz w:val="24"/>
          <w:szCs w:val="24"/>
          <w:highlight w:val="none"/>
        </w:rPr>
        <w:t>其他</w:t>
      </w:r>
    </w:p>
    <w:p w14:paraId="0C1DCDD5">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8.6</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项目监理机构和人员</w:t>
      </w:r>
    </w:p>
    <w:p w14:paraId="18585965">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监理人须在本工程派驻满足工作需要的项目监理机构，拟派驻监理机构组成人员数量须符合广东省建设厅转发建设部关于印发《房屋建筑工程施工旁站监理管理办法（试行）》的通知（粤建管字[2002]97号）</w:t>
      </w:r>
      <w:r>
        <w:rPr>
          <w:rFonts w:hint="eastAsia" w:ascii="宋体" w:hAnsi="宋体" w:eastAsia="宋体" w:cs="宋体"/>
          <w:b w:val="0"/>
          <w:bCs w:val="0"/>
          <w:snapToGrid w:val="0"/>
          <w:color w:val="auto"/>
          <w:kern w:val="0"/>
          <w:sz w:val="24"/>
          <w:szCs w:val="24"/>
          <w:highlight w:val="none"/>
          <w:lang w:val="en-US" w:eastAsia="zh-CN" w:bidi="ar-SA"/>
        </w:rPr>
        <w:t>及相关最新</w:t>
      </w:r>
      <w:r>
        <w:rPr>
          <w:rFonts w:hint="eastAsia" w:ascii="宋体" w:hAnsi="宋体" w:eastAsia="宋体" w:cs="宋体"/>
          <w:snapToGrid w:val="0"/>
          <w:color w:val="auto"/>
          <w:kern w:val="0"/>
          <w:sz w:val="24"/>
          <w:szCs w:val="24"/>
          <w:highlight w:val="none"/>
        </w:rPr>
        <w:t>关于工程项目监理人数配置要求，现场总监理工程师及重要岗位监理人员必须保持相对稳定，以保证监理工作正常进行。</w:t>
      </w:r>
    </w:p>
    <w:p w14:paraId="1ED2D32D">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现场监理人员必须常驻现场，并进行全程监督管理，所派驻现场监理人员应提交在监理人单位购买社保不低于两年的有关缴费凭证。未经委托人同意不得任意更换驻场总监理工程师及监理人员，否则按违约处理，造成损失的，监理人还应当依法予以赔偿并承担相关的法律责任。</w:t>
      </w:r>
    </w:p>
    <w:p w14:paraId="6C99466D">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人需在施工现场设置总监办公室组织机构场地，监理人设置的机构场地、设备等需满足整个监理实施过程中的正常运作。本工程监理人现场办公场所、试验室、生活住所、办公设备及生活家具等由监理人自行解决，委托人不另外提供。</w:t>
      </w:r>
    </w:p>
    <w:p w14:paraId="207F8A71">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8.6</w:t>
      </w:r>
      <w:r>
        <w:rPr>
          <w:rFonts w:hint="eastAsia" w:ascii="宋体" w:hAnsi="宋体" w:eastAsia="宋体" w:cs="宋体"/>
          <w:b/>
          <w:bCs/>
          <w:snapToGrid w:val="0"/>
          <w:color w:val="auto"/>
          <w:kern w:val="0"/>
          <w:sz w:val="24"/>
          <w:szCs w:val="24"/>
          <w:highlight w:val="none"/>
        </w:rPr>
        <w:t>.2</w:t>
      </w:r>
      <w:r>
        <w:rPr>
          <w:rFonts w:hint="eastAsia" w:ascii="宋体" w:hAnsi="宋体" w:eastAsia="宋体" w:cs="宋体"/>
          <w:snapToGrid w:val="0"/>
          <w:color w:val="auto"/>
          <w:kern w:val="0"/>
          <w:sz w:val="24"/>
          <w:szCs w:val="24"/>
          <w:highlight w:val="none"/>
        </w:rPr>
        <w:t>监理人应提交报告的种类(包括监理规划、监理月报及约定的专项报告)、时间和份数：</w:t>
      </w:r>
      <w:r>
        <w:rPr>
          <w:rFonts w:hint="eastAsia" w:ascii="宋体" w:hAnsi="宋体" w:eastAsia="宋体" w:cs="宋体"/>
          <w:snapToGrid w:val="0"/>
          <w:color w:val="auto"/>
          <w:kern w:val="0"/>
          <w:sz w:val="24"/>
          <w:szCs w:val="24"/>
          <w:highlight w:val="none"/>
          <w:u w:val="single"/>
        </w:rPr>
        <w:t>监理规划</w:t>
      </w:r>
      <w:r>
        <w:rPr>
          <w:rFonts w:hint="eastAsia" w:ascii="宋体" w:hAnsi="宋体" w:eastAsia="宋体" w:cs="宋体"/>
          <w:snapToGrid w:val="0"/>
          <w:color w:val="auto"/>
          <w:kern w:val="0"/>
          <w:sz w:val="24"/>
          <w:szCs w:val="24"/>
          <w:highlight w:val="none"/>
          <w:u w:val="single"/>
          <w:lang w:eastAsia="zh-CN"/>
        </w:rPr>
        <w:t>一式</w:t>
      </w:r>
      <w:r>
        <w:rPr>
          <w:rFonts w:hint="eastAsia" w:ascii="宋体" w:hAnsi="宋体" w:eastAsia="宋体" w:cs="宋体"/>
          <w:snapToGrid w:val="0"/>
          <w:color w:val="auto"/>
          <w:kern w:val="0"/>
          <w:sz w:val="24"/>
          <w:szCs w:val="24"/>
          <w:highlight w:val="none"/>
          <w:u w:val="single"/>
        </w:rPr>
        <w:t>6份、监理月报每月</w:t>
      </w:r>
      <w:r>
        <w:rPr>
          <w:rFonts w:hint="eastAsia" w:ascii="宋体" w:hAnsi="宋体" w:eastAsia="宋体" w:cs="宋体"/>
          <w:snapToGrid w:val="0"/>
          <w:color w:val="auto"/>
          <w:kern w:val="0"/>
          <w:sz w:val="24"/>
          <w:szCs w:val="24"/>
          <w:highlight w:val="none"/>
          <w:u w:val="single"/>
          <w:lang w:eastAsia="zh-CN"/>
        </w:rPr>
        <w:t>一式</w:t>
      </w:r>
      <w:r>
        <w:rPr>
          <w:rFonts w:hint="eastAsia" w:ascii="宋体" w:hAnsi="宋体" w:eastAsia="宋体" w:cs="宋体"/>
          <w:snapToGrid w:val="0"/>
          <w:color w:val="auto"/>
          <w:kern w:val="0"/>
          <w:sz w:val="24"/>
          <w:szCs w:val="24"/>
          <w:highlight w:val="none"/>
          <w:u w:val="single"/>
        </w:rPr>
        <w:t>4份、监理</w:t>
      </w:r>
      <w:r>
        <w:rPr>
          <w:rFonts w:hint="eastAsia" w:ascii="宋体" w:hAnsi="宋体" w:eastAsia="宋体" w:cs="宋体"/>
          <w:snapToGrid w:val="0"/>
          <w:color w:val="auto"/>
          <w:kern w:val="0"/>
          <w:sz w:val="24"/>
          <w:szCs w:val="24"/>
          <w:highlight w:val="none"/>
          <w:u w:val="single"/>
          <w:lang w:eastAsia="zh-CN"/>
        </w:rPr>
        <w:t>周报</w:t>
      </w:r>
      <w:r>
        <w:rPr>
          <w:rFonts w:hint="eastAsia" w:ascii="宋体" w:hAnsi="宋体" w:eastAsia="宋体" w:cs="宋体"/>
          <w:snapToGrid w:val="0"/>
          <w:color w:val="auto"/>
          <w:kern w:val="0"/>
          <w:sz w:val="24"/>
          <w:szCs w:val="24"/>
          <w:highlight w:val="none"/>
          <w:u w:val="single"/>
        </w:rPr>
        <w:t>每周</w:t>
      </w:r>
      <w:r>
        <w:rPr>
          <w:rFonts w:hint="eastAsia" w:ascii="宋体" w:hAnsi="宋体" w:eastAsia="宋体" w:cs="宋体"/>
          <w:snapToGrid w:val="0"/>
          <w:color w:val="auto"/>
          <w:kern w:val="0"/>
          <w:sz w:val="24"/>
          <w:szCs w:val="24"/>
          <w:highlight w:val="none"/>
          <w:u w:val="single"/>
          <w:lang w:eastAsia="zh-CN"/>
        </w:rPr>
        <w:t>一式</w:t>
      </w:r>
      <w:r>
        <w:rPr>
          <w:rFonts w:hint="eastAsia" w:ascii="宋体" w:hAnsi="宋体" w:eastAsia="宋体" w:cs="宋体"/>
          <w:snapToGrid w:val="0"/>
          <w:color w:val="auto"/>
          <w:kern w:val="0"/>
          <w:sz w:val="24"/>
          <w:szCs w:val="24"/>
          <w:highlight w:val="none"/>
          <w:u w:val="single"/>
        </w:rPr>
        <w:t>2份、专项报告</w:t>
      </w:r>
      <w:r>
        <w:rPr>
          <w:rFonts w:hint="eastAsia" w:ascii="宋体" w:hAnsi="宋体" w:eastAsia="宋体" w:cs="宋体"/>
          <w:snapToGrid w:val="0"/>
          <w:color w:val="auto"/>
          <w:kern w:val="0"/>
          <w:sz w:val="24"/>
          <w:szCs w:val="24"/>
          <w:highlight w:val="none"/>
          <w:u w:val="single"/>
          <w:lang w:eastAsia="zh-CN"/>
        </w:rPr>
        <w:t>一式</w:t>
      </w:r>
      <w:r>
        <w:rPr>
          <w:rFonts w:hint="eastAsia" w:ascii="宋体" w:hAnsi="宋体" w:eastAsia="宋体" w:cs="宋体"/>
          <w:snapToGrid w:val="0"/>
          <w:color w:val="auto"/>
          <w:kern w:val="0"/>
          <w:sz w:val="24"/>
          <w:szCs w:val="24"/>
          <w:highlight w:val="none"/>
          <w:u w:val="single"/>
        </w:rPr>
        <w:t>10份以及本项目报监报建</w:t>
      </w:r>
      <w:r>
        <w:rPr>
          <w:rFonts w:hint="eastAsia" w:ascii="宋体" w:hAnsi="宋体" w:eastAsia="宋体" w:cs="宋体"/>
          <w:snapToGrid w:val="0"/>
          <w:color w:val="auto"/>
          <w:kern w:val="0"/>
          <w:sz w:val="24"/>
          <w:szCs w:val="24"/>
          <w:highlight w:val="none"/>
          <w:u w:val="single"/>
          <w:lang w:eastAsia="zh-CN"/>
        </w:rPr>
        <w:t>所</w:t>
      </w:r>
      <w:r>
        <w:rPr>
          <w:rFonts w:hint="eastAsia" w:ascii="宋体" w:hAnsi="宋体" w:eastAsia="宋体" w:cs="宋体"/>
          <w:snapToGrid w:val="0"/>
          <w:color w:val="auto"/>
          <w:kern w:val="0"/>
          <w:sz w:val="24"/>
          <w:szCs w:val="24"/>
          <w:highlight w:val="none"/>
          <w:u w:val="single"/>
        </w:rPr>
        <w:t>需的相关资料、本合同约定的资料等。</w:t>
      </w:r>
    </w:p>
    <w:p w14:paraId="7FF74486">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8.6</w:t>
      </w:r>
      <w:r>
        <w:rPr>
          <w:rFonts w:hint="eastAsia" w:ascii="宋体" w:hAnsi="宋体" w:eastAsia="宋体" w:cs="宋体"/>
          <w:b/>
          <w:bCs/>
          <w:snapToGrid w:val="0"/>
          <w:color w:val="auto"/>
          <w:kern w:val="0"/>
          <w:sz w:val="24"/>
          <w:szCs w:val="24"/>
          <w:highlight w:val="none"/>
        </w:rPr>
        <w:t>.3</w:t>
      </w:r>
      <w:r>
        <w:rPr>
          <w:rFonts w:hint="eastAsia" w:ascii="宋体" w:hAnsi="宋体" w:eastAsia="宋体" w:cs="宋体"/>
          <w:snapToGrid w:val="0"/>
          <w:color w:val="auto"/>
          <w:kern w:val="0"/>
          <w:sz w:val="24"/>
          <w:szCs w:val="24"/>
          <w:highlight w:val="none"/>
        </w:rPr>
        <w:t>委托人发现监理人出具任何虚假证明材料的，委托人将扣除违约金3万元/次，并上报建设行政主管部门作不良行为记录，同时，委托人有权拒绝监理人2年内参加委托人任何项目的投标。情节严重的，委托人有权单方面解除监理合同。</w:t>
      </w:r>
    </w:p>
    <w:p w14:paraId="2E7BDBB4">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8.6</w:t>
      </w:r>
      <w:r>
        <w:rPr>
          <w:rFonts w:hint="eastAsia" w:ascii="宋体" w:hAnsi="宋体" w:eastAsia="宋体" w:cs="宋体"/>
          <w:b/>
          <w:bCs/>
          <w:snapToGrid w:val="0"/>
          <w:color w:val="auto"/>
          <w:kern w:val="0"/>
          <w:sz w:val="24"/>
          <w:szCs w:val="24"/>
          <w:highlight w:val="none"/>
        </w:rPr>
        <w:t>.4</w:t>
      </w:r>
      <w:r>
        <w:rPr>
          <w:rFonts w:hint="eastAsia" w:ascii="宋体" w:hAnsi="宋体" w:eastAsia="宋体" w:cs="宋体"/>
          <w:snapToGrid w:val="0"/>
          <w:color w:val="auto"/>
          <w:kern w:val="0"/>
          <w:sz w:val="24"/>
          <w:szCs w:val="24"/>
          <w:highlight w:val="none"/>
        </w:rPr>
        <w:t>监理人应自行解决吃饭问题。</w:t>
      </w:r>
    </w:p>
    <w:p w14:paraId="2E3637A4">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8.6</w:t>
      </w:r>
      <w:r>
        <w:rPr>
          <w:rFonts w:hint="eastAsia" w:ascii="宋体" w:hAnsi="宋体" w:eastAsia="宋体" w:cs="宋体"/>
          <w:b/>
          <w:bCs/>
          <w:snapToGrid w:val="0"/>
          <w:color w:val="auto"/>
          <w:kern w:val="0"/>
          <w:sz w:val="24"/>
          <w:szCs w:val="24"/>
          <w:highlight w:val="none"/>
        </w:rPr>
        <w:t>.5</w:t>
      </w:r>
      <w:r>
        <w:rPr>
          <w:rFonts w:hint="eastAsia" w:ascii="宋体" w:hAnsi="宋体" w:eastAsia="宋体" w:cs="宋体"/>
          <w:snapToGrid w:val="0"/>
          <w:color w:val="auto"/>
          <w:kern w:val="0"/>
          <w:sz w:val="24"/>
          <w:szCs w:val="24"/>
          <w:highlight w:val="none"/>
        </w:rPr>
        <w:t>现场涉及到工程相关问题需要组织相关专家、人员以会议形式协商确定的，原则上监理负责组织实施，并根据会议结论提出不同的解决方案，报委托人参考，会议的专家费、会务费已包含在合同价中。</w:t>
      </w:r>
    </w:p>
    <w:p w14:paraId="5B490988">
      <w:pPr>
        <w:pStyle w:val="15"/>
        <w:keepNext w:val="0"/>
        <w:keepLines w:val="0"/>
        <w:pageBreakBefore w:val="0"/>
        <w:widowControl w:val="0"/>
        <w:shd w:val="clear" w:color="auto" w:fill="auto"/>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8.6</w:t>
      </w:r>
      <w:r>
        <w:rPr>
          <w:rFonts w:hint="eastAsia" w:ascii="宋体" w:hAnsi="宋体" w:eastAsia="宋体" w:cs="宋体"/>
          <w:b/>
          <w:bCs/>
          <w:snapToGrid w:val="0"/>
          <w:color w:val="auto"/>
          <w:kern w:val="0"/>
          <w:sz w:val="24"/>
          <w:szCs w:val="24"/>
          <w:highlight w:val="none"/>
        </w:rPr>
        <w:t>.6</w:t>
      </w:r>
      <w:r>
        <w:rPr>
          <w:rFonts w:hint="eastAsia" w:ascii="宋体" w:hAnsi="宋体" w:eastAsia="宋体" w:cs="宋体"/>
          <w:snapToGrid w:val="0"/>
          <w:color w:val="auto"/>
          <w:kern w:val="0"/>
          <w:sz w:val="24"/>
          <w:szCs w:val="24"/>
          <w:highlight w:val="none"/>
        </w:rPr>
        <w:t>监理服务期限必须根据施工工期进行调整，监理服务费不因监理服务期限的调整而调整。</w:t>
      </w:r>
    </w:p>
    <w:p w14:paraId="3D7B39CA">
      <w:pPr>
        <w:pStyle w:val="15"/>
        <w:keepNext w:val="0"/>
        <w:keepLines w:val="0"/>
        <w:pageBreakBefore w:val="0"/>
        <w:widowControl w:val="0"/>
        <w:shd w:val="clear" w:color="auto" w:fill="auto"/>
        <w:kinsoku/>
        <w:wordWrap/>
        <w:overflowPunct/>
        <w:topLinePunct w:val="0"/>
        <w:autoSpaceDE/>
        <w:autoSpaceDN/>
        <w:bidi w:val="0"/>
        <w:adjustRightInd w:val="0"/>
        <w:snapToGrid w:val="0"/>
        <w:spacing w:line="440" w:lineRule="exac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8.6</w:t>
      </w:r>
      <w:r>
        <w:rPr>
          <w:rFonts w:hint="eastAsia" w:ascii="宋体" w:hAnsi="宋体" w:eastAsia="宋体" w:cs="宋体"/>
          <w:b/>
          <w:bCs/>
          <w:snapToGrid w:val="0"/>
          <w:color w:val="auto"/>
          <w:kern w:val="0"/>
          <w:sz w:val="24"/>
          <w:szCs w:val="24"/>
          <w:highlight w:val="none"/>
        </w:rPr>
        <w:t>.7</w:t>
      </w:r>
      <w:r>
        <w:rPr>
          <w:rFonts w:hint="eastAsia" w:ascii="宋体" w:hAnsi="宋体" w:eastAsia="宋体" w:cs="宋体"/>
          <w:snapToGrid w:val="0"/>
          <w:color w:val="auto"/>
          <w:kern w:val="0"/>
          <w:sz w:val="24"/>
          <w:szCs w:val="24"/>
          <w:highlight w:val="none"/>
        </w:rPr>
        <w:t>若项目未开工，因政府相关部门投资决策或规划更改等原因项目终止，则终止本监理合同，委托人和监理人双方不承担相关责任。</w:t>
      </w:r>
    </w:p>
    <w:p w14:paraId="78475F06">
      <w:pPr>
        <w:shd w:val="clear" w:color="auto" w:fill="auto"/>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sz w:val="24"/>
          <w:szCs w:val="24"/>
          <w:highlight w:val="none"/>
          <w:lang w:val="en-US" w:eastAsia="zh-CN"/>
        </w:rPr>
        <w:t>8.6</w:t>
      </w:r>
      <w:r>
        <w:rPr>
          <w:rFonts w:hint="eastAsia" w:ascii="宋体" w:hAnsi="宋体" w:eastAsia="宋体" w:cs="宋体"/>
          <w:b/>
          <w:bCs/>
          <w:snapToGrid w:val="0"/>
          <w:color w:val="auto"/>
          <w:kern w:val="0"/>
          <w:sz w:val="24"/>
          <w:szCs w:val="24"/>
          <w:highlight w:val="none"/>
        </w:rPr>
        <w:t>.8</w:t>
      </w:r>
      <w:r>
        <w:rPr>
          <w:rFonts w:hint="eastAsia" w:ascii="宋体" w:hAnsi="宋体" w:eastAsia="宋体" w:cs="宋体"/>
          <w:snapToGrid w:val="0"/>
          <w:color w:val="auto"/>
          <w:kern w:val="0"/>
          <w:sz w:val="24"/>
          <w:szCs w:val="24"/>
          <w:highlight w:val="none"/>
        </w:rPr>
        <w:t>若项目已开工，监理人已投入人力物力的前提下，因政府相关部门投资决策或规划更改等原因项目终止，应委托人要求，监理人全部或部分暂停执行监理业务或终止监理合同，委托人按照本合同相关条款支付已完成服务内容的监理费，监理人不再以任何理由提出任何其他索赔。</w:t>
      </w:r>
    </w:p>
    <w:bookmarkEnd w:id="351"/>
    <w:bookmarkEnd w:id="352"/>
    <w:p w14:paraId="70F1EA43">
      <w:pPr>
        <w:pStyle w:val="10"/>
        <w:numPr>
          <w:ilvl w:val="0"/>
          <w:numId w:val="3"/>
        </w:numPr>
        <w:shd w:val="clear" w:color="auto" w:fill="auto"/>
        <w:tabs>
          <w:tab w:val="left" w:pos="885"/>
        </w:tabs>
        <w:wordWrap w:val="0"/>
        <w:autoSpaceDE/>
        <w:autoSpaceDN/>
        <w:snapToGrid w:val="0"/>
        <w:spacing w:line="440" w:lineRule="exact"/>
        <w:ind w:left="885" w:hanging="885"/>
        <w:jc w:val="center"/>
        <w:rPr>
          <w:rFonts w:hint="eastAsia" w:ascii="宋体" w:hAnsi="宋体" w:eastAsia="宋体" w:cs="宋体"/>
          <w:b/>
          <w:snapToGrid w:val="0"/>
          <w:color w:val="auto"/>
          <w:sz w:val="24"/>
          <w:highlight w:val="none"/>
        </w:rPr>
      </w:pPr>
      <w:bookmarkStart w:id="359" w:name="_Toc11922"/>
      <w:bookmarkStart w:id="360" w:name="_Toc28619"/>
      <w:bookmarkStart w:id="361" w:name="_Toc15113"/>
      <w:bookmarkStart w:id="362" w:name="_Toc28779"/>
      <w:bookmarkStart w:id="363" w:name="_Toc11418"/>
      <w:bookmarkStart w:id="364" w:name="_Toc26371"/>
      <w:bookmarkStart w:id="365" w:name="_Toc13571"/>
      <w:bookmarkStart w:id="366" w:name="_Toc1440"/>
      <w:bookmarkStart w:id="367" w:name="_Toc16835"/>
      <w:bookmarkStart w:id="368" w:name="_Toc21669"/>
      <w:bookmarkStart w:id="369" w:name="_Toc30791"/>
      <w:bookmarkStart w:id="370" w:name="_Hlt69698796"/>
      <w:r>
        <w:rPr>
          <w:rFonts w:hint="eastAsia" w:ascii="宋体" w:hAnsi="宋体" w:eastAsia="宋体" w:cs="宋体"/>
          <w:b/>
          <w:snapToGrid w:val="0"/>
          <w:color w:val="auto"/>
          <w:sz w:val="24"/>
          <w:highlight w:val="none"/>
        </w:rPr>
        <w:br w:type="page"/>
      </w:r>
      <w:bookmarkStart w:id="371" w:name="_Toc27537"/>
      <w:r>
        <w:rPr>
          <w:rFonts w:hint="eastAsia" w:ascii="宋体" w:hAnsi="宋体" w:eastAsia="宋体" w:cs="宋体"/>
          <w:b/>
          <w:snapToGrid w:val="0"/>
          <w:color w:val="auto"/>
          <w:sz w:val="24"/>
          <w:highlight w:val="none"/>
        </w:rPr>
        <w:t>技术要求</w:t>
      </w:r>
      <w:bookmarkEnd w:id="359"/>
      <w:bookmarkEnd w:id="360"/>
      <w:bookmarkEnd w:id="361"/>
      <w:bookmarkEnd w:id="362"/>
      <w:bookmarkEnd w:id="363"/>
      <w:bookmarkEnd w:id="364"/>
      <w:bookmarkEnd w:id="365"/>
      <w:bookmarkEnd w:id="366"/>
      <w:bookmarkEnd w:id="367"/>
      <w:bookmarkEnd w:id="368"/>
      <w:bookmarkEnd w:id="369"/>
      <w:bookmarkEnd w:id="371"/>
    </w:p>
    <w:p w14:paraId="395FD2C1">
      <w:pPr>
        <w:numPr>
          <w:ilvl w:val="0"/>
          <w:numId w:val="0"/>
        </w:numPr>
        <w:shd w:val="clear" w:color="auto" w:fill="auto"/>
        <w:rPr>
          <w:rFonts w:hint="eastAsia" w:ascii="宋体" w:hAnsi="宋体" w:eastAsia="宋体" w:cs="宋体"/>
          <w:color w:val="auto"/>
          <w:highlight w:val="none"/>
        </w:rPr>
      </w:pPr>
    </w:p>
    <w:bookmarkEnd w:id="370"/>
    <w:p w14:paraId="6E497614">
      <w:pPr>
        <w:shd w:val="clear" w:color="auto" w:fill="auto"/>
        <w:wordWrap w:val="0"/>
        <w:adjustRightInd w:val="0"/>
        <w:snapToGrid w:val="0"/>
        <w:spacing w:line="440" w:lineRule="exact"/>
        <w:ind w:firstLine="482" w:firstLineChars="200"/>
        <w:rPr>
          <w:rFonts w:hint="eastAsia" w:ascii="宋体" w:hAnsi="宋体" w:eastAsia="宋体" w:cs="宋体"/>
          <w:b/>
          <w:snapToGrid w:val="0"/>
          <w:color w:val="auto"/>
          <w:kern w:val="0"/>
          <w:highlight w:val="none"/>
        </w:rPr>
      </w:pPr>
      <w:bookmarkStart w:id="372" w:name="_Hlt87793370"/>
      <w:bookmarkEnd w:id="372"/>
      <w:bookmarkStart w:id="373" w:name="_Hlt69359335"/>
      <w:bookmarkEnd w:id="373"/>
      <w:bookmarkStart w:id="374" w:name="_Hlt80411122"/>
      <w:bookmarkEnd w:id="374"/>
      <w:bookmarkStart w:id="375" w:name="_Hlt75685840"/>
      <w:bookmarkEnd w:id="375"/>
      <w:bookmarkStart w:id="376" w:name="_Hlt66104926"/>
      <w:bookmarkEnd w:id="376"/>
      <w:bookmarkStart w:id="377" w:name="_Hlt69358207"/>
      <w:bookmarkEnd w:id="377"/>
      <w:bookmarkStart w:id="378" w:name="_Hlt69265216"/>
      <w:bookmarkEnd w:id="378"/>
      <w:bookmarkStart w:id="379" w:name="_Hlt69357851"/>
      <w:bookmarkEnd w:id="379"/>
      <w:bookmarkStart w:id="380" w:name="_Hlt87793346"/>
      <w:bookmarkEnd w:id="380"/>
      <w:bookmarkStart w:id="381" w:name="_Hlt68774758"/>
      <w:bookmarkEnd w:id="381"/>
      <w:bookmarkStart w:id="382" w:name="_Hlt69116854"/>
      <w:bookmarkEnd w:id="382"/>
      <w:bookmarkStart w:id="383" w:name="_Toc25252"/>
      <w:bookmarkStart w:id="384" w:name="_Toc1932"/>
      <w:bookmarkStart w:id="385" w:name="_Toc16340"/>
      <w:bookmarkStart w:id="386" w:name="_Toc7384"/>
      <w:bookmarkStart w:id="387" w:name="_Toc19073"/>
      <w:bookmarkStart w:id="388" w:name="_Toc8636"/>
      <w:bookmarkStart w:id="389" w:name="_Toc26968"/>
      <w:bookmarkStart w:id="390" w:name="_Toc728"/>
      <w:bookmarkStart w:id="391" w:name="_Toc14418"/>
      <w:bookmarkStart w:id="392" w:name="_Toc6220"/>
      <w:bookmarkStart w:id="393" w:name="_Hlt69698785"/>
      <w:r>
        <w:rPr>
          <w:rFonts w:hint="eastAsia" w:ascii="宋体" w:hAnsi="宋体" w:eastAsia="宋体" w:cs="宋体"/>
          <w:b/>
          <w:snapToGrid w:val="0"/>
          <w:color w:val="auto"/>
          <w:kern w:val="0"/>
          <w:highlight w:val="none"/>
        </w:rPr>
        <w:t>1．房屋建筑工程建设项目</w:t>
      </w:r>
    </w:p>
    <w:p w14:paraId="597CFC4E">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bookmarkStart w:id="394" w:name="_Hlt69359086"/>
      <w:bookmarkEnd w:id="394"/>
      <w:bookmarkStart w:id="395" w:name="_Hlt69359243"/>
      <w:bookmarkEnd w:id="395"/>
      <w:bookmarkStart w:id="396" w:name="_Hlt69358458"/>
      <w:bookmarkEnd w:id="396"/>
      <w:bookmarkStart w:id="397" w:name="_Hlt69359245"/>
      <w:bookmarkEnd w:id="397"/>
      <w:bookmarkStart w:id="398" w:name="_Hlt69635252"/>
      <w:bookmarkEnd w:id="398"/>
      <w:bookmarkStart w:id="399" w:name="_Hlt78709799"/>
      <w:bookmarkEnd w:id="399"/>
      <w:bookmarkStart w:id="400" w:name="_Hlt69116858"/>
      <w:bookmarkEnd w:id="400"/>
      <w:r>
        <w:rPr>
          <w:rFonts w:hint="eastAsia" w:ascii="宋体" w:hAnsi="宋体" w:eastAsia="宋体" w:cs="宋体"/>
          <w:bCs/>
          <w:snapToGrid w:val="0"/>
          <w:color w:val="auto"/>
          <w:kern w:val="0"/>
          <w:highlight w:val="none"/>
        </w:rPr>
        <w:t>房屋建筑工程建设项目必须执行的现行技术规范，包括且不限于：</w:t>
      </w:r>
    </w:p>
    <w:p w14:paraId="7C3640ED">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（1）《建筑工程施工质量验收统一标准》；</w:t>
      </w:r>
    </w:p>
    <w:p w14:paraId="3EACBD1E">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（2）《建筑地基基础工程施工质量验收规范》；</w:t>
      </w:r>
    </w:p>
    <w:p w14:paraId="5B66FEF3">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（3）《砌体工程施工质量验收规范》；</w:t>
      </w:r>
    </w:p>
    <w:p w14:paraId="4A230C36">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（4）《混凝土结构工程施工质量验收规范》；</w:t>
      </w:r>
    </w:p>
    <w:p w14:paraId="3F8EBA7F">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（5）《屋面工程质量验收规范》；</w:t>
      </w:r>
    </w:p>
    <w:p w14:paraId="2D5ED8BA">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（6）《地下防水工程质量验收规范》；</w:t>
      </w:r>
    </w:p>
    <w:p w14:paraId="6FDB1457">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w:t>
      </w:r>
      <w:bookmarkStart w:id="401" w:name="_Hlt78795211"/>
      <w:bookmarkEnd w:id="401"/>
      <w:r>
        <w:rPr>
          <w:rFonts w:hint="eastAsia" w:ascii="宋体" w:hAnsi="宋体" w:eastAsia="宋体" w:cs="宋体"/>
          <w:bCs/>
          <w:snapToGrid w:val="0"/>
          <w:color w:val="auto"/>
          <w:kern w:val="0"/>
          <w:highlight w:val="none"/>
        </w:rPr>
        <w:t>《建筑地面工程施工质量验收规范》；</w:t>
      </w:r>
    </w:p>
    <w:p w14:paraId="0A7E4670">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（8）《建筑装饰装修工程施工质量验收规范》；</w:t>
      </w:r>
    </w:p>
    <w:p w14:paraId="6D6BA065">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（9）《建筑给排水及采暖工程施工质量验收规范》；</w:t>
      </w:r>
    </w:p>
    <w:p w14:paraId="34C5AE75">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（10）《建筑电气工程施工质量验收规范》；</w:t>
      </w:r>
    </w:p>
    <w:p w14:paraId="5A6C5DD1">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（11）《住建部绿色建筑评价标准》；</w:t>
      </w:r>
    </w:p>
    <w:p w14:paraId="01625A36">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（12）《建筑节能与可再生能源利用通用规范》；</w:t>
      </w:r>
    </w:p>
    <w:p w14:paraId="7AA03C2C">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（13）《建筑环境通用规范》；</w:t>
      </w:r>
    </w:p>
    <w:p w14:paraId="1B3E93EF">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w:t>
      </w:r>
      <w:r>
        <w:rPr>
          <w:rFonts w:hint="eastAsia" w:ascii="宋体" w:hAnsi="宋体" w:eastAsia="宋体" w:cs="宋体"/>
          <w:bCs/>
          <w:snapToGrid w:val="0"/>
          <w:color w:val="auto"/>
          <w:kern w:val="0"/>
          <w:highlight w:val="none"/>
          <w:lang w:val="en-US" w:eastAsia="zh-CN"/>
        </w:rPr>
        <w:t>4</w:t>
      </w:r>
      <w:r>
        <w:rPr>
          <w:rFonts w:hint="eastAsia" w:ascii="宋体" w:hAnsi="宋体" w:eastAsia="宋体" w:cs="宋体"/>
          <w:bCs/>
          <w:snapToGrid w:val="0"/>
          <w:color w:val="auto"/>
          <w:kern w:val="0"/>
          <w:highlight w:val="none"/>
        </w:rPr>
        <w:t>）《广东省住房和城乡建设厅绿色施工导则》；</w:t>
      </w:r>
    </w:p>
    <w:p w14:paraId="4BC631CE">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w:t>
      </w:r>
      <w:r>
        <w:rPr>
          <w:rFonts w:hint="eastAsia" w:ascii="宋体" w:hAnsi="宋体" w:eastAsia="宋体" w:cs="宋体"/>
          <w:bCs/>
          <w:snapToGrid w:val="0"/>
          <w:color w:val="auto"/>
          <w:kern w:val="0"/>
          <w:highlight w:val="none"/>
          <w:lang w:val="en-US" w:eastAsia="zh-CN"/>
        </w:rPr>
        <w:t>5</w:t>
      </w:r>
      <w:r>
        <w:rPr>
          <w:rFonts w:hint="eastAsia" w:ascii="宋体" w:hAnsi="宋体" w:eastAsia="宋体" w:cs="宋体"/>
          <w:bCs/>
          <w:snapToGrid w:val="0"/>
          <w:color w:val="auto"/>
          <w:kern w:val="0"/>
          <w:highlight w:val="none"/>
        </w:rPr>
        <w:t>）《广东省建筑工程绿色施工评价标准》；</w:t>
      </w:r>
    </w:p>
    <w:p w14:paraId="03A7AB7F">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（16）《广东省建筑节能与绿色建筑工程施工质量验收规范》；</w:t>
      </w:r>
    </w:p>
    <w:p w14:paraId="6F3D58A7">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w:t>
      </w:r>
      <w:r>
        <w:rPr>
          <w:rFonts w:hint="eastAsia" w:ascii="宋体" w:hAnsi="宋体" w:eastAsia="宋体" w:cs="宋体"/>
          <w:bCs/>
          <w:snapToGrid w:val="0"/>
          <w:color w:val="auto"/>
          <w:kern w:val="0"/>
          <w:highlight w:val="none"/>
          <w:lang w:val="en-US" w:eastAsia="zh-CN"/>
        </w:rPr>
        <w:t>17</w:t>
      </w:r>
      <w:r>
        <w:rPr>
          <w:rFonts w:hint="eastAsia" w:ascii="宋体" w:hAnsi="宋体" w:eastAsia="宋体" w:cs="宋体"/>
          <w:bCs/>
          <w:snapToGrid w:val="0"/>
          <w:color w:val="auto"/>
          <w:kern w:val="0"/>
          <w:highlight w:val="none"/>
        </w:rPr>
        <w:t>）其他现行国家、广东省关于房建工程的施工及验收规范、规程、标准。</w:t>
      </w:r>
    </w:p>
    <w:p w14:paraId="1574A2E5">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p>
    <w:p w14:paraId="5DA07FA3">
      <w:pPr>
        <w:shd w:val="clear" w:color="auto" w:fill="auto"/>
        <w:wordWrap w:val="0"/>
        <w:adjustRightInd w:val="0"/>
        <w:snapToGrid w:val="0"/>
        <w:spacing w:line="440" w:lineRule="exact"/>
        <w:ind w:firstLine="482" w:firstLineChars="200"/>
        <w:rPr>
          <w:rFonts w:hint="eastAsia" w:ascii="宋体" w:hAnsi="宋体" w:eastAsia="宋体" w:cs="宋体"/>
          <w:bCs/>
          <w:snapToGrid w:val="0"/>
          <w:color w:val="auto"/>
          <w:kern w:val="0"/>
          <w:highlight w:val="none"/>
        </w:rPr>
      </w:pPr>
      <w:r>
        <w:rPr>
          <w:rFonts w:hint="eastAsia" w:ascii="宋体" w:hAnsi="宋体" w:eastAsia="宋体" w:cs="宋体"/>
          <w:b/>
          <w:snapToGrid w:val="0"/>
          <w:color w:val="auto"/>
          <w:kern w:val="0"/>
          <w:highlight w:val="none"/>
        </w:rPr>
        <w:t>2．市政基础设施工程建设项目</w:t>
      </w:r>
    </w:p>
    <w:p w14:paraId="31C20B54">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bCs/>
          <w:snapToGrid w:val="0"/>
          <w:color w:val="auto"/>
          <w:kern w:val="0"/>
          <w:highlight w:val="none"/>
        </w:rPr>
        <w:t>市政基础设施工程建设项目必须执行的现行技术规范，包括且不限于：</w:t>
      </w:r>
    </w:p>
    <w:p w14:paraId="0D866630">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szCs w:val="28"/>
          <w:highlight w:val="none"/>
        </w:rPr>
        <w:t>（1）《公路路基施工技术规范》</w:t>
      </w:r>
      <w:r>
        <w:rPr>
          <w:rFonts w:hint="eastAsia" w:ascii="宋体" w:hAnsi="宋体" w:eastAsia="宋体" w:cs="宋体"/>
          <w:bCs/>
          <w:snapToGrid w:val="0"/>
          <w:color w:val="auto"/>
          <w:kern w:val="0"/>
          <w:highlight w:val="none"/>
        </w:rPr>
        <w:t>；</w:t>
      </w:r>
    </w:p>
    <w:p w14:paraId="256ACE8C">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（2）《市政道路工程质量检验评定标准》；</w:t>
      </w:r>
    </w:p>
    <w:p w14:paraId="2BACFB44">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（3）《市政排水管渠工程质量检验评定标准》；</w:t>
      </w:r>
    </w:p>
    <w:p w14:paraId="671AF8A9">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（4）《给水排水管道工程施工及验收规范》；</w:t>
      </w:r>
    </w:p>
    <w:p w14:paraId="394EFC5B">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（5）《城市道路路基工程施工及验收规范》；</w:t>
      </w:r>
    </w:p>
    <w:p w14:paraId="29CD9DFD">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（6）《水泥砼路面施工及验收规范》；</w:t>
      </w:r>
    </w:p>
    <w:p w14:paraId="16668429">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（7）《公路水泥砼路面施工技术规范》；</w:t>
      </w:r>
    </w:p>
    <w:p w14:paraId="6AF3CF02">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（8）《埋地硬聚氯乙烯排水管道工程技术规程》；</w:t>
      </w:r>
    </w:p>
    <w:p w14:paraId="55F76126">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（9）《沥青路面施工及验收规范》；</w:t>
      </w:r>
    </w:p>
    <w:p w14:paraId="06C4A0C6">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lang w:eastAsia="zh-CN"/>
        </w:rPr>
      </w:pPr>
      <w:r>
        <w:rPr>
          <w:rFonts w:hint="eastAsia" w:ascii="宋体" w:hAnsi="宋体" w:eastAsia="宋体" w:cs="宋体"/>
          <w:bCs/>
          <w:snapToGrid w:val="0"/>
          <w:color w:val="auto"/>
          <w:kern w:val="0"/>
          <w:highlight w:val="none"/>
        </w:rPr>
        <w:t>（10）《广东省市政工程施工质量技术资料统一用表》</w:t>
      </w:r>
      <w:r>
        <w:rPr>
          <w:rFonts w:hint="eastAsia" w:ascii="宋体" w:hAnsi="宋体" w:eastAsia="宋体" w:cs="宋体"/>
          <w:bCs/>
          <w:snapToGrid w:val="0"/>
          <w:color w:val="auto"/>
          <w:kern w:val="0"/>
          <w:highlight w:val="none"/>
          <w:lang w:eastAsia="zh-CN"/>
        </w:rPr>
        <w:t>；</w:t>
      </w:r>
    </w:p>
    <w:p w14:paraId="21A56B95">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（11）《城市道路照明设计标准》（CJJ45-2015）；</w:t>
      </w:r>
    </w:p>
    <w:p w14:paraId="43155D1C">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（12）《低压配电设计规范》（GB50054-2011）；</w:t>
      </w:r>
    </w:p>
    <w:p w14:paraId="08FCAD1E">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（13）《城市道路照明工程施工及验收规程》（CJJ89-2012）；</w:t>
      </w:r>
    </w:p>
    <w:p w14:paraId="2C7D009D">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（14）《LED道路照明工程技术规范》（DB44/T 1898-2016）；</w:t>
      </w:r>
    </w:p>
    <w:p w14:paraId="677F98F3">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（15）《灯具第1部分：一般要求与试验》（GB7000.1-2015）；</w:t>
      </w:r>
    </w:p>
    <w:p w14:paraId="7B5C6C24">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（16）《电缆工程电缆设计标准》（GB50217-2018）；</w:t>
      </w:r>
    </w:p>
    <w:p w14:paraId="49A52D4C">
      <w:pPr>
        <w:shd w:val="clear" w:color="auto" w:fill="auto"/>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w:t>
      </w:r>
      <w:r>
        <w:rPr>
          <w:rFonts w:hint="eastAsia" w:ascii="宋体" w:hAnsi="宋体" w:eastAsia="宋体" w:cs="宋体"/>
          <w:bCs/>
          <w:snapToGrid w:val="0"/>
          <w:color w:val="auto"/>
          <w:kern w:val="0"/>
          <w:highlight w:val="none"/>
          <w:lang w:val="en-US" w:eastAsia="zh-CN"/>
        </w:rPr>
        <w:t>7</w:t>
      </w:r>
      <w:r>
        <w:rPr>
          <w:rFonts w:hint="eastAsia" w:ascii="宋体" w:hAnsi="宋体" w:eastAsia="宋体" w:cs="宋体"/>
          <w:bCs/>
          <w:snapToGrid w:val="0"/>
          <w:color w:val="auto"/>
          <w:kern w:val="0"/>
          <w:highlight w:val="none"/>
        </w:rPr>
        <w:t>）其他现行国家、广东省关于市政工程的技术及验收规范、规程、标准。</w:t>
      </w:r>
    </w:p>
    <w:p w14:paraId="2AB35259">
      <w:pPr>
        <w:shd w:val="clear" w:color="auto" w:fill="auto"/>
        <w:wordWrap w:val="0"/>
        <w:adjustRightInd w:val="0"/>
        <w:snapToGrid w:val="0"/>
        <w:spacing w:line="440" w:lineRule="exact"/>
        <w:rPr>
          <w:rFonts w:hint="eastAsia" w:ascii="宋体" w:hAnsi="宋体" w:eastAsia="宋体" w:cs="宋体"/>
          <w:bCs/>
          <w:snapToGrid w:val="0"/>
          <w:color w:val="auto"/>
          <w:kern w:val="0"/>
          <w:highlight w:val="none"/>
          <w:lang w:val="en-US" w:eastAsia="zh-CN"/>
        </w:rPr>
      </w:pPr>
    </w:p>
    <w:p w14:paraId="44A2CDD6">
      <w:pPr>
        <w:shd w:val="clear" w:color="auto" w:fill="auto"/>
        <w:wordWrap w:val="0"/>
        <w:adjustRightInd w:val="0"/>
        <w:snapToGrid w:val="0"/>
        <w:spacing w:line="440" w:lineRule="exact"/>
        <w:ind w:firstLine="482" w:firstLineChars="200"/>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highlight w:val="none"/>
          <w:lang w:val="en-US" w:eastAsia="zh-CN"/>
        </w:rPr>
        <w:t xml:space="preserve">3. </w:t>
      </w:r>
      <w:r>
        <w:rPr>
          <w:rFonts w:hint="eastAsia" w:ascii="宋体" w:hAnsi="宋体" w:eastAsia="宋体" w:cs="宋体"/>
          <w:b/>
          <w:snapToGrid w:val="0"/>
          <w:color w:val="auto"/>
          <w:kern w:val="0"/>
          <w:highlight w:val="none"/>
        </w:rPr>
        <w:t>备查要求</w:t>
      </w:r>
    </w:p>
    <w:p w14:paraId="46AB9A27">
      <w:pPr>
        <w:shd w:val="clear" w:color="auto" w:fill="auto"/>
        <w:wordWrap w:val="0"/>
        <w:adjustRightInd w:val="0"/>
        <w:snapToGrid w:val="0"/>
        <w:spacing w:line="440" w:lineRule="exact"/>
        <w:ind w:firstLine="560"/>
        <w:rPr>
          <w:rFonts w:hint="eastAsia" w:ascii="宋体" w:hAnsi="宋体" w:eastAsia="宋体" w:cs="宋体"/>
          <w:strike/>
          <w:snapToGrid w:val="0"/>
          <w:color w:val="auto"/>
          <w:kern w:val="0"/>
          <w:highlight w:val="none"/>
        </w:rPr>
        <w:sectPr>
          <w:endnotePr>
            <w:numFmt w:val="decimal"/>
          </w:endnotePr>
          <w:pgSz w:w="11906" w:h="16838"/>
          <w:pgMar w:top="1701" w:right="1531" w:bottom="1417" w:left="1531" w:header="850" w:footer="992" w:gutter="0"/>
          <w:cols w:space="720" w:num="1"/>
          <w:rtlGutter w:val="0"/>
          <w:docGrid w:linePitch="327" w:charSpace="0"/>
        </w:sectPr>
      </w:pPr>
      <w:r>
        <w:rPr>
          <w:rFonts w:hint="eastAsia" w:ascii="宋体" w:hAnsi="宋体" w:eastAsia="宋体" w:cs="宋体"/>
          <w:snapToGrid w:val="0"/>
          <w:color w:val="auto"/>
          <w:kern w:val="0"/>
          <w:highlight w:val="none"/>
        </w:rPr>
        <w:t>监理人</w:t>
      </w:r>
      <w:r>
        <w:rPr>
          <w:rFonts w:hint="eastAsia" w:ascii="宋体" w:hAnsi="宋体" w:eastAsia="宋体" w:cs="宋体"/>
          <w:bCs/>
          <w:snapToGrid w:val="0"/>
          <w:color w:val="auto"/>
          <w:kern w:val="0"/>
          <w:highlight w:val="none"/>
        </w:rPr>
        <w:t>必须在施工现场准备至少一套上述规范，委托人可随时检查监理人的上述规范，并监督监理人按规范要求执行。</w:t>
      </w:r>
      <w:bookmarkStart w:id="402" w:name="_Hlt69670335"/>
      <w:bookmarkEnd w:id="402"/>
    </w:p>
    <w:p w14:paraId="2D39C8D4">
      <w:pPr>
        <w:pStyle w:val="10"/>
        <w:shd w:val="clear" w:color="auto" w:fill="auto"/>
        <w:wordWrap w:val="0"/>
        <w:autoSpaceDE/>
        <w:autoSpaceDN/>
        <w:snapToGrid w:val="0"/>
        <w:spacing w:line="440" w:lineRule="exact"/>
        <w:jc w:val="center"/>
        <w:rPr>
          <w:rFonts w:hint="eastAsia" w:ascii="宋体" w:hAnsi="宋体" w:eastAsia="宋体" w:cs="宋体"/>
          <w:b/>
          <w:snapToGrid w:val="0"/>
          <w:color w:val="auto"/>
          <w:sz w:val="24"/>
          <w:highlight w:val="none"/>
        </w:rPr>
      </w:pPr>
      <w:bookmarkStart w:id="403" w:name="_Toc10032"/>
      <w:bookmarkStart w:id="404" w:name="_Toc8448"/>
      <w:r>
        <w:rPr>
          <w:rFonts w:hint="eastAsia" w:ascii="宋体" w:hAnsi="宋体" w:eastAsia="宋体" w:cs="宋体"/>
          <w:b/>
          <w:snapToGrid w:val="0"/>
          <w:color w:val="auto"/>
          <w:sz w:val="24"/>
          <w:highlight w:val="none"/>
        </w:rPr>
        <w:t xml:space="preserve">第五章 </w:t>
      </w:r>
      <w:bookmarkEnd w:id="383"/>
      <w:bookmarkStart w:id="405" w:name="_Hlt75747044"/>
      <w:bookmarkEnd w:id="405"/>
      <w:r>
        <w:rPr>
          <w:rFonts w:hint="eastAsia" w:ascii="宋体" w:hAnsi="宋体" w:eastAsia="宋体" w:cs="宋体"/>
          <w:b/>
          <w:snapToGrid w:val="0"/>
          <w:color w:val="auto"/>
          <w:sz w:val="24"/>
          <w:highlight w:val="none"/>
        </w:rPr>
        <w:t>投标文件格式</w:t>
      </w:r>
      <w:bookmarkEnd w:id="384"/>
      <w:bookmarkEnd w:id="385"/>
      <w:bookmarkEnd w:id="386"/>
      <w:bookmarkEnd w:id="387"/>
      <w:bookmarkEnd w:id="388"/>
      <w:bookmarkEnd w:id="389"/>
      <w:bookmarkEnd w:id="390"/>
      <w:bookmarkEnd w:id="391"/>
      <w:bookmarkEnd w:id="392"/>
      <w:bookmarkEnd w:id="403"/>
      <w:bookmarkEnd w:id="404"/>
    </w:p>
    <w:bookmarkEnd w:id="393"/>
    <w:p w14:paraId="7F783EF5">
      <w:pPr>
        <w:pStyle w:val="56"/>
        <w:keepNext w:val="0"/>
        <w:keepLines w:val="0"/>
        <w:widowControl w:val="0"/>
        <w:shd w:val="clear" w:color="auto" w:fill="auto"/>
        <w:wordWrap w:val="0"/>
        <w:adjustRightInd w:val="0"/>
        <w:snapToGrid w:val="0"/>
        <w:spacing w:before="0" w:after="0" w:line="240" w:lineRule="auto"/>
        <w:ind w:left="3640" w:leftChars="15" w:hanging="3604" w:hangingChars="1496"/>
        <w:jc w:val="both"/>
        <w:outlineLvl w:val="9"/>
        <w:rPr>
          <w:rFonts w:hint="eastAsia" w:ascii="宋体" w:hAnsi="宋体" w:eastAsia="宋体" w:cs="宋体"/>
          <w:b/>
          <w:snapToGrid w:val="0"/>
          <w:color w:val="auto"/>
          <w:highlight w:val="none"/>
        </w:rPr>
      </w:pPr>
      <w:bookmarkStart w:id="406" w:name="_附件二：工期承诺书"/>
      <w:bookmarkEnd w:id="406"/>
      <w:bookmarkStart w:id="407" w:name="_附件一：对招标文件条款自愿接受承诺书"/>
      <w:bookmarkEnd w:id="407"/>
      <w:bookmarkStart w:id="408" w:name="_附件二：近三年度主要施工项目（竣工及在建）一览表"/>
      <w:bookmarkEnd w:id="408"/>
      <w:bookmarkStart w:id="409" w:name="_附件五：综合评审合理低价法"/>
      <w:bookmarkEnd w:id="409"/>
      <w:bookmarkStart w:id="410" w:name="_附件四：工期承诺书"/>
      <w:bookmarkEnd w:id="410"/>
      <w:bookmarkStart w:id="411" w:name="_附件一：投标函"/>
      <w:bookmarkEnd w:id="411"/>
      <w:bookmarkStart w:id="412" w:name="_Toc137621693"/>
      <w:bookmarkStart w:id="413" w:name="_Toc200338097"/>
      <w:bookmarkStart w:id="414" w:name="_Hlt66847557"/>
      <w:bookmarkStart w:id="415" w:name="_Toc66849200"/>
    </w:p>
    <w:p w14:paraId="769CAFA2">
      <w:pPr>
        <w:pStyle w:val="56"/>
        <w:keepNext w:val="0"/>
        <w:keepLines w:val="0"/>
        <w:widowControl w:val="0"/>
        <w:shd w:val="clear" w:color="auto" w:fill="auto"/>
        <w:wordWrap w:val="0"/>
        <w:adjustRightInd w:val="0"/>
        <w:snapToGrid w:val="0"/>
        <w:spacing w:before="0" w:after="0" w:line="240" w:lineRule="auto"/>
        <w:ind w:left="3640" w:leftChars="15" w:hanging="3604" w:hangingChars="1496"/>
        <w:jc w:val="both"/>
        <w:rPr>
          <w:rFonts w:hint="eastAsia" w:ascii="宋体" w:hAnsi="宋体" w:eastAsia="宋体" w:cs="宋体"/>
          <w:b/>
          <w:snapToGrid w:val="0"/>
          <w:color w:val="auto"/>
          <w:highlight w:val="none"/>
        </w:rPr>
      </w:pPr>
      <w:bookmarkStart w:id="416" w:name="_Toc27308"/>
      <w:bookmarkStart w:id="417" w:name="_Toc32261"/>
      <w:bookmarkStart w:id="418" w:name="_Toc9475"/>
      <w:bookmarkStart w:id="419" w:name="_Toc13147"/>
      <w:bookmarkStart w:id="420" w:name="_Toc2371"/>
      <w:bookmarkStart w:id="421" w:name="_Toc12824"/>
      <w:bookmarkStart w:id="422" w:name="_Toc13127"/>
      <w:bookmarkStart w:id="423" w:name="_Toc8451"/>
      <w:bookmarkStart w:id="424" w:name="_Toc2622"/>
      <w:bookmarkStart w:id="425" w:name="_Toc12888"/>
      <w:bookmarkStart w:id="426" w:name="_Toc9716"/>
      <w:r>
        <w:rPr>
          <w:rFonts w:hint="eastAsia" w:ascii="宋体" w:hAnsi="宋体" w:eastAsia="宋体" w:cs="宋体"/>
          <w:b/>
          <w:snapToGrid w:val="0"/>
          <w:color w:val="auto"/>
          <w:highlight w:val="none"/>
        </w:rPr>
        <w:t>格式一 封面</w:t>
      </w:r>
      <w:bookmarkEnd w:id="416"/>
      <w:bookmarkEnd w:id="417"/>
      <w:bookmarkEnd w:id="418"/>
      <w:bookmarkEnd w:id="419"/>
      <w:bookmarkEnd w:id="420"/>
      <w:bookmarkEnd w:id="421"/>
      <w:bookmarkEnd w:id="422"/>
      <w:bookmarkEnd w:id="423"/>
      <w:bookmarkEnd w:id="424"/>
      <w:bookmarkEnd w:id="425"/>
      <w:bookmarkEnd w:id="426"/>
    </w:p>
    <w:p w14:paraId="25784310">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24"/>
          <w:highlight w:val="none"/>
        </w:rPr>
      </w:pPr>
    </w:p>
    <w:p w14:paraId="16A81D8D">
      <w:pPr>
        <w:pStyle w:val="57"/>
        <w:widowControl w:val="0"/>
        <w:shd w:val="clear" w:color="auto" w:fill="auto"/>
        <w:wordWrap w:val="0"/>
        <w:adjustRightInd w:val="0"/>
        <w:snapToGrid w:val="0"/>
        <w:spacing w:line="240" w:lineRule="auto"/>
        <w:jc w:val="right"/>
        <w:rPr>
          <w:rFonts w:hint="eastAsia" w:ascii="宋体" w:hAnsi="宋体" w:eastAsia="宋体" w:cs="宋体"/>
          <w:b/>
          <w:snapToGrid w:val="0"/>
          <w:color w:val="auto"/>
          <w:sz w:val="24"/>
          <w:highlight w:val="none"/>
        </w:rPr>
      </w:pPr>
    </w:p>
    <w:p w14:paraId="6DF60449">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24"/>
          <w:highlight w:val="none"/>
        </w:rPr>
      </w:pPr>
    </w:p>
    <w:p w14:paraId="6871E2FE">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24"/>
          <w:highlight w:val="none"/>
        </w:rPr>
      </w:pPr>
    </w:p>
    <w:p w14:paraId="1789CC59">
      <w:pPr>
        <w:pStyle w:val="57"/>
        <w:widowControl w:val="0"/>
        <w:shd w:val="clear" w:color="auto" w:fill="auto"/>
        <w:wordWrap w:val="0"/>
        <w:adjustRightInd w:val="0"/>
        <w:snapToGrid w:val="0"/>
        <w:spacing w:line="240" w:lineRule="auto"/>
        <w:ind w:left="0" w:leftChars="0" w:firstLine="0" w:firstLineChars="0"/>
        <w:rPr>
          <w:rFonts w:hint="eastAsia" w:ascii="宋体" w:hAnsi="宋体" w:eastAsia="宋体" w:cs="宋体"/>
          <w:b/>
          <w:snapToGrid w:val="0"/>
          <w:color w:val="auto"/>
          <w:sz w:val="24"/>
          <w:highlight w:val="none"/>
        </w:rPr>
      </w:pPr>
    </w:p>
    <w:p w14:paraId="306F4DF2">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24"/>
          <w:highlight w:val="none"/>
        </w:rPr>
      </w:pPr>
    </w:p>
    <w:p w14:paraId="2726E899">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24"/>
          <w:highlight w:val="none"/>
        </w:rPr>
      </w:pPr>
    </w:p>
    <w:p w14:paraId="773BC421">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24"/>
          <w:highlight w:val="none"/>
        </w:rPr>
      </w:pPr>
    </w:p>
    <w:p w14:paraId="63A9DCC8">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24"/>
          <w:highlight w:val="none"/>
        </w:rPr>
      </w:pPr>
    </w:p>
    <w:p w14:paraId="0FA01751">
      <w:pPr>
        <w:pStyle w:val="57"/>
        <w:widowControl w:val="0"/>
        <w:shd w:val="clear" w:color="auto" w:fill="auto"/>
        <w:wordWrap w:val="0"/>
        <w:adjustRightInd w:val="0"/>
        <w:snapToGrid w:val="0"/>
        <w:ind w:firstLine="0"/>
        <w:jc w:val="center"/>
        <w:rPr>
          <w:rFonts w:hint="eastAsia" w:ascii="宋体" w:hAnsi="宋体" w:eastAsia="宋体" w:cs="宋体"/>
          <w:b/>
          <w:snapToGrid w:val="0"/>
          <w:color w:val="auto"/>
          <w:sz w:val="44"/>
          <w:szCs w:val="44"/>
          <w:highlight w:val="none"/>
        </w:rPr>
      </w:pPr>
      <w:r>
        <w:rPr>
          <w:rFonts w:hint="eastAsia" w:ascii="宋体" w:hAnsi="宋体" w:eastAsia="宋体" w:cs="宋体"/>
          <w:bCs/>
          <w:snapToGrid w:val="0"/>
          <w:color w:val="auto"/>
          <w:sz w:val="44"/>
          <w:szCs w:val="44"/>
          <w:highlight w:val="none"/>
          <w:u w:val="single"/>
          <w:lang w:val="en-US" w:eastAsia="zh-CN"/>
        </w:rPr>
        <w:t xml:space="preserve">    （项目名称）  </w:t>
      </w:r>
      <w:r>
        <w:rPr>
          <w:rFonts w:hint="eastAsia" w:ascii="宋体" w:hAnsi="宋体" w:eastAsia="宋体" w:cs="宋体"/>
          <w:b/>
          <w:snapToGrid w:val="0"/>
          <w:color w:val="auto"/>
          <w:sz w:val="44"/>
          <w:szCs w:val="44"/>
          <w:highlight w:val="none"/>
        </w:rPr>
        <w:t>招标</w:t>
      </w:r>
    </w:p>
    <w:p w14:paraId="4F4C3945">
      <w:pPr>
        <w:pStyle w:val="57"/>
        <w:widowControl w:val="0"/>
        <w:shd w:val="clear" w:color="auto" w:fill="auto"/>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069A8B7F">
      <w:pPr>
        <w:pStyle w:val="57"/>
        <w:widowControl w:val="0"/>
        <w:shd w:val="clear" w:color="auto" w:fill="auto"/>
        <w:wordWrap w:val="0"/>
        <w:adjustRightInd w:val="0"/>
        <w:snapToGrid w:val="0"/>
        <w:spacing w:line="240" w:lineRule="auto"/>
        <w:ind w:firstLine="0"/>
        <w:jc w:val="center"/>
        <w:rPr>
          <w:rFonts w:hint="eastAsia" w:ascii="宋体" w:hAnsi="宋体" w:eastAsia="宋体" w:cs="宋体"/>
          <w:b/>
          <w:snapToGrid w:val="0"/>
          <w:color w:val="auto"/>
          <w:sz w:val="72"/>
          <w:highlight w:val="none"/>
        </w:rPr>
      </w:pPr>
      <w:r>
        <w:rPr>
          <w:rFonts w:hint="eastAsia" w:ascii="宋体" w:hAnsi="宋体" w:eastAsia="宋体" w:cs="宋体"/>
          <w:b/>
          <w:snapToGrid w:val="0"/>
          <w:color w:val="auto"/>
          <w:sz w:val="72"/>
          <w:highlight w:val="none"/>
        </w:rPr>
        <w:t>投  标  文  件</w:t>
      </w:r>
    </w:p>
    <w:p w14:paraId="1EBF78AC">
      <w:pPr>
        <w:pStyle w:val="57"/>
        <w:widowControl w:val="0"/>
        <w:shd w:val="clear" w:color="auto" w:fill="auto"/>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78B49ECB">
      <w:pPr>
        <w:pStyle w:val="57"/>
        <w:widowControl w:val="0"/>
        <w:shd w:val="clear" w:color="auto" w:fill="auto"/>
        <w:wordWrap w:val="0"/>
        <w:adjustRightInd w:val="0"/>
        <w:snapToGrid w:val="0"/>
        <w:spacing w:line="240" w:lineRule="auto"/>
        <w:ind w:firstLine="0"/>
        <w:jc w:val="center"/>
        <w:rPr>
          <w:rFonts w:hint="eastAsia" w:ascii="宋体" w:hAnsi="宋体" w:eastAsia="宋体" w:cs="宋体"/>
          <w:b/>
          <w:snapToGrid w:val="0"/>
          <w:color w:val="auto"/>
          <w:sz w:val="32"/>
          <w:highlight w:val="none"/>
        </w:rPr>
      </w:pPr>
      <w:r>
        <w:rPr>
          <w:rFonts w:hint="eastAsia" w:ascii="宋体" w:hAnsi="宋体" w:eastAsia="宋体" w:cs="宋体"/>
          <w:b/>
          <w:snapToGrid w:val="0"/>
          <w:color w:val="auto"/>
          <w:sz w:val="48"/>
          <w:szCs w:val="48"/>
          <w:highlight w:val="none"/>
        </w:rPr>
        <w:t>（商务标书／监理大纲）</w:t>
      </w:r>
    </w:p>
    <w:p w14:paraId="09776848">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32"/>
          <w:highlight w:val="none"/>
        </w:rPr>
      </w:pPr>
    </w:p>
    <w:p w14:paraId="1D51937D">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32"/>
          <w:highlight w:val="none"/>
        </w:rPr>
      </w:pPr>
    </w:p>
    <w:p w14:paraId="6793223B">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32"/>
          <w:highlight w:val="none"/>
        </w:rPr>
      </w:pPr>
    </w:p>
    <w:p w14:paraId="41897D38">
      <w:pPr>
        <w:pStyle w:val="57"/>
        <w:widowControl w:val="0"/>
        <w:shd w:val="clear" w:color="auto" w:fill="auto"/>
        <w:wordWrap w:val="0"/>
        <w:adjustRightInd w:val="0"/>
        <w:snapToGrid w:val="0"/>
        <w:spacing w:line="240" w:lineRule="auto"/>
        <w:rPr>
          <w:rFonts w:hint="eastAsia" w:ascii="宋体" w:hAnsi="宋体" w:eastAsia="宋体" w:cs="宋体"/>
          <w:b/>
          <w:snapToGrid w:val="0"/>
          <w:color w:val="auto"/>
          <w:sz w:val="32"/>
          <w:highlight w:val="none"/>
        </w:rPr>
      </w:pPr>
    </w:p>
    <w:p w14:paraId="429ADF2F">
      <w:pPr>
        <w:pStyle w:val="57"/>
        <w:widowControl w:val="0"/>
        <w:shd w:val="clear" w:color="auto" w:fill="auto"/>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389223DA">
      <w:pPr>
        <w:pStyle w:val="57"/>
        <w:widowControl w:val="0"/>
        <w:shd w:val="clear" w:color="auto" w:fill="auto"/>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1A5050B4">
      <w:pPr>
        <w:pStyle w:val="57"/>
        <w:widowControl w:val="0"/>
        <w:shd w:val="clear" w:color="auto" w:fill="auto"/>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271E184F">
      <w:pPr>
        <w:pStyle w:val="57"/>
        <w:widowControl w:val="0"/>
        <w:shd w:val="clear" w:color="auto" w:fill="auto"/>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422DF565">
      <w:pPr>
        <w:pStyle w:val="57"/>
        <w:widowControl w:val="0"/>
        <w:shd w:val="clear" w:color="auto" w:fill="auto"/>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47619772">
      <w:pPr>
        <w:pStyle w:val="57"/>
        <w:widowControl w:val="0"/>
        <w:shd w:val="clear" w:color="auto" w:fill="auto"/>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46A3E6E2">
      <w:pPr>
        <w:pStyle w:val="57"/>
        <w:widowControl w:val="0"/>
        <w:shd w:val="clear" w:color="auto" w:fill="auto"/>
        <w:wordWrap w:val="0"/>
        <w:adjustRightInd w:val="0"/>
        <w:snapToGrid w:val="0"/>
        <w:spacing w:line="240" w:lineRule="auto"/>
        <w:ind w:firstLine="0"/>
        <w:jc w:val="center"/>
        <w:rPr>
          <w:rFonts w:hint="eastAsia" w:ascii="宋体" w:hAnsi="宋体" w:eastAsia="宋体" w:cs="宋体"/>
          <w:bCs/>
          <w:snapToGrid w:val="0"/>
          <w:color w:val="auto"/>
          <w:sz w:val="32"/>
          <w:highlight w:val="none"/>
          <w:u w:val="single"/>
        </w:rPr>
      </w:pPr>
    </w:p>
    <w:p w14:paraId="6E2093B1">
      <w:pPr>
        <w:pStyle w:val="57"/>
        <w:widowControl w:val="0"/>
        <w:shd w:val="clear" w:color="auto" w:fill="auto"/>
        <w:wordWrap w:val="0"/>
        <w:adjustRightInd w:val="0"/>
        <w:snapToGrid w:val="0"/>
        <w:spacing w:line="24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58E1D1BE">
      <w:pPr>
        <w:pStyle w:val="57"/>
        <w:widowControl w:val="0"/>
        <w:shd w:val="clear" w:color="auto" w:fill="auto"/>
        <w:wordWrap w:val="0"/>
        <w:adjustRightInd w:val="0"/>
        <w:snapToGrid w:val="0"/>
        <w:rPr>
          <w:rFonts w:hint="eastAsia" w:ascii="宋体" w:hAnsi="宋体" w:eastAsia="宋体" w:cs="宋体"/>
          <w:b/>
          <w:snapToGrid w:val="0"/>
          <w:color w:val="auto"/>
          <w:highlight w:val="none"/>
        </w:rPr>
      </w:pPr>
    </w:p>
    <w:p w14:paraId="30D237D1">
      <w:pPr>
        <w:pStyle w:val="12"/>
        <w:keepNext w:val="0"/>
        <w:keepLines w:val="0"/>
        <w:widowControl w:val="0"/>
        <w:shd w:val="clear" w:color="auto" w:fill="auto"/>
        <w:wordWrap w:val="0"/>
        <w:adjustRightInd w:val="0"/>
        <w:snapToGrid w:val="0"/>
        <w:spacing w:before="0" w:after="0" w:line="440" w:lineRule="exact"/>
        <w:ind w:firstLine="0"/>
        <w:jc w:val="left"/>
        <w:rPr>
          <w:rFonts w:hint="eastAsia" w:ascii="宋体" w:hAnsi="宋体" w:eastAsia="宋体" w:cs="宋体"/>
          <w:b/>
          <w:snapToGrid w:val="0"/>
          <w:color w:val="auto"/>
          <w:highlight w:val="none"/>
        </w:rPr>
      </w:pPr>
      <w:bookmarkStart w:id="427" w:name="_Toc27987"/>
      <w:bookmarkStart w:id="428" w:name="_Toc4418"/>
      <w:bookmarkStart w:id="429" w:name="_Toc28241"/>
      <w:bookmarkStart w:id="430" w:name="_Toc9465"/>
      <w:bookmarkStart w:id="431" w:name="_Toc31778"/>
      <w:bookmarkStart w:id="432" w:name="_Toc23815"/>
      <w:bookmarkStart w:id="433" w:name="_Toc490"/>
      <w:bookmarkStart w:id="434" w:name="_Toc9043"/>
      <w:bookmarkStart w:id="435" w:name="_Toc29607"/>
      <w:bookmarkStart w:id="436" w:name="_Toc106418843"/>
      <w:bookmarkStart w:id="437" w:name="_Toc28280"/>
      <w:bookmarkStart w:id="438" w:name="_Toc104711098"/>
      <w:r>
        <w:rPr>
          <w:rFonts w:hint="eastAsia" w:ascii="宋体" w:hAnsi="宋体" w:eastAsia="宋体" w:cs="宋体"/>
          <w:b/>
          <w:snapToGrid w:val="0"/>
          <w:color w:val="auto"/>
          <w:highlight w:val="none"/>
        </w:rPr>
        <w:br w:type="page"/>
      </w:r>
      <w:bookmarkStart w:id="439" w:name="_Toc30416"/>
      <w:bookmarkStart w:id="440" w:name="_Toc6488"/>
      <w:r>
        <w:rPr>
          <w:rFonts w:hint="eastAsia" w:ascii="宋体" w:hAnsi="宋体" w:eastAsia="宋体" w:cs="宋体"/>
          <w:b/>
          <w:snapToGrid w:val="0"/>
          <w:color w:val="auto"/>
          <w:highlight w:val="none"/>
        </w:rPr>
        <w:t>格式</w:t>
      </w:r>
      <w:bookmarkStart w:id="441" w:name="_Hlt97526007"/>
      <w:bookmarkEnd w:id="441"/>
      <w:r>
        <w:rPr>
          <w:rFonts w:hint="eastAsia" w:ascii="宋体" w:hAnsi="宋体" w:eastAsia="宋体" w:cs="宋体"/>
          <w:b/>
          <w:snapToGrid w:val="0"/>
          <w:color w:val="auto"/>
          <w:highlight w:val="none"/>
        </w:rPr>
        <w:t>二 投标函</w:t>
      </w:r>
      <w:bookmarkEnd w:id="427"/>
      <w:bookmarkEnd w:id="428"/>
      <w:bookmarkEnd w:id="429"/>
      <w:bookmarkEnd w:id="430"/>
      <w:bookmarkEnd w:id="431"/>
      <w:bookmarkEnd w:id="432"/>
      <w:bookmarkEnd w:id="433"/>
      <w:bookmarkEnd w:id="434"/>
      <w:bookmarkEnd w:id="435"/>
      <w:bookmarkEnd w:id="439"/>
      <w:bookmarkEnd w:id="440"/>
    </w:p>
    <w:p w14:paraId="2CC43A2C">
      <w:pPr>
        <w:shd w:val="clear" w:color="auto" w:fill="auto"/>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bookmarkStart w:id="442" w:name="_Toc5605"/>
      <w:r>
        <w:rPr>
          <w:rFonts w:hint="eastAsia" w:ascii="宋体" w:hAnsi="宋体" w:eastAsia="宋体" w:cs="宋体"/>
          <w:b/>
          <w:snapToGrid w:val="0"/>
          <w:color w:val="auto"/>
          <w:kern w:val="0"/>
          <w:sz w:val="30"/>
          <w:highlight w:val="none"/>
        </w:rPr>
        <w:t>投  标  函</w:t>
      </w:r>
      <w:bookmarkEnd w:id="436"/>
      <w:bookmarkEnd w:id="437"/>
      <w:bookmarkEnd w:id="438"/>
      <w:bookmarkEnd w:id="442"/>
    </w:p>
    <w:p w14:paraId="701BE62B">
      <w:pPr>
        <w:shd w:val="clear" w:color="auto" w:fill="auto"/>
        <w:wordWrap w:val="0"/>
        <w:adjustRightInd w:val="0"/>
        <w:snapToGrid w:val="0"/>
        <w:spacing w:line="440" w:lineRule="exact"/>
        <w:jc w:val="center"/>
        <w:rPr>
          <w:rFonts w:hint="eastAsia" w:ascii="宋体" w:hAnsi="宋体" w:eastAsia="宋体" w:cs="宋体"/>
          <w:b/>
          <w:snapToGrid w:val="0"/>
          <w:color w:val="auto"/>
          <w:kern w:val="0"/>
          <w:highlight w:val="none"/>
        </w:rPr>
      </w:pPr>
    </w:p>
    <w:p w14:paraId="2D23038F">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（招标人名称）</w:t>
      </w:r>
    </w:p>
    <w:p w14:paraId="7D044ED1">
      <w:pPr>
        <w:shd w:val="clear" w:color="auto" w:fill="auto"/>
        <w:wordWrap w:val="0"/>
        <w:adjustRightInd w:val="0"/>
        <w:snapToGrid w:val="0"/>
        <w:spacing w:line="440" w:lineRule="exact"/>
        <w:ind w:firstLine="570"/>
        <w:rPr>
          <w:rFonts w:hint="eastAsia" w:ascii="宋体" w:hAnsi="宋体" w:eastAsia="宋体" w:cs="宋体"/>
          <w:snapToGrid w:val="0"/>
          <w:color w:val="auto"/>
          <w:kern w:val="0"/>
          <w:highlight w:val="none"/>
          <w:u w:val="single"/>
        </w:rPr>
      </w:pPr>
      <w:r>
        <w:rPr>
          <w:rFonts w:hint="eastAsia" w:ascii="宋体" w:hAnsi="宋体" w:eastAsia="宋体" w:cs="宋体"/>
          <w:snapToGrid w:val="0"/>
          <w:color w:val="auto"/>
          <w:kern w:val="0"/>
          <w:highlight w:val="none"/>
        </w:rPr>
        <w:t xml:space="preserve">1. </w:t>
      </w:r>
      <w:r>
        <w:rPr>
          <w:rFonts w:hint="eastAsia" w:ascii="宋体" w:hAnsi="宋体" w:eastAsia="宋体" w:cs="宋体"/>
          <w:snapToGrid w:val="0"/>
          <w:color w:val="auto"/>
          <w:kern w:val="0"/>
          <w:szCs w:val="22"/>
          <w:highlight w:val="none"/>
        </w:rPr>
        <w:t>我方在</w:t>
      </w:r>
      <w:r>
        <w:rPr>
          <w:rFonts w:hint="eastAsia" w:ascii="宋体" w:hAnsi="宋体" w:eastAsia="宋体" w:cs="宋体"/>
          <w:snapToGrid w:val="0"/>
          <w:color w:val="auto"/>
          <w:kern w:val="0"/>
          <w:highlight w:val="none"/>
        </w:rPr>
        <w:t>仔细研究</w:t>
      </w:r>
      <w:r>
        <w:rPr>
          <w:rFonts w:hint="eastAsia" w:ascii="宋体" w:hAnsi="宋体" w:eastAsia="宋体" w:cs="宋体"/>
          <w:snapToGrid w:val="0"/>
          <w:color w:val="auto"/>
          <w:kern w:val="0"/>
          <w:highlight w:val="none"/>
          <w:u w:val="single"/>
        </w:rPr>
        <w:t xml:space="preserve">    （项目名称）</w:t>
      </w:r>
      <w:r>
        <w:rPr>
          <w:rFonts w:hint="eastAsia" w:ascii="宋体" w:hAnsi="宋体" w:eastAsia="宋体" w:cs="宋体"/>
          <w:snapToGrid w:val="0"/>
          <w:color w:val="auto"/>
          <w:kern w:val="0"/>
          <w:highlight w:val="none"/>
          <w:u w:val="single"/>
          <w:lang w:val="en-US" w:eastAsia="zh-CN"/>
        </w:rPr>
        <w:t xml:space="preserve">  </w:t>
      </w:r>
      <w:r>
        <w:rPr>
          <w:rFonts w:hint="eastAsia" w:ascii="宋体" w:hAnsi="宋体" w:eastAsia="宋体" w:cs="宋体"/>
          <w:snapToGrid w:val="0"/>
          <w:color w:val="auto"/>
          <w:kern w:val="0"/>
          <w:highlight w:val="none"/>
        </w:rPr>
        <w:t>（以下简称“本项目”）招标文件的全部内容后，结合自身资质、能力和特点，愿意接受招标文件的全部内容和条件。兹以人民币（大写）：</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szCs w:val="22"/>
          <w:highlight w:val="none"/>
        </w:rPr>
        <w:t>的投标总价（其中，增值税税率为</w:t>
      </w:r>
      <w:r>
        <w:rPr>
          <w:rFonts w:hint="eastAsia" w:ascii="宋体" w:hAnsi="宋体" w:eastAsia="宋体" w:cs="宋体"/>
          <w:snapToGrid w:val="0"/>
          <w:color w:val="auto"/>
          <w:kern w:val="0"/>
          <w:szCs w:val="22"/>
          <w:highlight w:val="none"/>
          <w:u w:val="single"/>
        </w:rPr>
        <w:t xml:space="preserve">    </w:t>
      </w:r>
      <w:r>
        <w:rPr>
          <w:rFonts w:hint="eastAsia" w:ascii="宋体" w:hAnsi="宋体" w:eastAsia="宋体" w:cs="宋体"/>
          <w:snapToGrid w:val="0"/>
          <w:color w:val="auto"/>
          <w:kern w:val="0"/>
          <w:szCs w:val="22"/>
          <w:highlight w:val="none"/>
        </w:rPr>
        <w:t>）</w:t>
      </w:r>
      <w:r>
        <w:rPr>
          <w:rFonts w:hint="eastAsia" w:ascii="宋体" w:hAnsi="宋体" w:eastAsia="宋体" w:cs="宋体"/>
          <w:snapToGrid w:val="0"/>
          <w:color w:val="auto"/>
          <w:kern w:val="0"/>
          <w:highlight w:val="none"/>
        </w:rPr>
        <w:t>竞投本项目</w:t>
      </w:r>
      <w:r>
        <w:rPr>
          <w:rFonts w:hint="eastAsia" w:ascii="宋体" w:hAnsi="宋体" w:eastAsia="宋体" w:cs="宋体"/>
          <w:snapToGrid w:val="0"/>
          <w:color w:val="auto"/>
          <w:kern w:val="0"/>
          <w:highlight w:val="none"/>
          <w:u w:val="single"/>
        </w:rPr>
        <w:t xml:space="preserve">  监理及相关服务 </w:t>
      </w:r>
      <w:r>
        <w:rPr>
          <w:rFonts w:hint="eastAsia" w:ascii="宋体" w:hAnsi="宋体" w:eastAsia="宋体" w:cs="宋体"/>
          <w:snapToGrid w:val="0"/>
          <w:color w:val="auto"/>
          <w:kern w:val="0"/>
          <w:highlight w:val="none"/>
        </w:rPr>
        <w:t>，投标取费费率为</w:t>
      </w:r>
      <w:r>
        <w:rPr>
          <w:rFonts w:hint="eastAsia" w:ascii="宋体" w:hAnsi="宋体" w:eastAsia="宋体" w:cs="宋体"/>
          <w:snapToGrid w:val="0"/>
          <w:color w:val="auto"/>
          <w:kern w:val="0"/>
          <w:highlight w:val="none"/>
          <w:u w:val="single"/>
        </w:rPr>
        <w:t xml:space="preserve">     % </w:t>
      </w:r>
      <w:r>
        <w:rPr>
          <w:rFonts w:hint="eastAsia" w:ascii="宋体" w:hAnsi="宋体" w:eastAsia="宋体" w:cs="宋体"/>
          <w:snapToGrid w:val="0"/>
          <w:color w:val="auto"/>
          <w:kern w:val="0"/>
          <w:highlight w:val="none"/>
        </w:rPr>
        <w:t>。</w:t>
      </w:r>
    </w:p>
    <w:p w14:paraId="568C5AD0">
      <w:pPr>
        <w:shd w:val="clear" w:color="auto" w:fill="auto"/>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 如果我方中标，我方保证按照委托人发出的开始监理通知中写明的日期开始本项目的</w:t>
      </w:r>
      <w:r>
        <w:rPr>
          <w:rFonts w:hint="eastAsia" w:ascii="宋体" w:hAnsi="宋体" w:eastAsia="宋体" w:cs="宋体"/>
          <w:snapToGrid w:val="0"/>
          <w:color w:val="auto"/>
          <w:kern w:val="0"/>
          <w:highlight w:val="none"/>
          <w:u w:val="single"/>
          <w:lang w:val="en-US" w:eastAsia="zh-CN"/>
        </w:rPr>
        <w:t xml:space="preserve"> </w:t>
      </w:r>
      <w:r>
        <w:rPr>
          <w:rFonts w:hint="eastAsia" w:ascii="宋体" w:hAnsi="宋体" w:eastAsia="宋体" w:cs="宋体"/>
          <w:snapToGrid w:val="0"/>
          <w:color w:val="auto"/>
          <w:kern w:val="0"/>
          <w:highlight w:val="none"/>
          <w:u w:val="single"/>
        </w:rPr>
        <w:t xml:space="preserve">监理及相关服务 </w:t>
      </w:r>
      <w:r>
        <w:rPr>
          <w:rFonts w:hint="eastAsia" w:ascii="宋体" w:hAnsi="宋体" w:eastAsia="宋体" w:cs="宋体"/>
          <w:snapToGrid w:val="0"/>
          <w:color w:val="auto"/>
          <w:kern w:val="0"/>
          <w:highlight w:val="none"/>
        </w:rPr>
        <w:t>，并在合同约定的服务期限内完成合同规定的全部义务。</w:t>
      </w:r>
    </w:p>
    <w:p w14:paraId="7835C105">
      <w:pPr>
        <w:shd w:val="clear" w:color="auto" w:fill="auto"/>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 本投标函在你方接收我方递交的投标文件之日起、到招标文件规定的投标有效期期满前对我方具有约束力。我方随时准备接受你方发出的中标通知书。</w:t>
      </w:r>
    </w:p>
    <w:p w14:paraId="360D5F11">
      <w:pPr>
        <w:shd w:val="clear" w:color="auto" w:fill="auto"/>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4．我方在此声明，我方不存在本项目招标文件第一章第三节第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条“禁止投标条款”所列出的任何一种情形，并愿意承担因我方就此弄虚作假所引起的一切法律后果。</w:t>
      </w:r>
    </w:p>
    <w:p w14:paraId="4CEBD754">
      <w:pPr>
        <w:shd w:val="clear" w:color="auto" w:fill="auto"/>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5E819EE2">
      <w:pPr>
        <w:shd w:val="clear" w:color="auto" w:fill="auto"/>
        <w:wordWrap w:val="0"/>
        <w:adjustRightInd w:val="0"/>
        <w:snapToGrid w:val="0"/>
        <w:spacing w:line="440" w:lineRule="exact"/>
        <w:ind w:firstLine="570"/>
        <w:rPr>
          <w:rFonts w:hint="eastAsia" w:ascii="宋体" w:hAnsi="宋体" w:eastAsia="宋体" w:cs="宋体"/>
          <w:snapToGrid w:val="0"/>
          <w:color w:val="auto"/>
          <w:kern w:val="0"/>
          <w:highlight w:val="none"/>
        </w:rPr>
      </w:pPr>
      <w:bookmarkStart w:id="443" w:name="_Hlt68771070"/>
      <w:bookmarkEnd w:id="443"/>
      <w:r>
        <w:rPr>
          <w:rFonts w:hint="eastAsia" w:ascii="宋体" w:hAnsi="宋体" w:eastAsia="宋体" w:cs="宋体"/>
          <w:snapToGrid w:val="0"/>
          <w:color w:val="auto"/>
          <w:kern w:val="0"/>
          <w:highlight w:val="none"/>
        </w:rPr>
        <w:t>6. 我方理解你方不一定要接纳收到的最低投标总价或任何投标总价的投标人中标，也不要求你方解释我方是否中标的原因。</w:t>
      </w:r>
    </w:p>
    <w:p w14:paraId="21BCE7B8">
      <w:pPr>
        <w:shd w:val="clear" w:color="auto" w:fill="auto"/>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p>
    <w:p w14:paraId="53908877">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p>
    <w:p w14:paraId="71BAE9A8">
      <w:pPr>
        <w:shd w:val="clear" w:color="auto" w:fill="auto"/>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投标人：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（盖单位章）</w:t>
      </w:r>
    </w:p>
    <w:p w14:paraId="6B68F407">
      <w:pPr>
        <w:shd w:val="clear" w:color="auto" w:fill="auto"/>
        <w:wordWrap w:val="0"/>
        <w:adjustRightInd w:val="0"/>
        <w:snapToGrid w:val="0"/>
        <w:spacing w:line="440" w:lineRule="exact"/>
        <w:jc w:val="right"/>
        <w:rPr>
          <w:rFonts w:hint="eastAsia" w:ascii="宋体" w:hAnsi="宋体" w:eastAsia="宋体" w:cs="宋体"/>
          <w:snapToGrid w:val="0"/>
          <w:color w:val="auto"/>
          <w:kern w:val="0"/>
          <w:highlight w:val="none"/>
        </w:rPr>
      </w:pPr>
    </w:p>
    <w:p w14:paraId="262172E0">
      <w:pPr>
        <w:shd w:val="clear" w:color="auto" w:fill="auto"/>
        <w:wordWrap w:val="0"/>
        <w:adjustRightInd w:val="0"/>
        <w:snapToGrid w:val="0"/>
        <w:spacing w:line="440" w:lineRule="exact"/>
        <w:jc w:val="right"/>
        <w:rPr>
          <w:rFonts w:hint="eastAsia" w:ascii="宋体" w:hAnsi="宋体" w:eastAsia="宋体" w:cs="宋体"/>
          <w:snapToGrid w:val="0"/>
          <w:color w:val="auto"/>
          <w:kern w:val="0"/>
          <w:highlight w:val="none"/>
        </w:rPr>
      </w:pPr>
    </w:p>
    <w:p w14:paraId="53411201">
      <w:pPr>
        <w:shd w:val="clear" w:color="auto" w:fill="auto"/>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法定代表人或其委托代理人：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（签字或盖章）</w:t>
      </w:r>
    </w:p>
    <w:p w14:paraId="0D7F2646">
      <w:pPr>
        <w:shd w:val="clear" w:color="auto" w:fill="auto"/>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p>
    <w:p w14:paraId="3E5EB036">
      <w:pPr>
        <w:shd w:val="clear" w:color="auto" w:fill="auto"/>
        <w:wordWrap w:val="0"/>
        <w:adjustRightInd w:val="0"/>
        <w:snapToGrid w:val="0"/>
        <w:spacing w:line="440" w:lineRule="exact"/>
        <w:jc w:val="left"/>
        <w:rPr>
          <w:rFonts w:hint="eastAsia" w:ascii="宋体" w:hAnsi="宋体" w:eastAsia="宋体" w:cs="宋体"/>
          <w:snapToGrid w:val="0"/>
          <w:color w:val="auto"/>
          <w:kern w:val="0"/>
          <w:highlight w:val="none"/>
        </w:rPr>
        <w:sectPr>
          <w:endnotePr>
            <w:numFmt w:val="decimal"/>
          </w:endnotePr>
          <w:pgSz w:w="11906" w:h="16838"/>
          <w:pgMar w:top="1701" w:right="1531" w:bottom="1417" w:left="1531" w:header="850" w:footer="992" w:gutter="0"/>
          <w:cols w:space="720" w:num="1"/>
          <w:rtlGutter w:val="0"/>
          <w:docGrid w:linePitch="327" w:charSpace="0"/>
        </w:sect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73687B19">
      <w:pPr>
        <w:pStyle w:val="57"/>
        <w:widowControl w:val="0"/>
        <w:shd w:val="clear" w:color="auto" w:fill="auto"/>
        <w:wordWrap w:val="0"/>
        <w:adjustRightInd w:val="0"/>
        <w:snapToGrid w:val="0"/>
        <w:spacing w:line="400" w:lineRule="exact"/>
        <w:ind w:firstLine="0"/>
        <w:outlineLvl w:val="2"/>
        <w:rPr>
          <w:rFonts w:hint="eastAsia" w:ascii="宋体" w:hAnsi="宋体" w:eastAsia="宋体" w:cs="宋体"/>
          <w:b/>
          <w:snapToGrid w:val="0"/>
          <w:color w:val="auto"/>
          <w:sz w:val="24"/>
          <w:highlight w:val="none"/>
        </w:rPr>
      </w:pPr>
      <w:bookmarkStart w:id="444" w:name="_Toc23192"/>
      <w:bookmarkStart w:id="445" w:name="_Toc14232"/>
      <w:bookmarkStart w:id="446" w:name="_Toc29984"/>
      <w:bookmarkStart w:id="447" w:name="_Toc13056"/>
      <w:bookmarkStart w:id="448" w:name="_Toc14623"/>
      <w:bookmarkStart w:id="449" w:name="_Toc14902"/>
      <w:bookmarkStart w:id="450" w:name="_Toc16434"/>
      <w:bookmarkStart w:id="451" w:name="_Toc14883"/>
      <w:bookmarkStart w:id="452" w:name="_Toc24246"/>
      <w:bookmarkStart w:id="453" w:name="_Toc10603"/>
      <w:r>
        <w:rPr>
          <w:rFonts w:hint="eastAsia" w:ascii="宋体" w:hAnsi="宋体" w:eastAsia="宋体" w:cs="宋体"/>
          <w:b/>
          <w:snapToGrid w:val="0"/>
          <w:color w:val="auto"/>
          <w:sz w:val="24"/>
          <w:highlight w:val="none"/>
        </w:rPr>
        <w:t>格式三 各项承诺一览表</w:t>
      </w:r>
      <w:bookmarkEnd w:id="444"/>
      <w:bookmarkEnd w:id="445"/>
      <w:bookmarkEnd w:id="446"/>
      <w:bookmarkEnd w:id="447"/>
      <w:bookmarkEnd w:id="448"/>
      <w:bookmarkEnd w:id="449"/>
      <w:bookmarkEnd w:id="450"/>
      <w:bookmarkEnd w:id="451"/>
      <w:bookmarkEnd w:id="452"/>
      <w:bookmarkEnd w:id="453"/>
    </w:p>
    <w:p w14:paraId="7DF98A28">
      <w:pPr>
        <w:pStyle w:val="56"/>
        <w:keepNext w:val="0"/>
        <w:keepLines w:val="0"/>
        <w:widowControl w:val="0"/>
        <w:shd w:val="clear" w:color="auto" w:fill="auto"/>
        <w:wordWrap w:val="0"/>
        <w:adjustRightInd w:val="0"/>
        <w:snapToGrid w:val="0"/>
        <w:spacing w:before="260" w:after="260" w:line="440" w:lineRule="exact"/>
        <w:ind w:firstLine="0"/>
        <w:outlineLvl w:val="9"/>
        <w:rPr>
          <w:rFonts w:hint="eastAsia" w:ascii="宋体" w:hAnsi="宋体" w:eastAsia="宋体" w:cs="宋体"/>
          <w:b/>
          <w:snapToGrid w:val="0"/>
          <w:color w:val="auto"/>
          <w:sz w:val="30"/>
          <w:highlight w:val="none"/>
        </w:rPr>
      </w:pPr>
      <w:bookmarkStart w:id="454" w:name="_Toc26510"/>
      <w:bookmarkStart w:id="455" w:name="_Toc10086"/>
      <w:bookmarkStart w:id="456" w:name="_Toc29590"/>
      <w:bookmarkStart w:id="457" w:name="_Toc5037"/>
      <w:bookmarkStart w:id="458" w:name="_Toc17252"/>
      <w:bookmarkStart w:id="459" w:name="_Toc1307"/>
      <w:bookmarkStart w:id="460" w:name="_Toc5107"/>
      <w:bookmarkStart w:id="461" w:name="_Toc14771"/>
      <w:bookmarkStart w:id="462" w:name="_Toc18353"/>
    </w:p>
    <w:p w14:paraId="1F86F365">
      <w:pPr>
        <w:pStyle w:val="56"/>
        <w:keepNext w:val="0"/>
        <w:keepLines w:val="0"/>
        <w:widowControl w:val="0"/>
        <w:shd w:val="clear" w:color="auto" w:fill="auto"/>
        <w:wordWrap w:val="0"/>
        <w:adjustRightInd w:val="0"/>
        <w:snapToGrid w:val="0"/>
        <w:spacing w:before="260" w:after="260" w:line="440" w:lineRule="exact"/>
        <w:ind w:firstLine="0"/>
        <w:outlineLvl w:val="9"/>
        <w:rPr>
          <w:rFonts w:hint="eastAsia" w:ascii="宋体" w:hAnsi="宋体" w:eastAsia="宋体" w:cs="宋体"/>
          <w:b/>
          <w:snapToGrid w:val="0"/>
          <w:color w:val="auto"/>
          <w:highlight w:val="none"/>
        </w:rPr>
      </w:pPr>
      <w:bookmarkStart w:id="463" w:name="_Toc32020"/>
      <w:bookmarkStart w:id="464" w:name="_Toc19357"/>
      <w:bookmarkStart w:id="465" w:name="_Toc23861"/>
      <w:r>
        <w:rPr>
          <w:rFonts w:hint="eastAsia" w:ascii="宋体" w:hAnsi="宋体" w:eastAsia="宋体" w:cs="宋体"/>
          <w:b/>
          <w:snapToGrid w:val="0"/>
          <w:color w:val="auto"/>
          <w:sz w:val="30"/>
          <w:highlight w:val="none"/>
        </w:rPr>
        <w:t>各项承诺一览表</w:t>
      </w:r>
      <w:bookmarkEnd w:id="454"/>
      <w:bookmarkEnd w:id="455"/>
      <w:bookmarkEnd w:id="456"/>
      <w:bookmarkEnd w:id="457"/>
      <w:bookmarkEnd w:id="458"/>
      <w:bookmarkEnd w:id="459"/>
      <w:bookmarkEnd w:id="460"/>
      <w:bookmarkEnd w:id="461"/>
      <w:bookmarkEnd w:id="462"/>
      <w:bookmarkEnd w:id="463"/>
      <w:bookmarkEnd w:id="464"/>
      <w:bookmarkEnd w:id="465"/>
    </w:p>
    <w:tbl>
      <w:tblPr>
        <w:tblStyle w:val="31"/>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815"/>
        <w:gridCol w:w="4127"/>
      </w:tblGrid>
      <w:tr w14:paraId="7DE2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vAlign w:val="center"/>
          </w:tcPr>
          <w:p w14:paraId="4F7FEC45">
            <w:pPr>
              <w:pStyle w:val="53"/>
              <w:shd w:val="clear" w:color="auto" w:fill="auto"/>
              <w:wordWrap w:val="0"/>
              <w:adjustRightInd w:val="0"/>
              <w:snapToGrid w:val="0"/>
              <w:spacing w:line="380" w:lineRule="exact"/>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序号</w:t>
            </w:r>
          </w:p>
        </w:tc>
        <w:tc>
          <w:tcPr>
            <w:tcW w:w="1573" w:type="dxa"/>
            <w:vAlign w:val="center"/>
          </w:tcPr>
          <w:p w14:paraId="4B2827E4">
            <w:pPr>
              <w:pStyle w:val="53"/>
              <w:shd w:val="clear" w:color="auto" w:fill="auto"/>
              <w:wordWrap w:val="0"/>
              <w:adjustRightInd w:val="0"/>
              <w:snapToGrid w:val="0"/>
              <w:spacing w:line="380" w:lineRule="exact"/>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承诺事项</w:t>
            </w:r>
          </w:p>
        </w:tc>
        <w:tc>
          <w:tcPr>
            <w:tcW w:w="2815" w:type="dxa"/>
            <w:vAlign w:val="center"/>
          </w:tcPr>
          <w:p w14:paraId="2D330F84">
            <w:pPr>
              <w:pStyle w:val="53"/>
              <w:shd w:val="clear" w:color="auto" w:fill="auto"/>
              <w:wordWrap w:val="0"/>
              <w:adjustRightInd w:val="0"/>
              <w:snapToGrid w:val="0"/>
              <w:spacing w:line="380" w:lineRule="exact"/>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承诺内容</w:t>
            </w:r>
          </w:p>
        </w:tc>
        <w:tc>
          <w:tcPr>
            <w:tcW w:w="4127" w:type="dxa"/>
            <w:vAlign w:val="center"/>
          </w:tcPr>
          <w:p w14:paraId="2883E953">
            <w:pPr>
              <w:pStyle w:val="53"/>
              <w:shd w:val="clear" w:color="auto" w:fill="auto"/>
              <w:wordWrap w:val="0"/>
              <w:adjustRightInd w:val="0"/>
              <w:snapToGrid w:val="0"/>
              <w:spacing w:line="380" w:lineRule="exact"/>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违约承诺</w:t>
            </w:r>
          </w:p>
        </w:tc>
      </w:tr>
      <w:tr w14:paraId="4C9C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atLeast"/>
          <w:jc w:val="center"/>
        </w:trPr>
        <w:tc>
          <w:tcPr>
            <w:tcW w:w="716" w:type="dxa"/>
            <w:vAlign w:val="center"/>
          </w:tcPr>
          <w:p w14:paraId="7E9B5AEE">
            <w:pPr>
              <w:pStyle w:val="53"/>
              <w:shd w:val="clear" w:color="auto" w:fill="auto"/>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73" w:type="dxa"/>
            <w:vAlign w:val="center"/>
          </w:tcPr>
          <w:p w14:paraId="583AC254">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自愿接受招标</w:t>
            </w:r>
          </w:p>
          <w:p w14:paraId="5B200FA1">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文件条款的承诺</w:t>
            </w:r>
          </w:p>
        </w:tc>
        <w:tc>
          <w:tcPr>
            <w:tcW w:w="2815" w:type="dxa"/>
            <w:vAlign w:val="center"/>
          </w:tcPr>
          <w:p w14:paraId="18A1F1FA">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我方自愿接受招标文件的所有条款，所递交的投标文件已经充分响应招标文件的实质性要求。</w:t>
            </w:r>
          </w:p>
        </w:tc>
        <w:tc>
          <w:tcPr>
            <w:tcW w:w="4127" w:type="dxa"/>
            <w:vAlign w:val="center"/>
          </w:tcPr>
          <w:p w14:paraId="0D94D7DF">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5353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5" w:hRule="atLeast"/>
          <w:jc w:val="center"/>
        </w:trPr>
        <w:tc>
          <w:tcPr>
            <w:tcW w:w="716" w:type="dxa"/>
            <w:vAlign w:val="center"/>
          </w:tcPr>
          <w:p w14:paraId="2594C7D1">
            <w:pPr>
              <w:pStyle w:val="53"/>
              <w:shd w:val="clear" w:color="auto" w:fill="auto"/>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73" w:type="dxa"/>
            <w:vAlign w:val="center"/>
          </w:tcPr>
          <w:p w14:paraId="1B6C6BBC">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778C0752">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情形的承诺</w:t>
            </w:r>
          </w:p>
        </w:tc>
        <w:tc>
          <w:tcPr>
            <w:tcW w:w="2815" w:type="dxa"/>
            <w:vAlign w:val="center"/>
          </w:tcPr>
          <w:p w14:paraId="55A7BC45">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4127" w:type="dxa"/>
            <w:vAlign w:val="center"/>
          </w:tcPr>
          <w:p w14:paraId="45D59850">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0CA8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0" w:hRule="atLeast"/>
          <w:jc w:val="center"/>
        </w:trPr>
        <w:tc>
          <w:tcPr>
            <w:tcW w:w="716" w:type="dxa"/>
            <w:vAlign w:val="center"/>
          </w:tcPr>
          <w:p w14:paraId="3069A274">
            <w:pPr>
              <w:pStyle w:val="53"/>
              <w:shd w:val="clear" w:color="auto" w:fill="auto"/>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573" w:type="dxa"/>
            <w:vAlign w:val="center"/>
          </w:tcPr>
          <w:p w14:paraId="698CD383">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w:t>
            </w:r>
          </w:p>
          <w:p w14:paraId="792B68BF">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串标和弄虚</w:t>
            </w:r>
          </w:p>
          <w:p w14:paraId="79F311E1">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作假行为的承诺</w:t>
            </w:r>
          </w:p>
        </w:tc>
        <w:tc>
          <w:tcPr>
            <w:tcW w:w="2815" w:type="dxa"/>
            <w:vAlign w:val="center"/>
          </w:tcPr>
          <w:p w14:paraId="0FDE17C4">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4127" w:type="dxa"/>
            <w:vAlign w:val="center"/>
          </w:tcPr>
          <w:p w14:paraId="7560D208">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7042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0" w:hRule="atLeast"/>
          <w:jc w:val="center"/>
        </w:trPr>
        <w:tc>
          <w:tcPr>
            <w:tcW w:w="716" w:type="dxa"/>
            <w:vAlign w:val="center"/>
          </w:tcPr>
          <w:p w14:paraId="656DDB1E">
            <w:pPr>
              <w:pStyle w:val="53"/>
              <w:shd w:val="clear" w:color="auto" w:fill="auto"/>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1573" w:type="dxa"/>
            <w:vAlign w:val="center"/>
          </w:tcPr>
          <w:p w14:paraId="481F63EA">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总监理工程师</w:t>
            </w:r>
          </w:p>
          <w:p w14:paraId="1E6ED544">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任职承诺</w:t>
            </w:r>
          </w:p>
        </w:tc>
        <w:tc>
          <w:tcPr>
            <w:tcW w:w="2815" w:type="dxa"/>
            <w:vAlign w:val="center"/>
          </w:tcPr>
          <w:p w14:paraId="2B49828C">
            <w:pPr>
              <w:pStyle w:val="52"/>
              <w:shd w:val="clear" w:color="auto" w:fill="auto"/>
              <w:wordWrap w:val="0"/>
              <w:adjustRightInd w:val="0"/>
              <w:snapToGrid w:val="0"/>
              <w:spacing w:line="380" w:lineRule="exact"/>
              <w:ind w:firstLine="0" w:firstLineChars="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我方拟委派的总监理工程师现阶段未担任总监理工程师的在施（包括已中标未开工、已开工未竣工）建设工程项目不超过2个，经任职项目的建设单位同意，参加本项目投标。</w:t>
            </w:r>
          </w:p>
        </w:tc>
        <w:tc>
          <w:tcPr>
            <w:tcW w:w="4127" w:type="dxa"/>
            <w:vAlign w:val="center"/>
          </w:tcPr>
          <w:p w14:paraId="5B3AB093">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拟委派的总监理工程师在本工程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0127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716" w:type="dxa"/>
            <w:vAlign w:val="center"/>
          </w:tcPr>
          <w:p w14:paraId="78C37C6A">
            <w:pPr>
              <w:pStyle w:val="53"/>
              <w:shd w:val="clear" w:color="auto" w:fill="auto"/>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1573" w:type="dxa"/>
            <w:vAlign w:val="center"/>
          </w:tcPr>
          <w:p w14:paraId="3E5EBEB8">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4D24D8BC">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真实性承诺</w:t>
            </w:r>
          </w:p>
        </w:tc>
        <w:tc>
          <w:tcPr>
            <w:tcW w:w="2815" w:type="dxa"/>
            <w:vAlign w:val="center"/>
          </w:tcPr>
          <w:p w14:paraId="61FA7DDB">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我方所递交投标文件的全部内容均为真实、有效、准确的。</w:t>
            </w:r>
          </w:p>
        </w:tc>
        <w:tc>
          <w:tcPr>
            <w:tcW w:w="4127" w:type="dxa"/>
            <w:vAlign w:val="center"/>
          </w:tcPr>
          <w:p w14:paraId="556D8D79">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1736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vAlign w:val="center"/>
          </w:tcPr>
          <w:p w14:paraId="00031B1C">
            <w:pPr>
              <w:pStyle w:val="53"/>
              <w:shd w:val="clear" w:color="auto" w:fill="auto"/>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1573" w:type="dxa"/>
            <w:vAlign w:val="center"/>
          </w:tcPr>
          <w:p w14:paraId="26478552">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1FE372B7">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信息公开承诺</w:t>
            </w:r>
          </w:p>
        </w:tc>
        <w:tc>
          <w:tcPr>
            <w:tcW w:w="2815" w:type="dxa"/>
            <w:vAlign w:val="center"/>
          </w:tcPr>
          <w:p w14:paraId="121651B7">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我方提供完整的电子文件。如果我方成为本工程中标候选人，我方同意并授权招标人在评标结果公示期内公开我方商务标书的全部内容。</w:t>
            </w:r>
          </w:p>
        </w:tc>
        <w:tc>
          <w:tcPr>
            <w:tcW w:w="4127" w:type="dxa"/>
            <w:vAlign w:val="center"/>
          </w:tcPr>
          <w:p w14:paraId="75E5F02E">
            <w:pPr>
              <w:pStyle w:val="52"/>
              <w:shd w:val="clear" w:color="auto" w:fill="auto"/>
              <w:wordWrap w:val="0"/>
              <w:adjustRightInd w:val="0"/>
              <w:snapToGrid w:val="0"/>
              <w:spacing w:line="380" w:lineRule="exact"/>
              <w:ind w:firstLine="0" w:firstLineChars="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如果我方提供的电子文件不完整，我方接受招标人依据招标文件作出的相应处理。</w:t>
            </w:r>
          </w:p>
        </w:tc>
      </w:tr>
      <w:tr w14:paraId="2DD3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vAlign w:val="center"/>
          </w:tcPr>
          <w:p w14:paraId="303EF240">
            <w:pPr>
              <w:pStyle w:val="53"/>
              <w:shd w:val="clear" w:color="auto" w:fill="auto"/>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w:t>
            </w:r>
          </w:p>
        </w:tc>
        <w:tc>
          <w:tcPr>
            <w:tcW w:w="1573" w:type="dxa"/>
            <w:vAlign w:val="center"/>
          </w:tcPr>
          <w:p w14:paraId="055ADC41">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按时提交履约</w:t>
            </w:r>
          </w:p>
          <w:p w14:paraId="0A010432">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保证的承诺</w:t>
            </w:r>
          </w:p>
        </w:tc>
        <w:tc>
          <w:tcPr>
            <w:tcW w:w="2815" w:type="dxa"/>
            <w:vAlign w:val="center"/>
          </w:tcPr>
          <w:p w14:paraId="77A0D0AE">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如果我方中标，我方保证在招标文件规定的时限内全额提交履约保证。</w:t>
            </w:r>
          </w:p>
        </w:tc>
        <w:tc>
          <w:tcPr>
            <w:tcW w:w="4127" w:type="dxa"/>
            <w:vAlign w:val="center"/>
          </w:tcPr>
          <w:p w14:paraId="394765AB">
            <w:pPr>
              <w:pStyle w:val="52"/>
              <w:shd w:val="clear" w:color="auto" w:fill="auto"/>
              <w:wordWrap w:val="0"/>
              <w:adjustRightInd w:val="0"/>
              <w:snapToGrid w:val="0"/>
              <w:spacing w:line="380" w:lineRule="exact"/>
              <w:ind w:firstLine="0" w:firstLineChars="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2C83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vAlign w:val="center"/>
          </w:tcPr>
          <w:p w14:paraId="08FEE6C4">
            <w:pPr>
              <w:pStyle w:val="53"/>
              <w:shd w:val="clear" w:color="auto" w:fill="auto"/>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w:t>
            </w:r>
          </w:p>
        </w:tc>
        <w:tc>
          <w:tcPr>
            <w:tcW w:w="1573" w:type="dxa"/>
            <w:vAlign w:val="center"/>
          </w:tcPr>
          <w:p w14:paraId="630E8D1C">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按时签订合同</w:t>
            </w:r>
          </w:p>
          <w:p w14:paraId="51DBF0D5">
            <w:pPr>
              <w:pStyle w:val="52"/>
              <w:shd w:val="clear" w:color="auto" w:fill="auto"/>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的承诺</w:t>
            </w:r>
          </w:p>
        </w:tc>
        <w:tc>
          <w:tcPr>
            <w:tcW w:w="2815" w:type="dxa"/>
            <w:vAlign w:val="center"/>
          </w:tcPr>
          <w:p w14:paraId="1AB78CA9">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127" w:type="dxa"/>
            <w:vAlign w:val="center"/>
          </w:tcPr>
          <w:p w14:paraId="1B328BAA">
            <w:pPr>
              <w:pStyle w:val="52"/>
              <w:shd w:val="clear" w:color="auto" w:fill="auto"/>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47D4B74F">
      <w:pPr>
        <w:pStyle w:val="53"/>
        <w:shd w:val="clear" w:color="auto" w:fill="auto"/>
        <w:wordWrap w:val="0"/>
        <w:adjustRightInd w:val="0"/>
        <w:snapToGrid w:val="0"/>
        <w:spacing w:line="420" w:lineRule="exact"/>
        <w:jc w:val="left"/>
        <w:rPr>
          <w:rFonts w:hint="eastAsia" w:ascii="宋体" w:hAnsi="宋体" w:eastAsia="宋体" w:cs="宋体"/>
          <w:snapToGrid w:val="0"/>
          <w:color w:val="auto"/>
          <w:kern w:val="0"/>
          <w:highlight w:val="none"/>
        </w:rPr>
      </w:pPr>
    </w:p>
    <w:p w14:paraId="3FB8EE00">
      <w:pPr>
        <w:pStyle w:val="53"/>
        <w:shd w:val="clear" w:color="auto" w:fill="auto"/>
        <w:wordWrap w:val="0"/>
        <w:adjustRightInd w:val="0"/>
        <w:snapToGrid w:val="0"/>
        <w:spacing w:line="420" w:lineRule="exact"/>
        <w:jc w:val="left"/>
        <w:rPr>
          <w:rFonts w:hint="eastAsia" w:ascii="宋体" w:hAnsi="宋体" w:eastAsia="宋体" w:cs="宋体"/>
          <w:snapToGrid w:val="0"/>
          <w:color w:val="auto"/>
          <w:kern w:val="0"/>
          <w:highlight w:val="none"/>
        </w:rPr>
      </w:pPr>
    </w:p>
    <w:p w14:paraId="17852E38">
      <w:pPr>
        <w:pStyle w:val="22"/>
        <w:shd w:val="clear" w:color="auto" w:fill="auto"/>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（盖单位章）</w:t>
      </w:r>
    </w:p>
    <w:p w14:paraId="4DEE85E6">
      <w:pPr>
        <w:pStyle w:val="22"/>
        <w:shd w:val="clear" w:color="auto" w:fill="auto"/>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212F2EA0">
      <w:pPr>
        <w:pStyle w:val="22"/>
        <w:shd w:val="clear" w:color="auto" w:fill="auto"/>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0FBBEC3E">
      <w:pPr>
        <w:pStyle w:val="22"/>
        <w:shd w:val="clear" w:color="auto" w:fill="auto"/>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法定代表人或其委托代理人：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（签字或盖章）</w:t>
      </w:r>
    </w:p>
    <w:p w14:paraId="3146565D">
      <w:pPr>
        <w:pStyle w:val="22"/>
        <w:shd w:val="clear" w:color="auto" w:fill="auto"/>
        <w:wordWrap w:val="0"/>
        <w:adjustRightInd w:val="0"/>
        <w:snapToGrid w:val="0"/>
        <w:spacing w:line="420" w:lineRule="exact"/>
        <w:ind w:firstLine="480" w:firstLineChars="200"/>
        <w:rPr>
          <w:rFonts w:hint="eastAsia" w:ascii="宋体" w:hAnsi="宋体" w:eastAsia="宋体" w:cs="宋体"/>
          <w:snapToGrid w:val="0"/>
          <w:color w:val="auto"/>
          <w:kern w:val="0"/>
          <w:szCs w:val="24"/>
          <w:highlight w:val="none"/>
        </w:rPr>
      </w:pPr>
    </w:p>
    <w:p w14:paraId="66C48437">
      <w:pPr>
        <w:pStyle w:val="22"/>
        <w:shd w:val="clear" w:color="auto" w:fill="auto"/>
        <w:wordWrap w:val="0"/>
        <w:adjustRightInd w:val="0"/>
        <w:snapToGrid w:val="0"/>
        <w:spacing w:line="420" w:lineRule="exact"/>
        <w:ind w:firstLine="480" w:firstLineChars="200"/>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月</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日</w:t>
      </w:r>
    </w:p>
    <w:p w14:paraId="6F8FF3EA">
      <w:pPr>
        <w:shd w:val="clear" w:color="auto" w:fill="auto"/>
        <w:wordWrap w:val="0"/>
        <w:adjustRightInd w:val="0"/>
        <w:snapToGrid w:val="0"/>
        <w:spacing w:line="420" w:lineRule="exact"/>
        <w:jc w:val="left"/>
        <w:rPr>
          <w:rFonts w:hint="eastAsia" w:ascii="宋体" w:hAnsi="宋体" w:eastAsia="宋体" w:cs="宋体"/>
          <w:b/>
          <w:snapToGrid w:val="0"/>
          <w:color w:val="auto"/>
          <w:kern w:val="0"/>
          <w:highlight w:val="none"/>
        </w:rPr>
        <w:sectPr>
          <w:endnotePr>
            <w:numFmt w:val="decimal"/>
          </w:endnotePr>
          <w:pgSz w:w="11906" w:h="16838"/>
          <w:pgMar w:top="1701" w:right="1531" w:bottom="1417" w:left="1531" w:header="850" w:footer="992" w:gutter="0"/>
          <w:cols w:space="720" w:num="1"/>
          <w:rtlGutter w:val="0"/>
          <w:docGrid w:linePitch="327" w:charSpace="0"/>
        </w:sectPr>
      </w:pPr>
    </w:p>
    <w:p w14:paraId="70FD5DA1">
      <w:pPr>
        <w:shd w:val="clear" w:color="auto" w:fill="auto"/>
        <w:wordWrap w:val="0"/>
        <w:adjustRightInd w:val="0"/>
        <w:snapToGrid w:val="0"/>
        <w:spacing w:line="440" w:lineRule="exact"/>
        <w:outlineLvl w:val="2"/>
        <w:rPr>
          <w:rFonts w:hint="eastAsia" w:ascii="宋体" w:hAnsi="宋体" w:eastAsia="宋体" w:cs="宋体"/>
          <w:b/>
          <w:bCs/>
          <w:snapToGrid w:val="0"/>
          <w:color w:val="auto"/>
          <w:kern w:val="0"/>
          <w:szCs w:val="24"/>
          <w:highlight w:val="none"/>
        </w:rPr>
      </w:pPr>
      <w:bookmarkStart w:id="466" w:name="_Toc5737"/>
      <w:bookmarkStart w:id="467" w:name="_Toc19386"/>
      <w:bookmarkStart w:id="468" w:name="_Toc22067"/>
      <w:bookmarkStart w:id="469" w:name="_Toc27498"/>
      <w:bookmarkStart w:id="470" w:name="_Toc25795"/>
      <w:bookmarkStart w:id="471" w:name="_Toc5400"/>
      <w:bookmarkStart w:id="472" w:name="_Toc20101"/>
      <w:bookmarkStart w:id="473" w:name="_Toc1983"/>
      <w:bookmarkStart w:id="474" w:name="_Toc26511"/>
      <w:bookmarkStart w:id="475" w:name="_Toc25885"/>
      <w:r>
        <w:rPr>
          <w:rFonts w:hint="eastAsia" w:ascii="宋体" w:hAnsi="宋体" w:eastAsia="宋体" w:cs="宋体"/>
          <w:b/>
          <w:bCs/>
          <w:snapToGrid w:val="0"/>
          <w:color w:val="auto"/>
          <w:kern w:val="0"/>
          <w:szCs w:val="24"/>
          <w:highlight w:val="none"/>
        </w:rPr>
        <w:t>格式四 法定代表人授权委托书</w:t>
      </w:r>
      <w:bookmarkEnd w:id="466"/>
      <w:bookmarkEnd w:id="467"/>
      <w:bookmarkEnd w:id="468"/>
      <w:bookmarkEnd w:id="469"/>
      <w:bookmarkEnd w:id="470"/>
      <w:bookmarkEnd w:id="471"/>
      <w:bookmarkEnd w:id="472"/>
      <w:bookmarkEnd w:id="473"/>
      <w:bookmarkEnd w:id="474"/>
      <w:bookmarkEnd w:id="475"/>
    </w:p>
    <w:p w14:paraId="5987DB6C">
      <w:pPr>
        <w:shd w:val="clear" w:color="auto" w:fill="auto"/>
        <w:wordWrap w:val="0"/>
        <w:adjustRightInd w:val="0"/>
        <w:snapToGrid w:val="0"/>
        <w:spacing w:line="440" w:lineRule="exact"/>
        <w:rPr>
          <w:rFonts w:hint="eastAsia" w:ascii="宋体" w:hAnsi="宋体" w:eastAsia="宋体" w:cs="宋体"/>
          <w:b/>
          <w:bCs/>
          <w:snapToGrid w:val="0"/>
          <w:color w:val="auto"/>
          <w:kern w:val="0"/>
          <w:szCs w:val="24"/>
          <w:highlight w:val="none"/>
        </w:rPr>
      </w:pPr>
    </w:p>
    <w:p w14:paraId="64A3C141">
      <w:pPr>
        <w:shd w:val="clear" w:color="auto" w:fill="auto"/>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法定代表人授权委托书</w:t>
      </w:r>
    </w:p>
    <w:p w14:paraId="4996FE15">
      <w:pPr>
        <w:shd w:val="clear" w:color="auto" w:fill="auto"/>
        <w:wordWrap w:val="0"/>
        <w:adjustRightInd w:val="0"/>
        <w:snapToGrid w:val="0"/>
        <w:spacing w:line="440" w:lineRule="exact"/>
        <w:rPr>
          <w:rFonts w:hint="eastAsia" w:ascii="宋体" w:hAnsi="宋体" w:eastAsia="宋体" w:cs="宋体"/>
          <w:snapToGrid w:val="0"/>
          <w:color w:val="auto"/>
          <w:kern w:val="0"/>
          <w:szCs w:val="28"/>
          <w:highlight w:val="none"/>
        </w:rPr>
      </w:pPr>
    </w:p>
    <w:p w14:paraId="56D741BC">
      <w:pPr>
        <w:shd w:val="clear" w:color="auto" w:fill="auto"/>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lang w:val="en-US" w:eastAsia="zh-CN"/>
        </w:rPr>
        <w:t xml:space="preserve">       （项目名称）   </w:t>
      </w:r>
      <w:r>
        <w:rPr>
          <w:rFonts w:hint="eastAsia" w:ascii="宋体" w:hAnsi="宋体" w:eastAsia="宋体" w:cs="宋体"/>
          <w:snapToGrid w:val="0"/>
          <w:color w:val="auto"/>
          <w:kern w:val="0"/>
          <w:szCs w:val="21"/>
          <w:highlight w:val="none"/>
        </w:rPr>
        <w:t>投标文件、签订合同和处理有关事宜，其法律后果由我方承担。</w:t>
      </w:r>
    </w:p>
    <w:p w14:paraId="705B5AE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委托期限：至</w:t>
      </w:r>
      <w:r>
        <w:rPr>
          <w:rFonts w:hint="eastAsia" w:ascii="宋体" w:hAnsi="宋体" w:eastAsia="宋体" w:cs="宋体"/>
          <w:snapToGrid w:val="0"/>
          <w:color w:val="auto"/>
          <w:kern w:val="0"/>
          <w:szCs w:val="21"/>
          <w:highlight w:val="none"/>
          <w:u w:val="single"/>
        </w:rPr>
        <w:t xml:space="preserve">     年   月   日</w:t>
      </w:r>
      <w:r>
        <w:rPr>
          <w:rFonts w:hint="eastAsia" w:ascii="宋体" w:hAnsi="宋体" w:eastAsia="宋体" w:cs="宋体"/>
          <w:snapToGrid w:val="0"/>
          <w:color w:val="auto"/>
          <w:kern w:val="0"/>
          <w:szCs w:val="21"/>
          <w:highlight w:val="none"/>
        </w:rPr>
        <w:t>。</w:t>
      </w:r>
    </w:p>
    <w:p w14:paraId="12EA2286">
      <w:pPr>
        <w:shd w:val="clear" w:color="auto" w:fill="auto"/>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代理人无转委托权。</w:t>
      </w:r>
    </w:p>
    <w:p w14:paraId="0CCF4B98">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202162C5">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0D703EFD">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投  标  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3F838990">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0CADA348">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16EE83C4">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616594FA">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45E72481">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委托代理人：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22120D88">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4581BAB0">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293547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100E31F">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28C6874">
      <w:pPr>
        <w:shd w:val="clear" w:color="auto" w:fill="auto"/>
        <w:wordWrap w:val="0"/>
        <w:adjustRightInd w:val="0"/>
        <w:snapToGrid w:val="0"/>
        <w:ind w:firstLine="6440" w:firstLineChars="2300"/>
        <w:rPr>
          <w:rFonts w:hint="eastAsia" w:ascii="宋体" w:hAnsi="宋体" w:eastAsia="宋体" w:cs="宋体"/>
          <w:snapToGrid w:val="0"/>
          <w:color w:val="auto"/>
          <w:highlight w:val="none"/>
        </w:rPr>
      </w:pPr>
      <w:r>
        <w:rPr>
          <w:rFonts w:hint="eastAsia" w:ascii="宋体" w:hAnsi="宋体" w:eastAsia="宋体" w:cs="宋体"/>
          <w:snapToGrid w:val="0"/>
          <w:color w:val="auto"/>
          <w:kern w:val="0"/>
          <w:sz w:val="28"/>
          <w:szCs w:val="28"/>
          <w:highlight w:val="none"/>
          <w:u w:val="single"/>
        </w:rPr>
        <mc:AlternateContent>
          <mc:Choice Requires="wps">
            <w:drawing>
              <wp:anchor distT="0" distB="0" distL="0" distR="0" simplePos="0" relativeHeight="251659264"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26" name="流程图: 可选过程 3"/>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32F8219">
                            <w:pPr>
                              <w:pStyle w:val="14"/>
                              <w:rPr>
                                <w:rFonts w:hint="eastAsia"/>
                              </w:rPr>
                            </w:pPr>
                          </w:p>
                          <w:p w14:paraId="6F479708">
                            <w:pPr>
                              <w:jc w:val="center"/>
                              <w:rPr>
                                <w:szCs w:val="21"/>
                              </w:rPr>
                            </w:pPr>
                            <w:r>
                              <w:rPr>
                                <w:rFonts w:hint="eastAsia"/>
                                <w:szCs w:val="21"/>
                              </w:rPr>
                              <w:t>委托代理人</w:t>
                            </w:r>
                            <w:r>
                              <w:rPr>
                                <w:rFonts w:hint="eastAsia"/>
                                <w:color w:val="auto"/>
                                <w:szCs w:val="21"/>
                              </w:rPr>
                              <w:t>身份证</w:t>
                            </w:r>
                            <w:r>
                              <w:rPr>
                                <w:rFonts w:hint="eastAsia"/>
                                <w:color w:val="auto"/>
                                <w:szCs w:val="21"/>
                                <w:lang w:val="en-US" w:eastAsia="zh-CN"/>
                              </w:rPr>
                              <w:t>彩色扫描</w:t>
                            </w:r>
                            <w:r>
                              <w:rPr>
                                <w:rFonts w:hint="eastAsia"/>
                                <w:szCs w:val="21"/>
                                <w:lang w:val="en-US" w:eastAsia="zh-CN"/>
                              </w:rPr>
                              <w:t>件</w:t>
                            </w:r>
                            <w:r>
                              <w:rPr>
                                <w:rFonts w:hint="eastAsia"/>
                                <w:szCs w:val="21"/>
                              </w:rPr>
                              <w:t>正、反面</w:t>
                            </w:r>
                          </w:p>
                        </w:txbxContent>
                      </wps:txbx>
                      <wps:bodyPr wrap="square" upright="1"/>
                    </wps:wsp>
                  </a:graphicData>
                </a:graphic>
              </wp:anchor>
            </w:drawing>
          </mc:Choice>
          <mc:Fallback>
            <w:pict>
              <v:shape id="流程图: 可选过程 3" o:spid="_x0000_s1026" o:spt="176" type="#_x0000_t176" style="position:absolute;left:0pt;margin-left:115.5pt;margin-top:2.6pt;height:124.75pt;width:251.25pt;z-index:251659264;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rJ9Os2AAAAAkBAAAPAAAAAAAAAAEAIAAAACIAAABkcnMvZG93bnJl&#10;di54bWxQSwECFAAUAAAACACHTuJAvFyD1DYCAABhBAAADgAAAAAAAAABACAAAAAnAQAAZHJzL2Uy&#10;b0RvYy54bWxQSwUGAAAAAAYABgBZAQAAzwUAAAAA&#10;">
                <v:fill on="t" focussize="0,0"/>
                <v:stroke color="#000000" joinstyle="miter"/>
                <v:imagedata o:title=""/>
                <o:lock v:ext="edit" aspectratio="f"/>
                <v:textbox>
                  <w:txbxContent>
                    <w:p w14:paraId="632F8219">
                      <w:pPr>
                        <w:pStyle w:val="14"/>
                        <w:rPr>
                          <w:rFonts w:hint="eastAsia"/>
                        </w:rPr>
                      </w:pPr>
                    </w:p>
                    <w:p w14:paraId="6F479708">
                      <w:pPr>
                        <w:jc w:val="center"/>
                        <w:rPr>
                          <w:szCs w:val="21"/>
                        </w:rPr>
                      </w:pPr>
                      <w:r>
                        <w:rPr>
                          <w:rFonts w:hint="eastAsia"/>
                          <w:szCs w:val="21"/>
                        </w:rPr>
                        <w:t>委托代理人</w:t>
                      </w:r>
                      <w:r>
                        <w:rPr>
                          <w:rFonts w:hint="eastAsia"/>
                          <w:color w:val="auto"/>
                          <w:szCs w:val="21"/>
                        </w:rPr>
                        <w:t>身份证</w:t>
                      </w:r>
                      <w:r>
                        <w:rPr>
                          <w:rFonts w:hint="eastAsia"/>
                          <w:color w:val="auto"/>
                          <w:szCs w:val="21"/>
                          <w:lang w:val="en-US" w:eastAsia="zh-CN"/>
                        </w:rPr>
                        <w:t>彩色扫描</w:t>
                      </w:r>
                      <w:r>
                        <w:rPr>
                          <w:rFonts w:hint="eastAsia"/>
                          <w:szCs w:val="21"/>
                          <w:lang w:val="en-US" w:eastAsia="zh-CN"/>
                        </w:rPr>
                        <w:t>件</w:t>
                      </w:r>
                      <w:r>
                        <w:rPr>
                          <w:rFonts w:hint="eastAsia"/>
                          <w:szCs w:val="21"/>
                        </w:rPr>
                        <w:t>正、反面</w:t>
                      </w:r>
                    </w:p>
                  </w:txbxContent>
                </v:textbox>
              </v:shape>
            </w:pict>
          </mc:Fallback>
        </mc:AlternateContent>
      </w:r>
    </w:p>
    <w:p w14:paraId="5D02EF2D">
      <w:pPr>
        <w:pStyle w:val="13"/>
        <w:widowControl w:val="0"/>
        <w:shd w:val="clear" w:color="auto" w:fill="auto"/>
        <w:wordWrap w:val="0"/>
        <w:adjustRightInd w:val="0"/>
        <w:snapToGrid w:val="0"/>
        <w:rPr>
          <w:rFonts w:hint="eastAsia" w:ascii="宋体" w:hAnsi="宋体" w:eastAsia="宋体" w:cs="宋体"/>
          <w:snapToGrid w:val="0"/>
          <w:color w:val="auto"/>
          <w:highlight w:val="none"/>
        </w:rPr>
        <w:sectPr>
          <w:endnotePr>
            <w:numFmt w:val="decimal"/>
          </w:endnotePr>
          <w:pgSz w:w="11906" w:h="16838"/>
          <w:pgMar w:top="1701" w:right="1531" w:bottom="1417" w:left="1531" w:header="850" w:footer="992" w:gutter="0"/>
          <w:cols w:space="720" w:num="1"/>
          <w:rtlGutter w:val="0"/>
          <w:docGrid w:linePitch="327" w:charSpace="0"/>
        </w:sectPr>
      </w:pPr>
    </w:p>
    <w:p w14:paraId="28DC55F9">
      <w:pPr>
        <w:shd w:val="clear" w:color="auto" w:fill="auto"/>
        <w:wordWrap w:val="0"/>
        <w:adjustRightInd w:val="0"/>
        <w:snapToGrid w:val="0"/>
        <w:spacing w:line="440" w:lineRule="exact"/>
        <w:outlineLvl w:val="2"/>
        <w:rPr>
          <w:rFonts w:hint="eastAsia" w:ascii="宋体" w:hAnsi="宋体" w:eastAsia="宋体" w:cs="宋体"/>
          <w:b/>
          <w:snapToGrid w:val="0"/>
          <w:color w:val="auto"/>
          <w:kern w:val="0"/>
          <w:highlight w:val="none"/>
        </w:rPr>
      </w:pPr>
      <w:bookmarkStart w:id="476" w:name="_Toc30014"/>
      <w:bookmarkStart w:id="477" w:name="_Toc16963"/>
      <w:bookmarkStart w:id="478" w:name="_Toc4361"/>
      <w:bookmarkStart w:id="479" w:name="_Toc11496"/>
      <w:bookmarkStart w:id="480" w:name="_Toc18620"/>
      <w:bookmarkStart w:id="481" w:name="_Toc15003"/>
      <w:bookmarkStart w:id="482" w:name="_Toc10825"/>
      <w:bookmarkStart w:id="483" w:name="_Toc11316"/>
      <w:bookmarkStart w:id="484" w:name="_Toc9833"/>
      <w:bookmarkStart w:id="485" w:name="_Toc20383"/>
      <w:r>
        <w:rPr>
          <w:rFonts w:hint="eastAsia" w:ascii="宋体" w:hAnsi="宋体" w:eastAsia="宋体" w:cs="宋体"/>
          <w:b/>
          <w:snapToGrid w:val="0"/>
          <w:color w:val="auto"/>
          <w:kern w:val="0"/>
          <w:highlight w:val="none"/>
        </w:rPr>
        <w:t>格式五 法定代表人身份证明</w:t>
      </w:r>
      <w:bookmarkEnd w:id="476"/>
      <w:bookmarkEnd w:id="477"/>
      <w:bookmarkEnd w:id="478"/>
      <w:bookmarkEnd w:id="479"/>
      <w:bookmarkEnd w:id="480"/>
      <w:bookmarkEnd w:id="481"/>
      <w:bookmarkEnd w:id="482"/>
      <w:bookmarkEnd w:id="483"/>
      <w:bookmarkEnd w:id="484"/>
      <w:bookmarkEnd w:id="485"/>
    </w:p>
    <w:p w14:paraId="611A52BE">
      <w:pPr>
        <w:shd w:val="clear" w:color="auto" w:fill="auto"/>
        <w:wordWrap w:val="0"/>
        <w:adjustRightInd w:val="0"/>
        <w:snapToGrid w:val="0"/>
        <w:spacing w:line="440" w:lineRule="exact"/>
        <w:rPr>
          <w:rFonts w:hint="eastAsia" w:ascii="宋体" w:hAnsi="宋体" w:eastAsia="宋体" w:cs="宋体"/>
          <w:b/>
          <w:snapToGrid w:val="0"/>
          <w:color w:val="auto"/>
          <w:kern w:val="0"/>
          <w:highlight w:val="none"/>
        </w:rPr>
      </w:pPr>
    </w:p>
    <w:p w14:paraId="17F0B9DB">
      <w:pPr>
        <w:shd w:val="clear" w:color="auto" w:fill="auto"/>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法定代表人身份证明</w:t>
      </w:r>
    </w:p>
    <w:p w14:paraId="7FF12A65">
      <w:pPr>
        <w:shd w:val="clear" w:color="auto" w:fill="auto"/>
        <w:wordWrap w:val="0"/>
        <w:adjustRightInd w:val="0"/>
        <w:snapToGrid w:val="0"/>
        <w:spacing w:line="440" w:lineRule="exact"/>
        <w:rPr>
          <w:rFonts w:hint="eastAsia" w:ascii="宋体" w:hAnsi="宋体" w:eastAsia="宋体" w:cs="宋体"/>
          <w:snapToGrid w:val="0"/>
          <w:color w:val="auto"/>
          <w:kern w:val="0"/>
          <w:szCs w:val="21"/>
          <w:highlight w:val="none"/>
        </w:rPr>
      </w:pPr>
    </w:p>
    <w:p w14:paraId="3870CB20">
      <w:pPr>
        <w:shd w:val="clear" w:color="auto" w:fill="auto"/>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投标人名称：</w:t>
      </w:r>
      <w:r>
        <w:rPr>
          <w:rFonts w:hint="eastAsia" w:ascii="宋体" w:hAnsi="宋体" w:eastAsia="宋体" w:cs="宋体"/>
          <w:snapToGrid w:val="0"/>
          <w:color w:val="auto"/>
          <w:kern w:val="0"/>
          <w:szCs w:val="21"/>
          <w:highlight w:val="none"/>
          <w:u w:val="single"/>
        </w:rPr>
        <w:t xml:space="preserve">                  </w:t>
      </w:r>
    </w:p>
    <w:p w14:paraId="08DBEE0E">
      <w:pPr>
        <w:shd w:val="clear" w:color="auto" w:fill="auto"/>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姓名：</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性别：</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年龄：</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职务：</w:t>
      </w:r>
      <w:r>
        <w:rPr>
          <w:rFonts w:hint="eastAsia" w:ascii="宋体" w:hAnsi="宋体" w:eastAsia="宋体" w:cs="宋体"/>
          <w:snapToGrid w:val="0"/>
          <w:color w:val="auto"/>
          <w:kern w:val="0"/>
          <w:szCs w:val="21"/>
          <w:highlight w:val="none"/>
          <w:u w:val="single"/>
        </w:rPr>
        <w:t xml:space="preserve">           </w:t>
      </w:r>
    </w:p>
    <w:p w14:paraId="5B045C9C">
      <w:pPr>
        <w:shd w:val="clear" w:color="auto" w:fill="auto"/>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w:t>
      </w:r>
    </w:p>
    <w:p w14:paraId="37867ABD">
      <w:pPr>
        <w:shd w:val="clear" w:color="auto" w:fill="auto"/>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特此证明。</w:t>
      </w:r>
    </w:p>
    <w:p w14:paraId="2490CA3C">
      <w:pPr>
        <w:shd w:val="clear" w:color="auto" w:fill="auto"/>
        <w:wordWrap w:val="0"/>
        <w:adjustRightInd w:val="0"/>
        <w:snapToGrid w:val="0"/>
        <w:spacing w:line="440" w:lineRule="exact"/>
        <w:rPr>
          <w:rFonts w:hint="eastAsia" w:ascii="宋体" w:hAnsi="宋体" w:eastAsia="宋体" w:cs="宋体"/>
          <w:snapToGrid w:val="0"/>
          <w:color w:val="auto"/>
          <w:kern w:val="0"/>
          <w:szCs w:val="21"/>
          <w:highlight w:val="none"/>
        </w:rPr>
      </w:pPr>
    </w:p>
    <w:p w14:paraId="1823D9D7">
      <w:pPr>
        <w:shd w:val="clear" w:color="auto" w:fill="auto"/>
        <w:wordWrap w:val="0"/>
        <w:adjustRightInd w:val="0"/>
        <w:snapToGrid w:val="0"/>
        <w:spacing w:line="440" w:lineRule="exact"/>
        <w:rPr>
          <w:rFonts w:hint="eastAsia" w:ascii="宋体" w:hAnsi="宋体" w:eastAsia="宋体" w:cs="宋体"/>
          <w:snapToGrid w:val="0"/>
          <w:color w:val="auto"/>
          <w:kern w:val="0"/>
          <w:szCs w:val="21"/>
          <w:highlight w:val="none"/>
        </w:rPr>
      </w:pPr>
    </w:p>
    <w:p w14:paraId="36792DD3">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投标人：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26527CFC">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18565BB4">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6A33524A">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18BF00E2">
      <w:pPr>
        <w:shd w:val="clear" w:color="auto" w:fill="auto"/>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567B20D6">
      <w:pPr>
        <w:shd w:val="clear" w:color="auto" w:fill="auto"/>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 xml:space="preserve">日       </w:t>
      </w:r>
    </w:p>
    <w:p w14:paraId="163483A2">
      <w:pPr>
        <w:shd w:val="clear" w:color="auto" w:fill="auto"/>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0C021F4F">
      <w:pPr>
        <w:shd w:val="clear" w:color="auto" w:fill="auto"/>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p>
    <w:p w14:paraId="163D793D">
      <w:pPr>
        <w:shd w:val="clear" w:color="auto" w:fill="auto"/>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p>
    <w:p w14:paraId="7EF18EBA">
      <w:pPr>
        <w:shd w:val="clear" w:color="auto" w:fill="auto"/>
        <w:wordWrap w:val="0"/>
        <w:adjustRightInd w:val="0"/>
        <w:snapToGrid w:val="0"/>
        <w:spacing w:line="440" w:lineRule="exact"/>
        <w:ind w:firstLine="720" w:firstLineChars="300"/>
        <w:rPr>
          <w:rFonts w:hint="eastAsia" w:ascii="宋体" w:hAnsi="宋体" w:eastAsia="宋体" w:cs="宋体"/>
          <w:b/>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i/>
          <w:iCs/>
          <w:snapToGrid w:val="0"/>
          <w:color w:val="auto"/>
          <w:kern w:val="0"/>
          <w:szCs w:val="21"/>
          <w:highlight w:val="none"/>
        </w:rPr>
        <w:t xml:space="preserve"> </w:t>
      </w:r>
    </w:p>
    <w:p w14:paraId="0FF290DC">
      <w:pPr>
        <w:shd w:val="clear" w:color="auto" w:fill="auto"/>
        <w:wordWrap w:val="0"/>
        <w:adjustRightInd w:val="0"/>
        <w:snapToGrid w:val="0"/>
        <w:rPr>
          <w:rFonts w:hint="eastAsia" w:ascii="宋体" w:hAnsi="宋体" w:eastAsia="宋体" w:cs="宋体"/>
          <w:b/>
          <w:snapToGrid w:val="0"/>
          <w:color w:val="auto"/>
          <w:kern w:val="0"/>
          <w:szCs w:val="21"/>
          <w:highlight w:val="none"/>
        </w:rPr>
      </w:pPr>
      <w:r>
        <w:rPr>
          <w:rFonts w:hint="eastAsia" w:ascii="宋体" w:hAnsi="宋体" w:eastAsia="宋体" w:cs="宋体"/>
          <w:b/>
          <w:snapToGrid w:val="0"/>
          <w:color w:val="auto"/>
          <w:kern w:val="0"/>
          <w:szCs w:val="21"/>
          <w:highlight w:val="none"/>
        </w:rPr>
        <mc:AlternateContent>
          <mc:Choice Requires="wps">
            <w:drawing>
              <wp:anchor distT="0" distB="0" distL="0" distR="0" simplePos="0" relativeHeight="251659264"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1027" name="流程图: 可选过程 4"/>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AFAC2D5">
                            <w:pPr>
                              <w:jc w:val="center"/>
                              <w:rPr>
                                <w:rFonts w:hint="eastAsia"/>
                                <w:szCs w:val="21"/>
                              </w:rPr>
                            </w:pPr>
                          </w:p>
                          <w:p w14:paraId="5403AFA6">
                            <w:pPr>
                              <w:jc w:val="center"/>
                              <w:rPr>
                                <w:rFonts w:hint="eastAsia"/>
                                <w:szCs w:val="21"/>
                              </w:rPr>
                            </w:pPr>
                          </w:p>
                          <w:p w14:paraId="0C3C7848">
                            <w:pPr>
                              <w:jc w:val="center"/>
                              <w:rPr>
                                <w:rFonts w:hint="eastAsia"/>
                                <w:szCs w:val="21"/>
                              </w:rPr>
                            </w:pPr>
                          </w:p>
                          <w:p w14:paraId="648E4B5A">
                            <w:pPr>
                              <w:jc w:val="center"/>
                              <w:rPr>
                                <w:szCs w:val="21"/>
                              </w:rPr>
                            </w:pPr>
                            <w:r>
                              <w:rPr>
                                <w:rFonts w:hint="eastAsia"/>
                                <w:szCs w:val="21"/>
                              </w:rPr>
                              <w:t>法定代表人身份</w:t>
                            </w:r>
                            <w:r>
                              <w:rPr>
                                <w:rFonts w:hint="eastAsia"/>
                                <w:color w:val="auto"/>
                                <w:szCs w:val="21"/>
                              </w:rPr>
                              <w:t>证</w:t>
                            </w:r>
                            <w:r>
                              <w:rPr>
                                <w:rFonts w:hint="eastAsia"/>
                                <w:color w:val="auto"/>
                                <w:szCs w:val="21"/>
                                <w:lang w:val="en-US" w:eastAsia="zh-CN"/>
                              </w:rPr>
                              <w:t>彩色扫</w:t>
                            </w:r>
                            <w:r>
                              <w:rPr>
                                <w:rFonts w:hint="eastAsia"/>
                                <w:szCs w:val="21"/>
                                <w:lang w:val="en-US" w:eastAsia="zh-CN"/>
                              </w:rPr>
                              <w:t>描件</w:t>
                            </w:r>
                            <w:r>
                              <w:rPr>
                                <w:rFonts w:hint="eastAsia"/>
                                <w:szCs w:val="21"/>
                              </w:rPr>
                              <w:t>正、反面</w:t>
                            </w:r>
                          </w:p>
                        </w:txbxContent>
                      </wps:txbx>
                      <wps:bodyPr wrap="square" upright="1"/>
                    </wps:wsp>
                  </a:graphicData>
                </a:graphic>
              </wp:anchor>
            </w:drawing>
          </mc:Choice>
          <mc:Fallback>
            <w:pict>
              <v:shape id="流程图: 可选过程 4" o:spid="_x0000_s1026" o:spt="176" type="#_x0000_t176" style="position:absolute;left:0pt;margin-left:127.5pt;margin-top:1.6pt;height:124.75pt;width:222.45pt;z-index:251659264;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4V1KbYAAAACQEAAA8AAAAAAAAAAQAgAAAAIgAAAGRycy9kb3ducmV2&#10;LnhtbFBLAQIUABQAAAAIAIdO4kBOb6JaNQIAAGEEAAAOAAAAAAAAAAEAIAAAACcBAABkcnMvZTJv&#10;RG9jLnhtbFBLBQYAAAAABgAGAFkBAADOBQAAAAA=&#10;">
                <v:fill on="t" focussize="0,0"/>
                <v:stroke color="#000000" joinstyle="miter"/>
                <v:imagedata o:title=""/>
                <o:lock v:ext="edit" aspectratio="f"/>
                <v:textbox>
                  <w:txbxContent>
                    <w:p w14:paraId="4AFAC2D5">
                      <w:pPr>
                        <w:jc w:val="center"/>
                        <w:rPr>
                          <w:rFonts w:hint="eastAsia"/>
                          <w:szCs w:val="21"/>
                        </w:rPr>
                      </w:pPr>
                    </w:p>
                    <w:p w14:paraId="5403AFA6">
                      <w:pPr>
                        <w:jc w:val="center"/>
                        <w:rPr>
                          <w:rFonts w:hint="eastAsia"/>
                          <w:szCs w:val="21"/>
                        </w:rPr>
                      </w:pPr>
                    </w:p>
                    <w:p w14:paraId="0C3C7848">
                      <w:pPr>
                        <w:jc w:val="center"/>
                        <w:rPr>
                          <w:rFonts w:hint="eastAsia"/>
                          <w:szCs w:val="21"/>
                        </w:rPr>
                      </w:pPr>
                    </w:p>
                    <w:p w14:paraId="648E4B5A">
                      <w:pPr>
                        <w:jc w:val="center"/>
                        <w:rPr>
                          <w:szCs w:val="21"/>
                        </w:rPr>
                      </w:pPr>
                      <w:r>
                        <w:rPr>
                          <w:rFonts w:hint="eastAsia"/>
                          <w:szCs w:val="21"/>
                        </w:rPr>
                        <w:t>法定代表人身份</w:t>
                      </w:r>
                      <w:r>
                        <w:rPr>
                          <w:rFonts w:hint="eastAsia"/>
                          <w:color w:val="auto"/>
                          <w:szCs w:val="21"/>
                        </w:rPr>
                        <w:t>证</w:t>
                      </w:r>
                      <w:r>
                        <w:rPr>
                          <w:rFonts w:hint="eastAsia"/>
                          <w:color w:val="auto"/>
                          <w:szCs w:val="21"/>
                          <w:lang w:val="en-US" w:eastAsia="zh-CN"/>
                        </w:rPr>
                        <w:t>彩色扫</w:t>
                      </w:r>
                      <w:r>
                        <w:rPr>
                          <w:rFonts w:hint="eastAsia"/>
                          <w:szCs w:val="21"/>
                          <w:lang w:val="en-US" w:eastAsia="zh-CN"/>
                        </w:rPr>
                        <w:t>描件</w:t>
                      </w:r>
                      <w:r>
                        <w:rPr>
                          <w:rFonts w:hint="eastAsia"/>
                          <w:szCs w:val="21"/>
                        </w:rPr>
                        <w:t>正、反面</w:t>
                      </w:r>
                    </w:p>
                  </w:txbxContent>
                </v:textbox>
              </v:shape>
            </w:pict>
          </mc:Fallback>
        </mc:AlternateContent>
      </w:r>
    </w:p>
    <w:p w14:paraId="38E0D790">
      <w:pPr>
        <w:shd w:val="clear" w:color="auto" w:fill="auto"/>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eastAsia" w:ascii="宋体" w:hAnsi="宋体" w:eastAsia="宋体" w:cs="宋体"/>
          <w:snapToGrid w:val="0"/>
          <w:color w:val="auto"/>
          <w:kern w:val="0"/>
          <w:sz w:val="28"/>
          <w:szCs w:val="28"/>
          <w:highlight w:val="none"/>
        </w:rPr>
      </w:pPr>
    </w:p>
    <w:p w14:paraId="5B76B5A3">
      <w:pPr>
        <w:shd w:val="clear" w:color="auto" w:fill="auto"/>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727471E1">
      <w:pPr>
        <w:shd w:val="clear" w:color="auto" w:fill="auto"/>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043A323D">
      <w:pPr>
        <w:shd w:val="clear" w:color="auto" w:fill="auto"/>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sectPr>
          <w:endnotePr>
            <w:numFmt w:val="decimal"/>
          </w:endnotePr>
          <w:pgSz w:w="11906" w:h="16838"/>
          <w:pgMar w:top="1701" w:right="1531" w:bottom="1417" w:left="1531" w:header="850" w:footer="992" w:gutter="0"/>
          <w:cols w:space="720" w:num="1"/>
          <w:rtlGutter w:val="0"/>
          <w:docGrid w:linePitch="327" w:charSpace="0"/>
        </w:sectPr>
      </w:pPr>
    </w:p>
    <w:p w14:paraId="5F1CE80B">
      <w:pPr>
        <w:shd w:val="clear" w:color="auto" w:fill="auto"/>
        <w:wordWrap w:val="0"/>
        <w:adjustRightInd w:val="0"/>
        <w:snapToGrid w:val="0"/>
        <w:spacing w:line="440" w:lineRule="exact"/>
        <w:outlineLvl w:val="2"/>
        <w:rPr>
          <w:rFonts w:hint="eastAsia" w:ascii="宋体" w:hAnsi="宋体" w:eastAsia="宋体" w:cs="宋体"/>
          <w:b/>
          <w:bCs/>
          <w:snapToGrid w:val="0"/>
          <w:color w:val="auto"/>
          <w:kern w:val="0"/>
          <w:szCs w:val="24"/>
          <w:highlight w:val="none"/>
        </w:rPr>
      </w:pPr>
      <w:bookmarkStart w:id="486" w:name="_Toc47"/>
      <w:bookmarkStart w:id="487" w:name="_Toc30029"/>
      <w:bookmarkStart w:id="488" w:name="_Toc24168"/>
      <w:bookmarkStart w:id="489" w:name="_Toc18567"/>
      <w:bookmarkStart w:id="490" w:name="_Toc18123"/>
      <w:bookmarkStart w:id="491" w:name="_Toc9374"/>
      <w:bookmarkStart w:id="492" w:name="_Toc9774"/>
      <w:bookmarkStart w:id="493" w:name="_Toc14874"/>
      <w:bookmarkStart w:id="494" w:name="_Toc3769"/>
      <w:bookmarkStart w:id="495" w:name="_Toc24439"/>
      <w:r>
        <w:rPr>
          <w:rFonts w:hint="eastAsia" w:ascii="宋体" w:hAnsi="宋体" w:eastAsia="宋体" w:cs="宋体"/>
          <w:b/>
          <w:bCs/>
          <w:snapToGrid w:val="0"/>
          <w:color w:val="auto"/>
          <w:kern w:val="0"/>
          <w:szCs w:val="24"/>
          <w:highlight w:val="none"/>
        </w:rPr>
        <w:t>格式六 投标人基本情况表</w:t>
      </w:r>
      <w:bookmarkEnd w:id="486"/>
      <w:bookmarkEnd w:id="487"/>
      <w:bookmarkEnd w:id="488"/>
      <w:bookmarkEnd w:id="489"/>
      <w:bookmarkEnd w:id="490"/>
      <w:bookmarkEnd w:id="491"/>
      <w:bookmarkEnd w:id="492"/>
      <w:bookmarkEnd w:id="493"/>
      <w:bookmarkEnd w:id="494"/>
      <w:bookmarkEnd w:id="495"/>
    </w:p>
    <w:p w14:paraId="0BE66B22">
      <w:pPr>
        <w:pStyle w:val="57"/>
        <w:widowControl w:val="0"/>
        <w:shd w:val="clear" w:color="auto" w:fill="auto"/>
        <w:wordWrap w:val="0"/>
        <w:adjustRightInd w:val="0"/>
        <w:snapToGrid w:val="0"/>
        <w:spacing w:before="260" w:after="260" w:line="400" w:lineRule="exact"/>
        <w:ind w:firstLine="0"/>
        <w:jc w:val="center"/>
        <w:rPr>
          <w:rFonts w:hint="eastAsia" w:ascii="宋体" w:hAnsi="宋体" w:eastAsia="宋体" w:cs="宋体"/>
          <w:snapToGrid w:val="0"/>
          <w:color w:val="auto"/>
          <w:sz w:val="24"/>
          <w:highlight w:val="none"/>
        </w:rPr>
      </w:pPr>
      <w:r>
        <w:rPr>
          <w:rFonts w:hint="eastAsia" w:ascii="宋体" w:hAnsi="宋体" w:eastAsia="宋体" w:cs="宋体"/>
          <w:b/>
          <w:snapToGrid w:val="0"/>
          <w:color w:val="auto"/>
          <w:sz w:val="30"/>
          <w:highlight w:val="none"/>
        </w:rPr>
        <w:t>投标人基本情况表</w:t>
      </w:r>
    </w:p>
    <w:tbl>
      <w:tblPr>
        <w:tblStyle w:val="3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50BC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7AD665E">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投标人名称</w:t>
            </w:r>
          </w:p>
        </w:tc>
        <w:tc>
          <w:tcPr>
            <w:tcW w:w="7020" w:type="dxa"/>
            <w:gridSpan w:val="8"/>
            <w:vAlign w:val="center"/>
          </w:tcPr>
          <w:p w14:paraId="7C005F4F">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2828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5EE258C8">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注册地址</w:t>
            </w:r>
          </w:p>
        </w:tc>
        <w:tc>
          <w:tcPr>
            <w:tcW w:w="3389" w:type="dxa"/>
            <w:gridSpan w:val="3"/>
            <w:vAlign w:val="center"/>
          </w:tcPr>
          <w:p w14:paraId="08AD80F1">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1EE7BF13">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邮政编码</w:t>
            </w:r>
          </w:p>
        </w:tc>
        <w:tc>
          <w:tcPr>
            <w:tcW w:w="2385" w:type="dxa"/>
            <w:gridSpan w:val="3"/>
            <w:vAlign w:val="center"/>
          </w:tcPr>
          <w:p w14:paraId="39921B61">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6489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380D3FC7">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联系方式</w:t>
            </w:r>
          </w:p>
        </w:tc>
        <w:tc>
          <w:tcPr>
            <w:tcW w:w="897" w:type="dxa"/>
            <w:vAlign w:val="center"/>
          </w:tcPr>
          <w:p w14:paraId="49B7A718">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联系人</w:t>
            </w:r>
          </w:p>
        </w:tc>
        <w:tc>
          <w:tcPr>
            <w:tcW w:w="2492" w:type="dxa"/>
            <w:gridSpan w:val="2"/>
            <w:vAlign w:val="center"/>
          </w:tcPr>
          <w:p w14:paraId="28C92372">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76AF3FD4">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  话</w:t>
            </w:r>
          </w:p>
        </w:tc>
        <w:tc>
          <w:tcPr>
            <w:tcW w:w="2385" w:type="dxa"/>
            <w:gridSpan w:val="3"/>
            <w:vAlign w:val="center"/>
          </w:tcPr>
          <w:p w14:paraId="27D9C626">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030B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63927AED">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897" w:type="dxa"/>
            <w:vAlign w:val="center"/>
          </w:tcPr>
          <w:p w14:paraId="4F7E70A8">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传  真</w:t>
            </w:r>
          </w:p>
        </w:tc>
        <w:tc>
          <w:tcPr>
            <w:tcW w:w="2492" w:type="dxa"/>
            <w:gridSpan w:val="2"/>
            <w:vAlign w:val="center"/>
          </w:tcPr>
          <w:p w14:paraId="13125E59">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55367632">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电子邮箱</w:t>
            </w:r>
          </w:p>
        </w:tc>
        <w:tc>
          <w:tcPr>
            <w:tcW w:w="2385" w:type="dxa"/>
            <w:gridSpan w:val="3"/>
            <w:vAlign w:val="center"/>
          </w:tcPr>
          <w:p w14:paraId="509E684F">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67C8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5275502E">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法定代表人</w:t>
            </w:r>
          </w:p>
        </w:tc>
        <w:tc>
          <w:tcPr>
            <w:tcW w:w="897" w:type="dxa"/>
            <w:vAlign w:val="center"/>
          </w:tcPr>
          <w:p w14:paraId="14ED369B">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姓名</w:t>
            </w:r>
          </w:p>
        </w:tc>
        <w:tc>
          <w:tcPr>
            <w:tcW w:w="1689" w:type="dxa"/>
            <w:vAlign w:val="center"/>
          </w:tcPr>
          <w:p w14:paraId="40B6830A">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Align w:val="center"/>
          </w:tcPr>
          <w:p w14:paraId="2676B767">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技术职称</w:t>
            </w:r>
          </w:p>
        </w:tc>
        <w:tc>
          <w:tcPr>
            <w:tcW w:w="1220" w:type="dxa"/>
            <w:gridSpan w:val="2"/>
            <w:vAlign w:val="center"/>
          </w:tcPr>
          <w:p w14:paraId="3714CB39">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709" w:type="dxa"/>
            <w:vAlign w:val="center"/>
          </w:tcPr>
          <w:p w14:paraId="02D21E6D">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电话</w:t>
            </w:r>
          </w:p>
        </w:tc>
        <w:tc>
          <w:tcPr>
            <w:tcW w:w="1416" w:type="dxa"/>
            <w:vAlign w:val="center"/>
          </w:tcPr>
          <w:p w14:paraId="3FE94EC9">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244F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86F95B3">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技术负责人</w:t>
            </w:r>
          </w:p>
        </w:tc>
        <w:tc>
          <w:tcPr>
            <w:tcW w:w="897" w:type="dxa"/>
            <w:vAlign w:val="center"/>
          </w:tcPr>
          <w:p w14:paraId="3B833C82">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姓名</w:t>
            </w:r>
          </w:p>
        </w:tc>
        <w:tc>
          <w:tcPr>
            <w:tcW w:w="1689" w:type="dxa"/>
            <w:vAlign w:val="center"/>
          </w:tcPr>
          <w:p w14:paraId="12130482">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Align w:val="center"/>
          </w:tcPr>
          <w:p w14:paraId="1378185A">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技术职称</w:t>
            </w:r>
          </w:p>
        </w:tc>
        <w:tc>
          <w:tcPr>
            <w:tcW w:w="1220" w:type="dxa"/>
            <w:gridSpan w:val="2"/>
            <w:vAlign w:val="center"/>
          </w:tcPr>
          <w:p w14:paraId="10FBC8BB">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709" w:type="dxa"/>
            <w:vAlign w:val="center"/>
          </w:tcPr>
          <w:p w14:paraId="43CAC927">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电话</w:t>
            </w:r>
          </w:p>
        </w:tc>
        <w:tc>
          <w:tcPr>
            <w:tcW w:w="1416" w:type="dxa"/>
            <w:vAlign w:val="center"/>
          </w:tcPr>
          <w:p w14:paraId="610BCA73">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3CEE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A5F72B9">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成立日期</w:t>
            </w:r>
          </w:p>
        </w:tc>
        <w:tc>
          <w:tcPr>
            <w:tcW w:w="2586" w:type="dxa"/>
            <w:gridSpan w:val="2"/>
            <w:vAlign w:val="center"/>
          </w:tcPr>
          <w:p w14:paraId="5A894CEF">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4434" w:type="dxa"/>
            <w:gridSpan w:val="6"/>
            <w:vAlign w:val="center"/>
          </w:tcPr>
          <w:p w14:paraId="5EFD6DB8">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员工总人数（个）：</w:t>
            </w:r>
          </w:p>
        </w:tc>
      </w:tr>
      <w:tr w14:paraId="4A31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ABBE08F">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企业资质</w:t>
            </w:r>
          </w:p>
          <w:p w14:paraId="7565FFED">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类型和等级</w:t>
            </w:r>
          </w:p>
        </w:tc>
        <w:tc>
          <w:tcPr>
            <w:tcW w:w="2586" w:type="dxa"/>
            <w:gridSpan w:val="2"/>
            <w:vAlign w:val="center"/>
          </w:tcPr>
          <w:p w14:paraId="16A47A62">
            <w:pPr>
              <w:pStyle w:val="44"/>
              <w:shd w:val="clear" w:color="auto" w:fill="auto"/>
              <w:wordWrap w:val="0"/>
              <w:adjustRightInd w:val="0"/>
              <w:snapToGrid w:val="0"/>
              <w:jc w:val="left"/>
              <w:rPr>
                <w:rFonts w:hint="eastAsia" w:ascii="宋体" w:hAnsi="宋体" w:eastAsia="宋体" w:cs="宋体"/>
                <w:snapToGrid w:val="0"/>
                <w:color w:val="auto"/>
                <w:kern w:val="0"/>
                <w:szCs w:val="21"/>
                <w:highlight w:val="none"/>
              </w:rPr>
            </w:pPr>
          </w:p>
        </w:tc>
        <w:tc>
          <w:tcPr>
            <w:tcW w:w="1089" w:type="dxa"/>
            <w:gridSpan w:val="2"/>
            <w:vMerge w:val="restart"/>
            <w:vAlign w:val="center"/>
          </w:tcPr>
          <w:p w14:paraId="34483E7C">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其中</w:t>
            </w:r>
          </w:p>
        </w:tc>
        <w:tc>
          <w:tcPr>
            <w:tcW w:w="1929" w:type="dxa"/>
            <w:gridSpan w:val="3"/>
            <w:vAlign w:val="center"/>
          </w:tcPr>
          <w:p w14:paraId="7827DC90">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各类注册人员</w:t>
            </w:r>
          </w:p>
        </w:tc>
        <w:tc>
          <w:tcPr>
            <w:tcW w:w="1416" w:type="dxa"/>
            <w:vAlign w:val="center"/>
          </w:tcPr>
          <w:p w14:paraId="4368A22E">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6396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2B9826BE">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营业执照号</w:t>
            </w:r>
          </w:p>
        </w:tc>
        <w:tc>
          <w:tcPr>
            <w:tcW w:w="2586" w:type="dxa"/>
            <w:gridSpan w:val="2"/>
            <w:vAlign w:val="center"/>
          </w:tcPr>
          <w:p w14:paraId="50071826">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777982B5">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38A5FFFE">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高级职称人员</w:t>
            </w:r>
          </w:p>
        </w:tc>
        <w:tc>
          <w:tcPr>
            <w:tcW w:w="1416" w:type="dxa"/>
            <w:vAlign w:val="center"/>
          </w:tcPr>
          <w:p w14:paraId="21DCB94B">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49C1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249DAE25">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注册资金</w:t>
            </w:r>
          </w:p>
        </w:tc>
        <w:tc>
          <w:tcPr>
            <w:tcW w:w="2586" w:type="dxa"/>
            <w:gridSpan w:val="2"/>
            <w:vAlign w:val="center"/>
          </w:tcPr>
          <w:p w14:paraId="14C60A4A">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6F365BA9">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7895F91D">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中级职称人员</w:t>
            </w:r>
          </w:p>
        </w:tc>
        <w:tc>
          <w:tcPr>
            <w:tcW w:w="1416" w:type="dxa"/>
            <w:vAlign w:val="center"/>
          </w:tcPr>
          <w:p w14:paraId="6716C33F">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3587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18995BD6">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基本账户</w:t>
            </w:r>
          </w:p>
          <w:p w14:paraId="1DA9F436">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开户银行</w:t>
            </w:r>
          </w:p>
        </w:tc>
        <w:tc>
          <w:tcPr>
            <w:tcW w:w="2586" w:type="dxa"/>
            <w:gridSpan w:val="2"/>
            <w:vAlign w:val="center"/>
          </w:tcPr>
          <w:p w14:paraId="5AED7AA9">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1A0CF022">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5DA5CACC">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初级职称人员</w:t>
            </w:r>
          </w:p>
        </w:tc>
        <w:tc>
          <w:tcPr>
            <w:tcW w:w="1416" w:type="dxa"/>
            <w:vAlign w:val="center"/>
          </w:tcPr>
          <w:p w14:paraId="4EB81F33">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5405D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185A6793">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基本账户</w:t>
            </w:r>
          </w:p>
          <w:p w14:paraId="695D30EE">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银行账号</w:t>
            </w:r>
          </w:p>
        </w:tc>
        <w:tc>
          <w:tcPr>
            <w:tcW w:w="2586" w:type="dxa"/>
            <w:gridSpan w:val="2"/>
            <w:vAlign w:val="center"/>
          </w:tcPr>
          <w:p w14:paraId="7A600667">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6FFDE4AE">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6F61CAC4">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技术员</w:t>
            </w:r>
          </w:p>
        </w:tc>
        <w:tc>
          <w:tcPr>
            <w:tcW w:w="1416" w:type="dxa"/>
            <w:vAlign w:val="center"/>
          </w:tcPr>
          <w:p w14:paraId="42CC128F">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078D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exact"/>
          <w:jc w:val="center"/>
        </w:trPr>
        <w:tc>
          <w:tcPr>
            <w:tcW w:w="1485" w:type="dxa"/>
            <w:vAlign w:val="center"/>
          </w:tcPr>
          <w:p w14:paraId="5AC1F48B">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经营范围</w:t>
            </w:r>
          </w:p>
        </w:tc>
        <w:tc>
          <w:tcPr>
            <w:tcW w:w="7020" w:type="dxa"/>
            <w:gridSpan w:val="8"/>
            <w:vAlign w:val="center"/>
          </w:tcPr>
          <w:p w14:paraId="6939D6AE">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7E579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exact"/>
          <w:jc w:val="center"/>
        </w:trPr>
        <w:tc>
          <w:tcPr>
            <w:tcW w:w="1485" w:type="dxa"/>
            <w:vAlign w:val="center"/>
          </w:tcPr>
          <w:p w14:paraId="226CB9FC">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关联企业情况</w:t>
            </w:r>
          </w:p>
        </w:tc>
        <w:tc>
          <w:tcPr>
            <w:tcW w:w="7020" w:type="dxa"/>
            <w:gridSpan w:val="8"/>
            <w:vAlign w:val="center"/>
          </w:tcPr>
          <w:p w14:paraId="4F268244">
            <w:pPr>
              <w:pStyle w:val="44"/>
              <w:shd w:val="clear" w:color="auto" w:fill="auto"/>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包括但不限于与投标人存在以下关系的不同单位：</w:t>
            </w:r>
          </w:p>
          <w:p w14:paraId="5B9CC721">
            <w:pPr>
              <w:pStyle w:val="44"/>
              <w:shd w:val="clear" w:color="auto" w:fill="auto"/>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1．法定代表人为同一人的。</w:t>
            </w:r>
          </w:p>
          <w:p w14:paraId="58AB3B5E">
            <w:pPr>
              <w:pStyle w:val="44"/>
              <w:shd w:val="clear" w:color="auto" w:fill="auto"/>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2．存在控股、管理关系的。</w:t>
            </w:r>
          </w:p>
          <w:p w14:paraId="2AA32A0D">
            <w:pPr>
              <w:pStyle w:val="44"/>
              <w:shd w:val="clear" w:color="auto" w:fill="auto"/>
              <w:wordWrap w:val="0"/>
              <w:adjustRightInd w:val="0"/>
              <w:snapToGrid w:val="0"/>
              <w:jc w:val="lef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3．主要人员相互任职的。</w:t>
            </w:r>
          </w:p>
        </w:tc>
      </w:tr>
      <w:tr w14:paraId="121E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jc w:val="center"/>
        </w:trPr>
        <w:tc>
          <w:tcPr>
            <w:tcW w:w="1485" w:type="dxa"/>
            <w:vAlign w:val="center"/>
          </w:tcPr>
          <w:p w14:paraId="4A543EB8">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备注</w:t>
            </w:r>
          </w:p>
        </w:tc>
        <w:tc>
          <w:tcPr>
            <w:tcW w:w="7020" w:type="dxa"/>
            <w:gridSpan w:val="8"/>
            <w:vAlign w:val="center"/>
          </w:tcPr>
          <w:p w14:paraId="13CAE13C">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bl>
    <w:p w14:paraId="5C1D251D">
      <w:pPr>
        <w:pStyle w:val="44"/>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说明：</w:t>
      </w:r>
    </w:p>
    <w:p w14:paraId="278A08E8">
      <w:pPr>
        <w:pStyle w:val="44"/>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1．《投标人基本情况表》后应附以下资料：</w:t>
      </w:r>
    </w:p>
    <w:p w14:paraId="386E2B9D">
      <w:pPr>
        <w:pStyle w:val="44"/>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（1）企业营业执照、资质证书的</w:t>
      </w:r>
      <w:r>
        <w:rPr>
          <w:rFonts w:hint="eastAsia" w:ascii="宋体" w:hAnsi="宋体" w:eastAsia="宋体" w:cs="宋体"/>
          <w:snapToGrid w:val="0"/>
          <w:color w:val="auto"/>
          <w:kern w:val="0"/>
          <w:szCs w:val="21"/>
          <w:highlight w:val="none"/>
          <w:lang w:val="en-US" w:eastAsia="zh-CN"/>
        </w:rPr>
        <w:t>彩色扫描件（因推行电子证照，企业的营业执照、资质证书等可以提供电子证照）</w:t>
      </w:r>
      <w:r>
        <w:rPr>
          <w:rFonts w:hint="eastAsia" w:ascii="宋体" w:hAnsi="宋体" w:eastAsia="宋体" w:cs="宋体"/>
          <w:snapToGrid w:val="0"/>
          <w:color w:val="auto"/>
          <w:kern w:val="0"/>
          <w:szCs w:val="21"/>
          <w:highlight w:val="none"/>
        </w:rPr>
        <w:t>；</w:t>
      </w:r>
    </w:p>
    <w:p w14:paraId="76730C02">
      <w:pPr>
        <w:pStyle w:val="44"/>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highlight w:val="none"/>
        </w:rPr>
        <w:t>“进粤企业和人员诚信信息登记平台”企业信息情况</w:t>
      </w:r>
      <w:r>
        <w:rPr>
          <w:rFonts w:hint="eastAsia" w:ascii="宋体" w:hAnsi="宋体" w:eastAsia="宋体" w:cs="宋体"/>
          <w:snapToGrid w:val="0"/>
          <w:color w:val="auto"/>
          <w:kern w:val="0"/>
          <w:highlight w:val="none"/>
          <w:lang w:val="en-US" w:eastAsia="zh-CN"/>
        </w:rPr>
        <w:t>彩色扫描件</w:t>
      </w:r>
      <w:r>
        <w:rPr>
          <w:rFonts w:hint="eastAsia" w:ascii="宋体" w:hAnsi="宋体" w:eastAsia="宋体" w:cs="宋体"/>
          <w:snapToGrid w:val="0"/>
          <w:color w:val="auto"/>
          <w:kern w:val="0"/>
          <w:highlight w:val="none"/>
        </w:rPr>
        <w:t>。（适用于省外企业）</w:t>
      </w:r>
      <w:r>
        <w:rPr>
          <w:rFonts w:hint="eastAsia" w:ascii="宋体" w:hAnsi="宋体" w:eastAsia="宋体" w:cs="宋体"/>
          <w:snapToGrid w:val="0"/>
          <w:color w:val="auto"/>
          <w:kern w:val="0"/>
          <w:szCs w:val="21"/>
          <w:highlight w:val="none"/>
        </w:rPr>
        <w:t>；</w:t>
      </w:r>
    </w:p>
    <w:p w14:paraId="3CAA3E7F">
      <w:pPr>
        <w:pStyle w:val="44"/>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(3)《</w:t>
      </w:r>
      <w:r>
        <w:rPr>
          <w:rFonts w:hint="eastAsia" w:ascii="宋体" w:hAnsi="宋体" w:eastAsia="宋体" w:cs="宋体"/>
          <w:snapToGrid w:val="0"/>
          <w:color w:val="auto"/>
          <w:kern w:val="0"/>
          <w:szCs w:val="21"/>
          <w:highlight w:val="none"/>
          <w:lang w:eastAsia="zh-CN"/>
        </w:rPr>
        <w:t>法人和非法人组织公共信用信息报告</w:t>
      </w:r>
      <w:r>
        <w:rPr>
          <w:rFonts w:hint="eastAsia" w:ascii="宋体" w:hAnsi="宋体" w:eastAsia="宋体" w:cs="宋体"/>
          <w:snapToGrid w:val="0"/>
          <w:color w:val="auto"/>
          <w:kern w:val="0"/>
          <w:szCs w:val="21"/>
          <w:highlight w:val="none"/>
        </w:rPr>
        <w:t>》(在“信用中国”网站企业查询界面中下载)。</w:t>
      </w:r>
    </w:p>
    <w:p w14:paraId="348CBC1E">
      <w:pPr>
        <w:pStyle w:val="12"/>
        <w:keepNext w:val="0"/>
        <w:keepLines w:val="0"/>
        <w:widowControl w:val="0"/>
        <w:shd w:val="clear" w:color="auto" w:fill="auto"/>
        <w:wordWrap w:val="0"/>
        <w:adjustRightInd w:val="0"/>
        <w:snapToGrid w:val="0"/>
        <w:spacing w:before="0" w:after="0" w:line="440" w:lineRule="exact"/>
        <w:ind w:firstLine="0"/>
        <w:jc w:val="left"/>
        <w:rPr>
          <w:rFonts w:hint="eastAsia" w:ascii="宋体" w:hAnsi="宋体" w:eastAsia="宋体" w:cs="宋体"/>
          <w:b/>
          <w:snapToGrid w:val="0"/>
          <w:color w:val="auto"/>
          <w:highlight w:val="none"/>
        </w:rPr>
      </w:pPr>
      <w:bookmarkStart w:id="496" w:name="_Toc35334265"/>
      <w:r>
        <w:rPr>
          <w:rFonts w:hint="eastAsia" w:ascii="宋体" w:hAnsi="宋体" w:eastAsia="宋体" w:cs="宋体"/>
          <w:b/>
          <w:snapToGrid w:val="0"/>
          <w:color w:val="auto"/>
          <w:highlight w:val="none"/>
        </w:rPr>
        <w:br w:type="page"/>
      </w:r>
      <w:bookmarkStart w:id="497" w:name="_Toc9410"/>
      <w:r>
        <w:rPr>
          <w:rFonts w:hint="eastAsia" w:ascii="宋体" w:hAnsi="宋体" w:eastAsia="宋体" w:cs="宋体"/>
          <w:b/>
          <w:snapToGrid w:val="0"/>
          <w:color w:val="auto"/>
          <w:highlight w:val="none"/>
        </w:rPr>
        <w:t>格式七 总监理工程师任职声明（适用于无任职项目）</w:t>
      </w:r>
      <w:bookmarkEnd w:id="496"/>
      <w:bookmarkEnd w:id="497"/>
    </w:p>
    <w:p w14:paraId="0DB126CC">
      <w:pPr>
        <w:shd w:val="clear" w:color="auto" w:fill="auto"/>
        <w:rPr>
          <w:rFonts w:hint="eastAsia" w:ascii="宋体" w:hAnsi="宋体" w:eastAsia="宋体" w:cs="宋体"/>
          <w:color w:val="auto"/>
          <w:highlight w:val="none"/>
        </w:rPr>
      </w:pPr>
    </w:p>
    <w:p w14:paraId="3A5D3CF3">
      <w:pPr>
        <w:shd w:val="clear" w:color="auto" w:fill="auto"/>
        <w:wordWrap w:val="0"/>
        <w:adjustRightInd w:val="0"/>
        <w:snapToGrid w:val="0"/>
        <w:spacing w:before="260" w:after="260"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b/>
          <w:snapToGrid w:val="0"/>
          <w:color w:val="auto"/>
          <w:kern w:val="0"/>
          <w:sz w:val="30"/>
          <w:highlight w:val="none"/>
        </w:rPr>
        <w:t>总监理工程师任职声明</w:t>
      </w:r>
    </w:p>
    <w:p w14:paraId="0029BB70">
      <w:pPr>
        <w:shd w:val="clear" w:color="auto" w:fill="auto"/>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14506097">
      <w:pPr>
        <w:shd w:val="clear" w:color="auto" w:fill="auto"/>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（招标人名称）：</w:t>
      </w:r>
    </w:p>
    <w:p w14:paraId="6BC9FF5C">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我方在此声明，我方拟派往</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szCs w:val="24"/>
          <w:highlight w:val="none"/>
          <w:u w:val="single"/>
        </w:rPr>
        <w:t xml:space="preserve">     （项目名称）</w:t>
      </w:r>
      <w:r>
        <w:rPr>
          <w:rFonts w:hint="eastAsia" w:ascii="宋体" w:hAnsi="宋体" w:eastAsia="宋体" w:cs="宋体"/>
          <w:snapToGrid w:val="0"/>
          <w:color w:val="auto"/>
          <w:szCs w:val="24"/>
          <w:highlight w:val="none"/>
          <w:u w:val="single"/>
          <w:lang w:val="en-US" w:eastAsia="zh-CN"/>
        </w:rPr>
        <w:t xml:space="preserve">     </w:t>
      </w:r>
      <w:r>
        <w:rPr>
          <w:rFonts w:hint="eastAsia" w:ascii="宋体" w:hAnsi="宋体" w:eastAsia="宋体" w:cs="宋体"/>
          <w:snapToGrid w:val="0"/>
          <w:color w:val="auto"/>
          <w:kern w:val="0"/>
          <w:szCs w:val="28"/>
          <w:highlight w:val="none"/>
        </w:rPr>
        <w:t>（以下简称“本工程”）的总监理工程师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（总监理工程师姓名）现阶段未担任任何在施（包括已中标未开工、已开工未竣工）建设工程项目的总监理工程师。</w:t>
      </w:r>
    </w:p>
    <w:p w14:paraId="26C921F6">
      <w:pPr>
        <w:shd w:val="clear" w:color="auto" w:fill="auto"/>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我方保证上述信息的真实和准确，并愿意承担因我方就此弄虚作假所引起的一切法律后果。</w:t>
      </w:r>
    </w:p>
    <w:p w14:paraId="7B3B03EB">
      <w:pPr>
        <w:shd w:val="clear" w:color="auto" w:fill="auto"/>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3A68BB6D">
      <w:pPr>
        <w:shd w:val="clear" w:color="auto" w:fill="auto"/>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特此承诺　　</w:t>
      </w:r>
    </w:p>
    <w:p w14:paraId="3006CB26">
      <w:pPr>
        <w:shd w:val="clear" w:color="auto" w:fill="auto"/>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11376883">
      <w:pPr>
        <w:shd w:val="clear" w:color="auto" w:fill="auto"/>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33910D7E">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投标人：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（盖单位章）</w:t>
      </w:r>
    </w:p>
    <w:p w14:paraId="529D0EA8">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2F5DC9C9">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7F71E522">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法定代表人或其委托代理人：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（签字或盖章）</w:t>
      </w:r>
    </w:p>
    <w:p w14:paraId="3A802062">
      <w:pPr>
        <w:pStyle w:val="40"/>
        <w:shd w:val="clear" w:color="auto" w:fill="auto"/>
        <w:rPr>
          <w:rFonts w:hint="eastAsia" w:ascii="宋体" w:hAnsi="宋体" w:eastAsia="宋体" w:cs="宋体"/>
          <w:color w:val="auto"/>
          <w:highlight w:val="none"/>
        </w:rPr>
      </w:pPr>
    </w:p>
    <w:p w14:paraId="7C37E2C8">
      <w:pPr>
        <w:pStyle w:val="40"/>
        <w:shd w:val="clear" w:color="auto" w:fill="auto"/>
        <w:rPr>
          <w:rFonts w:hint="eastAsia" w:ascii="宋体" w:hAnsi="宋体" w:eastAsia="宋体" w:cs="宋体"/>
          <w:color w:val="auto"/>
          <w:highlight w:val="none"/>
        </w:rPr>
      </w:pPr>
      <w:r>
        <w:rPr>
          <w:rFonts w:hint="eastAsia" w:ascii="宋体" w:hAnsi="宋体" w:eastAsia="宋体" w:cs="宋体"/>
          <w:b w:val="0"/>
          <w:snapToGrid w:val="0"/>
          <w:color w:val="auto"/>
          <w:kern w:val="0"/>
          <w:szCs w:val="28"/>
          <w:highlight w:val="none"/>
        </w:rPr>
        <w:t xml:space="preserve">        </w:t>
      </w:r>
    </w:p>
    <w:p w14:paraId="479A2A5C">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02907985">
      <w:pPr>
        <w:shd w:val="clear" w:color="auto" w:fill="auto"/>
        <w:wordWrap w:val="0"/>
        <w:adjustRightInd w:val="0"/>
        <w:snapToGrid w:val="0"/>
        <w:spacing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xml:space="preserve">                            </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日</w:t>
      </w:r>
    </w:p>
    <w:p w14:paraId="48D6675C">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sectPr>
          <w:endnotePr>
            <w:numFmt w:val="decimal"/>
          </w:endnotePr>
          <w:pgSz w:w="11906" w:h="16838"/>
          <w:pgMar w:top="1701" w:right="1531" w:bottom="1417" w:left="1531" w:header="850" w:footer="992" w:gutter="0"/>
          <w:cols w:space="720" w:num="1"/>
          <w:docGrid w:linePitch="327" w:charSpace="0"/>
        </w:sectPr>
      </w:pPr>
    </w:p>
    <w:p w14:paraId="77D255B4">
      <w:pPr>
        <w:pStyle w:val="12"/>
        <w:keepNext w:val="0"/>
        <w:keepLines w:val="0"/>
        <w:widowControl w:val="0"/>
        <w:shd w:val="clear" w:color="auto" w:fill="auto"/>
        <w:wordWrap w:val="0"/>
        <w:adjustRightInd w:val="0"/>
        <w:snapToGrid w:val="0"/>
        <w:spacing w:before="0" w:after="0" w:line="440" w:lineRule="exact"/>
        <w:ind w:firstLine="0"/>
        <w:jc w:val="left"/>
        <w:rPr>
          <w:rFonts w:hint="eastAsia" w:ascii="宋体" w:hAnsi="宋体" w:eastAsia="宋体" w:cs="宋体"/>
          <w:b/>
          <w:snapToGrid w:val="0"/>
          <w:color w:val="auto"/>
          <w:highlight w:val="none"/>
        </w:rPr>
      </w:pPr>
      <w:bookmarkStart w:id="498" w:name="_Toc35334266"/>
      <w:bookmarkStart w:id="499" w:name="_Toc15795"/>
      <w:r>
        <w:rPr>
          <w:rFonts w:hint="eastAsia" w:ascii="宋体" w:hAnsi="宋体" w:eastAsia="宋体" w:cs="宋体"/>
          <w:b/>
          <w:snapToGrid w:val="0"/>
          <w:color w:val="auto"/>
          <w:highlight w:val="none"/>
        </w:rPr>
        <w:t>格式八 总监理工程师任职声明（适用于有任职项目）</w:t>
      </w:r>
      <w:bookmarkEnd w:id="498"/>
      <w:bookmarkEnd w:id="499"/>
    </w:p>
    <w:p w14:paraId="2BD9727D">
      <w:pPr>
        <w:shd w:val="clear" w:color="auto" w:fill="auto"/>
        <w:rPr>
          <w:rFonts w:hint="eastAsia" w:ascii="宋体" w:hAnsi="宋体" w:eastAsia="宋体" w:cs="宋体"/>
          <w:color w:val="auto"/>
          <w:highlight w:val="none"/>
        </w:rPr>
      </w:pPr>
    </w:p>
    <w:p w14:paraId="48E0D085">
      <w:pPr>
        <w:shd w:val="clear" w:color="auto" w:fill="auto"/>
        <w:wordWrap w:val="0"/>
        <w:adjustRightInd w:val="0"/>
        <w:snapToGrid w:val="0"/>
        <w:spacing w:before="260" w:after="260"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b/>
          <w:snapToGrid w:val="0"/>
          <w:color w:val="auto"/>
          <w:kern w:val="0"/>
          <w:sz w:val="30"/>
          <w:highlight w:val="none"/>
        </w:rPr>
        <w:t>总监理工程师任职声明</w:t>
      </w:r>
    </w:p>
    <w:p w14:paraId="7C23FE02">
      <w:pPr>
        <w:shd w:val="clear" w:color="auto" w:fill="auto"/>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3AD2A8A5">
      <w:pPr>
        <w:shd w:val="clear" w:color="auto" w:fill="auto"/>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（招标人名称）：</w:t>
      </w:r>
    </w:p>
    <w:p w14:paraId="53615C43">
      <w:pPr>
        <w:shd w:val="clear" w:color="auto" w:fill="auto"/>
        <w:wordWrap w:val="0"/>
        <w:adjustRightInd w:val="0"/>
        <w:snapToGrid w:val="0"/>
        <w:spacing w:line="440" w:lineRule="exact"/>
        <w:ind w:firstLine="480" w:firstLineChars="20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我方在此声明，我方拟派往</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szCs w:val="24"/>
          <w:highlight w:val="none"/>
          <w:u w:val="single"/>
        </w:rPr>
        <w:t xml:space="preserve">     </w:t>
      </w:r>
      <w:r>
        <w:rPr>
          <w:rFonts w:hint="eastAsia" w:ascii="宋体" w:hAnsi="宋体" w:eastAsia="宋体" w:cs="宋体"/>
          <w:snapToGrid w:val="0"/>
          <w:color w:val="auto"/>
          <w:szCs w:val="24"/>
          <w:highlight w:val="none"/>
        </w:rPr>
        <w:t>（项目名称）</w:t>
      </w:r>
      <w:r>
        <w:rPr>
          <w:rFonts w:hint="eastAsia" w:ascii="宋体" w:hAnsi="宋体" w:eastAsia="宋体" w:cs="宋体"/>
          <w:snapToGrid w:val="0"/>
          <w:color w:val="auto"/>
          <w:kern w:val="0"/>
          <w:szCs w:val="28"/>
          <w:highlight w:val="none"/>
        </w:rPr>
        <w:t>的总监理工程师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（总监理工程师姓名）现阶段正在担任</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个在施（包括已中标未开工、已开工未竣工）建设工程项目的总监理工程师，具体情况详见《总监理工程师任职项目情况表》。</w:t>
      </w:r>
    </w:p>
    <w:p w14:paraId="513030B2">
      <w:pPr>
        <w:shd w:val="clear" w:color="auto" w:fill="auto"/>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我方保证上述信息的真实和准确，并愿意承担因我方就此弄虚作假所引起的一切法律后果。</w:t>
      </w:r>
    </w:p>
    <w:p w14:paraId="6C205522">
      <w:pPr>
        <w:shd w:val="clear" w:color="auto" w:fill="auto"/>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3BF84002">
      <w:pPr>
        <w:shd w:val="clear" w:color="auto" w:fill="auto"/>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特此承诺</w:t>
      </w:r>
    </w:p>
    <w:p w14:paraId="53791630">
      <w:pPr>
        <w:shd w:val="clear" w:color="auto" w:fill="auto"/>
        <w:wordWrap w:val="0"/>
        <w:adjustRightInd w:val="0"/>
        <w:snapToGrid w:val="0"/>
        <w:spacing w:line="440" w:lineRule="exact"/>
        <w:ind w:firstLine="480"/>
        <w:rPr>
          <w:rFonts w:hint="eastAsia" w:ascii="宋体" w:hAnsi="宋体" w:eastAsia="宋体" w:cs="宋体"/>
          <w:snapToGrid w:val="0"/>
          <w:color w:val="auto"/>
          <w:kern w:val="0"/>
          <w:szCs w:val="28"/>
          <w:highlight w:val="none"/>
        </w:rPr>
      </w:pPr>
    </w:p>
    <w:p w14:paraId="25561829">
      <w:pPr>
        <w:shd w:val="clear" w:color="auto" w:fill="auto"/>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1570493A">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投标人：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（盖单位章）</w:t>
      </w:r>
    </w:p>
    <w:p w14:paraId="44D23771">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1B755B2E">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386B4AEA">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法定代表人或其委托代理人：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（签字或盖章）</w:t>
      </w:r>
    </w:p>
    <w:p w14:paraId="0D67F009">
      <w:pPr>
        <w:pStyle w:val="40"/>
        <w:shd w:val="clear" w:color="auto" w:fill="auto"/>
        <w:rPr>
          <w:rFonts w:hint="eastAsia" w:ascii="宋体" w:hAnsi="宋体" w:eastAsia="宋体" w:cs="宋体"/>
          <w:b w:val="0"/>
          <w:color w:val="auto"/>
          <w:highlight w:val="none"/>
        </w:rPr>
      </w:pPr>
    </w:p>
    <w:p w14:paraId="38801FF3">
      <w:pPr>
        <w:pStyle w:val="40"/>
        <w:shd w:val="clear" w:color="auto" w:fill="auto"/>
        <w:rPr>
          <w:rFonts w:hint="eastAsia" w:ascii="宋体" w:hAnsi="宋体" w:eastAsia="宋体" w:cs="宋体"/>
          <w:b w:val="0"/>
          <w:color w:val="auto"/>
          <w:highlight w:val="none"/>
        </w:rPr>
      </w:pPr>
      <w:r>
        <w:rPr>
          <w:rFonts w:hint="eastAsia" w:ascii="宋体" w:hAnsi="宋体" w:eastAsia="宋体" w:cs="宋体"/>
          <w:b w:val="0"/>
          <w:snapToGrid w:val="0"/>
          <w:color w:val="auto"/>
          <w:kern w:val="0"/>
          <w:szCs w:val="28"/>
          <w:highlight w:val="none"/>
        </w:rPr>
        <w:t xml:space="preserve">                       </w:t>
      </w:r>
    </w:p>
    <w:p w14:paraId="554B8B9F">
      <w:pPr>
        <w:shd w:val="clear" w:color="auto" w:fill="auto"/>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4E5F6CB1">
      <w:pPr>
        <w:shd w:val="clear" w:color="auto" w:fill="auto"/>
        <w:wordWrap w:val="0"/>
        <w:adjustRightInd w:val="0"/>
        <w:snapToGrid w:val="0"/>
        <w:spacing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xml:space="preserve">                            </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日</w:t>
      </w:r>
    </w:p>
    <w:p w14:paraId="735ACE91">
      <w:pPr>
        <w:shd w:val="clear" w:color="auto" w:fill="auto"/>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3B1E547B">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sectPr>
          <w:endnotePr>
            <w:numFmt w:val="decimal"/>
          </w:endnotePr>
          <w:pgSz w:w="11906" w:h="16838"/>
          <w:pgMar w:top="1701" w:right="1531" w:bottom="1417" w:left="1531" w:header="850" w:footer="992" w:gutter="0"/>
          <w:cols w:space="720" w:num="1"/>
          <w:docGrid w:linePitch="327" w:charSpace="0"/>
        </w:sectPr>
      </w:pPr>
    </w:p>
    <w:p w14:paraId="4578FC9A">
      <w:pPr>
        <w:pStyle w:val="12"/>
        <w:keepNext w:val="0"/>
        <w:keepLines w:val="0"/>
        <w:widowControl w:val="0"/>
        <w:shd w:val="clear" w:color="auto" w:fill="auto"/>
        <w:wordWrap w:val="0"/>
        <w:adjustRightInd w:val="0"/>
        <w:snapToGrid w:val="0"/>
        <w:spacing w:before="0" w:after="0" w:line="440" w:lineRule="exact"/>
        <w:ind w:firstLine="0"/>
        <w:jc w:val="left"/>
        <w:rPr>
          <w:rFonts w:hint="eastAsia" w:ascii="宋体" w:hAnsi="宋体" w:eastAsia="宋体" w:cs="宋体"/>
          <w:b/>
          <w:snapToGrid w:val="0"/>
          <w:color w:val="auto"/>
          <w:highlight w:val="none"/>
        </w:rPr>
      </w:pPr>
      <w:bookmarkStart w:id="500" w:name="_Toc14806"/>
      <w:bookmarkStart w:id="501" w:name="_Toc35334267"/>
      <w:r>
        <w:rPr>
          <w:rFonts w:hint="eastAsia" w:ascii="宋体" w:hAnsi="宋体" w:eastAsia="宋体" w:cs="宋体"/>
          <w:b/>
          <w:snapToGrid w:val="0"/>
          <w:color w:val="auto"/>
          <w:highlight w:val="none"/>
        </w:rPr>
        <w:t>格式九 总监理工程师任职项目情况表</w:t>
      </w:r>
      <w:bookmarkEnd w:id="500"/>
      <w:bookmarkEnd w:id="501"/>
    </w:p>
    <w:p w14:paraId="25880276">
      <w:pPr>
        <w:shd w:val="clear" w:color="auto" w:fill="auto"/>
        <w:rPr>
          <w:rFonts w:hint="eastAsia" w:ascii="宋体" w:hAnsi="宋体" w:eastAsia="宋体" w:cs="宋体"/>
          <w:color w:val="auto"/>
          <w:highlight w:val="none"/>
        </w:rPr>
      </w:pPr>
    </w:p>
    <w:p w14:paraId="4F8FE864">
      <w:pPr>
        <w:pStyle w:val="57"/>
        <w:widowControl w:val="0"/>
        <w:shd w:val="clear" w:color="auto" w:fill="auto"/>
        <w:wordWrap w:val="0"/>
        <w:adjustRightInd w:val="0"/>
        <w:snapToGrid w:val="0"/>
        <w:spacing w:before="260" w:after="260" w:line="400" w:lineRule="exact"/>
        <w:ind w:firstLine="0"/>
        <w:jc w:val="center"/>
        <w:rPr>
          <w:rFonts w:hint="eastAsia" w:ascii="宋体" w:hAnsi="宋体" w:eastAsia="宋体" w:cs="宋体"/>
          <w:snapToGrid w:val="0"/>
          <w:color w:val="auto"/>
          <w:sz w:val="24"/>
          <w:highlight w:val="none"/>
        </w:rPr>
      </w:pPr>
      <w:r>
        <w:rPr>
          <w:rFonts w:hint="eastAsia" w:ascii="宋体" w:hAnsi="宋体" w:eastAsia="宋体" w:cs="宋体"/>
          <w:b/>
          <w:snapToGrid w:val="0"/>
          <w:color w:val="auto"/>
          <w:sz w:val="30"/>
          <w:highlight w:val="none"/>
        </w:rPr>
        <w:t xml:space="preserve"> 总监理工程师任职项目情况表（）</w:t>
      </w:r>
    </w:p>
    <w:tbl>
      <w:tblPr>
        <w:tblStyle w:val="3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06CE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117206C6">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项目名称</w:t>
            </w:r>
          </w:p>
        </w:tc>
        <w:tc>
          <w:tcPr>
            <w:tcW w:w="2771" w:type="dxa"/>
            <w:vAlign w:val="center"/>
          </w:tcPr>
          <w:p w14:paraId="75A39AC7">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71D34669">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项目所在地</w:t>
            </w:r>
          </w:p>
        </w:tc>
        <w:tc>
          <w:tcPr>
            <w:tcW w:w="2594" w:type="dxa"/>
            <w:vAlign w:val="center"/>
          </w:tcPr>
          <w:p w14:paraId="69ED3ABC">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33A2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6654DCFC">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委托人名称</w:t>
            </w:r>
          </w:p>
        </w:tc>
        <w:tc>
          <w:tcPr>
            <w:tcW w:w="2771" w:type="dxa"/>
            <w:vAlign w:val="center"/>
          </w:tcPr>
          <w:p w14:paraId="0B08E57B">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6366F376">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委托人地址</w:t>
            </w:r>
          </w:p>
        </w:tc>
        <w:tc>
          <w:tcPr>
            <w:tcW w:w="2594" w:type="dxa"/>
            <w:vAlign w:val="center"/>
          </w:tcPr>
          <w:p w14:paraId="1ADAA3C6">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305A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40E0B348">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委托人电话</w:t>
            </w:r>
          </w:p>
        </w:tc>
        <w:tc>
          <w:tcPr>
            <w:tcW w:w="2771" w:type="dxa"/>
            <w:vAlign w:val="center"/>
          </w:tcPr>
          <w:p w14:paraId="5A61526E">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492AA938">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总监理工程师</w:t>
            </w:r>
          </w:p>
        </w:tc>
        <w:tc>
          <w:tcPr>
            <w:tcW w:w="2594" w:type="dxa"/>
            <w:vAlign w:val="center"/>
          </w:tcPr>
          <w:p w14:paraId="4265BCBF">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011E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712D68F2">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监理服务期限</w:t>
            </w:r>
          </w:p>
        </w:tc>
        <w:tc>
          <w:tcPr>
            <w:tcW w:w="2771" w:type="dxa"/>
            <w:vAlign w:val="center"/>
          </w:tcPr>
          <w:p w14:paraId="64DA816F">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3F7912C1">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监理内容</w:t>
            </w:r>
          </w:p>
        </w:tc>
        <w:tc>
          <w:tcPr>
            <w:tcW w:w="2594" w:type="dxa"/>
            <w:vAlign w:val="center"/>
          </w:tcPr>
          <w:p w14:paraId="13709B26">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p>
        </w:tc>
      </w:tr>
      <w:tr w14:paraId="5F39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47002981">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项目描述</w:t>
            </w:r>
          </w:p>
        </w:tc>
        <w:tc>
          <w:tcPr>
            <w:tcW w:w="7000" w:type="dxa"/>
            <w:gridSpan w:val="3"/>
            <w:vAlign w:val="center"/>
          </w:tcPr>
          <w:p w14:paraId="306AE213">
            <w:pPr>
              <w:pStyle w:val="44"/>
              <w:shd w:val="clear" w:color="auto" w:fill="auto"/>
              <w:wordWrap w:val="0"/>
              <w:adjustRightInd w:val="0"/>
              <w:snapToGrid w:val="0"/>
              <w:jc w:val="left"/>
              <w:rPr>
                <w:rFonts w:hint="eastAsia" w:ascii="宋体" w:hAnsi="宋体" w:eastAsia="宋体" w:cs="宋体"/>
                <w:snapToGrid w:val="0"/>
                <w:color w:val="auto"/>
                <w:kern w:val="0"/>
                <w:szCs w:val="21"/>
                <w:highlight w:val="none"/>
              </w:rPr>
            </w:pPr>
          </w:p>
        </w:tc>
      </w:tr>
      <w:tr w14:paraId="1215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0F1B9C3B">
            <w:pPr>
              <w:pStyle w:val="44"/>
              <w:shd w:val="clear" w:color="auto" w:fill="auto"/>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委托人声明</w:t>
            </w:r>
          </w:p>
        </w:tc>
        <w:tc>
          <w:tcPr>
            <w:tcW w:w="7000" w:type="dxa"/>
            <w:gridSpan w:val="3"/>
            <w:vAlign w:val="center"/>
          </w:tcPr>
          <w:p w14:paraId="5B878D12">
            <w:pPr>
              <w:pStyle w:val="44"/>
              <w:shd w:val="clear" w:color="auto" w:fill="auto"/>
              <w:adjustRightInd w:val="0"/>
              <w:snapToGrid w:val="0"/>
              <w:spacing w:line="360" w:lineRule="auto"/>
              <w:rPr>
                <w:rFonts w:hint="eastAsia" w:ascii="宋体" w:hAnsi="宋体" w:eastAsia="宋体" w:cs="宋体"/>
                <w:snapToGrid w:val="0"/>
                <w:color w:val="auto"/>
                <w:kern w:val="0"/>
                <w:szCs w:val="21"/>
                <w:highlight w:val="none"/>
              </w:rPr>
            </w:pPr>
          </w:p>
          <w:p w14:paraId="71D1F381">
            <w:pPr>
              <w:pStyle w:val="44"/>
              <w:shd w:val="clear" w:color="auto" w:fill="auto"/>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致：</w:t>
            </w:r>
            <w:r>
              <w:rPr>
                <w:rFonts w:hint="eastAsia" w:ascii="宋体" w:hAnsi="宋体" w:eastAsia="宋体" w:cs="宋体"/>
                <w:snapToGrid w:val="0"/>
                <w:color w:val="auto"/>
                <w:kern w:val="0"/>
                <w:szCs w:val="21"/>
                <w:highlight w:val="none"/>
                <w:u w:val="single"/>
              </w:rPr>
              <w:t>（本招标项目招标人名称）</w:t>
            </w:r>
          </w:p>
          <w:p w14:paraId="29B19227">
            <w:pPr>
              <w:pStyle w:val="44"/>
              <w:shd w:val="clear" w:color="auto" w:fill="auto"/>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我方在此声明：</w:t>
            </w:r>
          </w:p>
          <w:p w14:paraId="3D0F8B46">
            <w:pPr>
              <w:pStyle w:val="44"/>
              <w:shd w:val="clear" w:color="auto" w:fill="auto"/>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一、在</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同志任我方在施项目总监理工程师期间，如果</w:t>
            </w:r>
            <w:r>
              <w:rPr>
                <w:rFonts w:hint="eastAsia" w:ascii="宋体" w:hAnsi="宋体" w:eastAsia="宋体" w:cs="宋体"/>
                <w:snapToGrid w:val="0"/>
                <w:color w:val="auto"/>
                <w:kern w:val="0"/>
                <w:szCs w:val="21"/>
                <w:highlight w:val="none"/>
                <w:u w:val="single"/>
              </w:rPr>
              <w:t xml:space="preserve"> （投标人名称） </w:t>
            </w:r>
            <w:r>
              <w:rPr>
                <w:rFonts w:hint="eastAsia" w:ascii="宋体" w:hAnsi="宋体" w:eastAsia="宋体" w:cs="宋体"/>
                <w:snapToGrid w:val="0"/>
                <w:color w:val="auto"/>
                <w:kern w:val="0"/>
                <w:szCs w:val="21"/>
                <w:highlight w:val="none"/>
              </w:rPr>
              <w:t>中标你方招标项目监理业务，在</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同志目前担任总监理工程师职务的项目总数不超过两个（含我方在施项目）的前提下，我方同意其同时担任你方招标项目的总监理工程师；如果未中标，以上声明自动失效。</w:t>
            </w:r>
          </w:p>
          <w:p w14:paraId="0160985A">
            <w:pPr>
              <w:pStyle w:val="44"/>
              <w:shd w:val="clear" w:color="auto" w:fill="auto"/>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二、无论</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同志是否担任其他建设项目的总监理工程师，</w:t>
            </w:r>
            <w:r>
              <w:rPr>
                <w:rFonts w:hint="eastAsia" w:ascii="宋体" w:hAnsi="宋体" w:eastAsia="宋体" w:cs="宋体"/>
                <w:snapToGrid w:val="0"/>
                <w:color w:val="auto"/>
                <w:kern w:val="0"/>
                <w:szCs w:val="21"/>
                <w:highlight w:val="none"/>
                <w:u w:val="single"/>
              </w:rPr>
              <w:t xml:space="preserve"> （投标人名称） </w:t>
            </w:r>
            <w:r>
              <w:rPr>
                <w:rFonts w:hint="eastAsia" w:ascii="宋体" w:hAnsi="宋体" w:eastAsia="宋体" w:cs="宋体"/>
                <w:snapToGrid w:val="0"/>
                <w:color w:val="auto"/>
                <w:kern w:val="0"/>
                <w:szCs w:val="21"/>
                <w:highlight w:val="none"/>
              </w:rPr>
              <w:t>都必须完全、严格履行我方在施项目监理合同中约定的所有义务，并确保服务内容、服务质量不得有任何减少或降低。</w:t>
            </w:r>
          </w:p>
          <w:p w14:paraId="3B3B2C70">
            <w:pPr>
              <w:pStyle w:val="44"/>
              <w:shd w:val="clear" w:color="auto" w:fill="auto"/>
              <w:adjustRightInd w:val="0"/>
              <w:snapToGrid w:val="0"/>
              <w:spacing w:line="360" w:lineRule="auto"/>
              <w:rPr>
                <w:rFonts w:hint="eastAsia" w:ascii="宋体" w:hAnsi="宋体" w:eastAsia="宋体" w:cs="宋体"/>
                <w:snapToGrid w:val="0"/>
                <w:color w:val="auto"/>
                <w:kern w:val="0"/>
                <w:szCs w:val="21"/>
                <w:highlight w:val="none"/>
              </w:rPr>
            </w:pPr>
          </w:p>
          <w:p w14:paraId="6B4C9495">
            <w:pPr>
              <w:pStyle w:val="44"/>
              <w:shd w:val="clear" w:color="auto" w:fill="auto"/>
              <w:adjustRightInd w:val="0"/>
              <w:snapToGrid w:val="0"/>
              <w:spacing w:line="360" w:lineRule="auto"/>
              <w:rPr>
                <w:rFonts w:hint="eastAsia" w:ascii="宋体" w:hAnsi="宋体" w:eastAsia="宋体" w:cs="宋体"/>
                <w:snapToGrid w:val="0"/>
                <w:color w:val="auto"/>
                <w:kern w:val="0"/>
                <w:szCs w:val="21"/>
                <w:highlight w:val="none"/>
              </w:rPr>
            </w:pPr>
          </w:p>
          <w:p w14:paraId="6154A152">
            <w:pPr>
              <w:pStyle w:val="44"/>
              <w:shd w:val="clear" w:color="auto" w:fill="auto"/>
              <w:adjustRightInd w:val="0"/>
              <w:snapToGrid w:val="0"/>
              <w:spacing w:line="360" w:lineRule="auto"/>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建设单位名称：</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73275345">
            <w:pPr>
              <w:pStyle w:val="44"/>
              <w:shd w:val="clear" w:color="auto" w:fill="auto"/>
              <w:adjustRightInd w:val="0"/>
              <w:snapToGrid w:val="0"/>
              <w:spacing w:line="360" w:lineRule="auto"/>
              <w:jc w:val="right"/>
              <w:rPr>
                <w:rFonts w:hint="eastAsia" w:ascii="宋体" w:hAnsi="宋体" w:eastAsia="宋体" w:cs="宋体"/>
                <w:snapToGrid w:val="0"/>
                <w:color w:val="auto"/>
                <w:kern w:val="0"/>
                <w:szCs w:val="21"/>
                <w:highlight w:val="none"/>
              </w:rPr>
            </w:pPr>
          </w:p>
          <w:p w14:paraId="3DFE740B">
            <w:pPr>
              <w:pStyle w:val="44"/>
              <w:shd w:val="clear" w:color="auto" w:fill="auto"/>
              <w:adjustRightInd w:val="0"/>
              <w:snapToGrid w:val="0"/>
              <w:spacing w:line="360" w:lineRule="auto"/>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年    月    日</w:t>
            </w:r>
          </w:p>
        </w:tc>
      </w:tr>
    </w:tbl>
    <w:p w14:paraId="32D74323">
      <w:pPr>
        <w:pStyle w:val="44"/>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说明：</w:t>
      </w:r>
    </w:p>
    <w:p w14:paraId="56257D61">
      <w:pPr>
        <w:pStyle w:val="44"/>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w:t>
      </w:r>
      <w:r>
        <w:rPr>
          <w:rFonts w:hint="eastAsia" w:ascii="宋体" w:hAnsi="宋体" w:eastAsia="宋体" w:cs="宋体"/>
          <w:snapToGrid w:val="0"/>
          <w:color w:val="auto"/>
          <w:kern w:val="0"/>
          <w:szCs w:val="28"/>
          <w:highlight w:val="none"/>
        </w:rPr>
        <w:t>．</w:t>
      </w:r>
      <w:r>
        <w:rPr>
          <w:rFonts w:hint="eastAsia" w:ascii="宋体" w:hAnsi="宋体" w:eastAsia="宋体" w:cs="宋体"/>
          <w:snapToGrid w:val="0"/>
          <w:color w:val="auto"/>
          <w:kern w:val="0"/>
          <w:szCs w:val="21"/>
          <w:highlight w:val="none"/>
        </w:rPr>
        <w:t>“任职项目”指拟派总监理工程师正在担任总监理工程师职务的在施（包括已中标未开工、已开工未竣工）建设工程项目。任职项目多于一宗的，一项目一表，并标明序号。</w:t>
      </w:r>
    </w:p>
    <w:p w14:paraId="0606CC23">
      <w:pPr>
        <w:pStyle w:val="44"/>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szCs w:val="28"/>
          <w:highlight w:val="none"/>
        </w:rPr>
        <w:t>．</w:t>
      </w:r>
      <w:r>
        <w:rPr>
          <w:rFonts w:hint="eastAsia" w:ascii="宋体" w:hAnsi="宋体" w:eastAsia="宋体" w:cs="宋体"/>
          <w:snapToGrid w:val="0"/>
          <w:color w:val="auto"/>
          <w:kern w:val="0"/>
          <w:szCs w:val="21"/>
          <w:highlight w:val="none"/>
        </w:rPr>
        <w:t>每份情况表后应附该项目的合同协议书</w:t>
      </w:r>
      <w:r>
        <w:rPr>
          <w:rFonts w:hint="eastAsia" w:ascii="宋体" w:hAnsi="宋体" w:eastAsia="宋体" w:cs="宋体"/>
          <w:snapToGrid w:val="0"/>
          <w:color w:val="auto"/>
          <w:kern w:val="0"/>
          <w:szCs w:val="21"/>
          <w:highlight w:val="none"/>
          <w:lang w:val="en-US" w:eastAsia="zh-CN"/>
        </w:rPr>
        <w:t>彩色扫描件</w:t>
      </w:r>
      <w:r>
        <w:rPr>
          <w:rFonts w:hint="eastAsia" w:ascii="宋体" w:hAnsi="宋体" w:eastAsia="宋体" w:cs="宋体"/>
          <w:snapToGrid w:val="0"/>
          <w:color w:val="auto"/>
          <w:kern w:val="0"/>
          <w:szCs w:val="21"/>
          <w:highlight w:val="none"/>
        </w:rPr>
        <w:t>。</w:t>
      </w:r>
    </w:p>
    <w:p w14:paraId="54A5CB9F">
      <w:pPr>
        <w:pStyle w:val="44"/>
        <w:shd w:val="clear" w:color="auto" w:fill="auto"/>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3</w:t>
      </w:r>
      <w:r>
        <w:rPr>
          <w:rFonts w:hint="eastAsia" w:ascii="宋体" w:hAnsi="宋体" w:eastAsia="宋体" w:cs="宋体"/>
          <w:snapToGrid w:val="0"/>
          <w:color w:val="auto"/>
          <w:kern w:val="0"/>
          <w:szCs w:val="28"/>
          <w:highlight w:val="none"/>
        </w:rPr>
        <w:t>．投标人填写本</w:t>
      </w:r>
      <w:r>
        <w:rPr>
          <w:rFonts w:hint="eastAsia" w:ascii="宋体" w:hAnsi="宋体" w:eastAsia="宋体" w:cs="宋体"/>
          <w:snapToGrid w:val="0"/>
          <w:color w:val="auto"/>
          <w:kern w:val="0"/>
          <w:szCs w:val="21"/>
          <w:highlight w:val="none"/>
        </w:rPr>
        <w:t>表后交任职项目建设单位审核同意后盖章。任职项目建设单位另行出具书面同意意见的，投标人应将该书面意见附在本表后，同时在“委托人声明”栏目注明“另附”即可。</w:t>
      </w:r>
    </w:p>
    <w:p w14:paraId="5DE99DE6">
      <w:pPr>
        <w:pStyle w:val="57"/>
        <w:widowControl w:val="0"/>
        <w:shd w:val="clear" w:color="auto" w:fill="auto"/>
        <w:wordWrap w:val="0"/>
        <w:adjustRightInd w:val="0"/>
        <w:snapToGrid w:val="0"/>
        <w:spacing w:line="400" w:lineRule="exact"/>
        <w:jc w:val="center"/>
        <w:rPr>
          <w:rFonts w:hint="eastAsia" w:ascii="宋体" w:hAnsi="宋体" w:eastAsia="宋体" w:cs="宋体"/>
          <w:snapToGrid w:val="0"/>
          <w:color w:val="auto"/>
          <w:sz w:val="21"/>
          <w:szCs w:val="21"/>
          <w:highlight w:val="none"/>
        </w:rPr>
        <w:sectPr>
          <w:endnotePr>
            <w:numFmt w:val="decimal"/>
          </w:endnotePr>
          <w:pgSz w:w="11906" w:h="16838"/>
          <w:pgMar w:top="1701" w:right="1531" w:bottom="1417" w:left="1531" w:header="850" w:footer="992" w:gutter="0"/>
          <w:cols w:space="720" w:num="1"/>
          <w:rtlGutter w:val="0"/>
          <w:docGrid w:linePitch="327" w:charSpace="0"/>
        </w:sectPr>
      </w:pPr>
    </w:p>
    <w:p w14:paraId="510CF245">
      <w:pPr>
        <w:pStyle w:val="12"/>
        <w:keepNext w:val="0"/>
        <w:keepLines w:val="0"/>
        <w:widowControl w:val="0"/>
        <w:shd w:val="clear" w:color="auto" w:fill="auto"/>
        <w:wordWrap w:val="0"/>
        <w:adjustRightInd w:val="0"/>
        <w:snapToGrid w:val="0"/>
        <w:spacing w:before="0" w:after="0" w:line="440" w:lineRule="exact"/>
        <w:ind w:firstLine="0"/>
        <w:jc w:val="left"/>
        <w:rPr>
          <w:rFonts w:hint="eastAsia" w:ascii="宋体" w:hAnsi="宋体" w:eastAsia="宋体" w:cs="宋体"/>
          <w:b/>
          <w:snapToGrid w:val="0"/>
          <w:color w:val="auto"/>
          <w:highlight w:val="none"/>
        </w:rPr>
      </w:pPr>
      <w:bookmarkStart w:id="502" w:name="_Toc30576"/>
      <w:bookmarkStart w:id="503" w:name="_Toc21483"/>
      <w:bookmarkStart w:id="504" w:name="_Toc28680"/>
      <w:bookmarkStart w:id="505" w:name="_Toc17537"/>
      <w:bookmarkStart w:id="506" w:name="_Toc15226"/>
      <w:bookmarkStart w:id="507" w:name="_Toc15065"/>
      <w:bookmarkStart w:id="508" w:name="_Toc20541"/>
      <w:bookmarkStart w:id="509" w:name="_Toc17917"/>
      <w:bookmarkStart w:id="510" w:name="_Toc18734"/>
      <w:bookmarkStart w:id="511" w:name="_Toc3412"/>
      <w:bookmarkStart w:id="512" w:name="_Toc8264"/>
      <w:bookmarkStart w:id="513" w:name="_Toc200338098"/>
      <w:r>
        <w:rPr>
          <w:rFonts w:hint="eastAsia" w:ascii="宋体" w:hAnsi="宋体" w:eastAsia="宋体" w:cs="宋体"/>
          <w:b/>
          <w:snapToGrid w:val="0"/>
          <w:color w:val="auto"/>
          <w:highlight w:val="none"/>
        </w:rPr>
        <w:t>格式</w:t>
      </w:r>
      <w:bookmarkStart w:id="514" w:name="_Hlt287950384"/>
      <w:bookmarkEnd w:id="514"/>
      <w:r>
        <w:rPr>
          <w:rFonts w:hint="eastAsia" w:ascii="宋体" w:hAnsi="宋体" w:eastAsia="宋体" w:cs="宋体"/>
          <w:b/>
          <w:snapToGrid w:val="0"/>
          <w:color w:val="auto"/>
          <w:highlight w:val="none"/>
          <w:lang w:val="en-US" w:eastAsia="zh-CN"/>
        </w:rPr>
        <w:t>十</w:t>
      </w:r>
      <w:r>
        <w:rPr>
          <w:rFonts w:hint="eastAsia" w:ascii="宋体" w:hAnsi="宋体" w:eastAsia="宋体" w:cs="宋体"/>
          <w:b/>
          <w:snapToGrid w:val="0"/>
          <w:color w:val="auto"/>
          <w:highlight w:val="none"/>
        </w:rPr>
        <w:t xml:space="preserve"> 项目监理机构组成人员汇总表</w:t>
      </w:r>
      <w:bookmarkEnd w:id="502"/>
      <w:bookmarkEnd w:id="503"/>
      <w:bookmarkEnd w:id="504"/>
      <w:bookmarkEnd w:id="505"/>
      <w:bookmarkEnd w:id="506"/>
      <w:bookmarkEnd w:id="507"/>
      <w:bookmarkEnd w:id="508"/>
      <w:bookmarkEnd w:id="509"/>
      <w:bookmarkEnd w:id="510"/>
      <w:bookmarkEnd w:id="511"/>
    </w:p>
    <w:p w14:paraId="645F3304">
      <w:pPr>
        <w:shd w:val="clear" w:color="auto" w:fill="auto"/>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 xml:space="preserve"> 项目监理机构组成人员汇总表</w:t>
      </w:r>
    </w:p>
    <w:tbl>
      <w:tblPr>
        <w:tblStyle w:val="31"/>
        <w:tblW w:w="1393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39549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68D3BAD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425" w:type="dxa"/>
            <w:vMerge w:val="restart"/>
            <w:tcBorders>
              <w:top w:val="single" w:color="auto" w:sz="6" w:space="0"/>
              <w:left w:val="single" w:color="auto" w:sz="6" w:space="0"/>
              <w:right w:val="single" w:color="auto" w:sz="6" w:space="0"/>
            </w:tcBorders>
            <w:vAlign w:val="center"/>
          </w:tcPr>
          <w:p w14:paraId="550A1EE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拟担任职务</w:t>
            </w:r>
          </w:p>
        </w:tc>
        <w:tc>
          <w:tcPr>
            <w:tcW w:w="840" w:type="dxa"/>
            <w:vMerge w:val="restart"/>
            <w:tcBorders>
              <w:top w:val="single" w:color="auto" w:sz="6" w:space="0"/>
              <w:left w:val="single" w:color="auto" w:sz="6" w:space="0"/>
              <w:right w:val="single" w:color="auto" w:sz="4" w:space="0"/>
            </w:tcBorders>
            <w:vAlign w:val="center"/>
          </w:tcPr>
          <w:p w14:paraId="3CFFA90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5A2DD9B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745700E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74015D3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岗位证书</w:t>
            </w:r>
          </w:p>
        </w:tc>
      </w:tr>
      <w:tr w14:paraId="2C6F1F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27049C04">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vMerge w:val="continue"/>
            <w:tcBorders>
              <w:left w:val="single" w:color="auto" w:sz="6" w:space="0"/>
              <w:bottom w:val="single" w:color="auto" w:sz="6" w:space="0"/>
              <w:right w:val="single" w:color="auto" w:sz="6" w:space="0"/>
            </w:tcBorders>
            <w:vAlign w:val="center"/>
          </w:tcPr>
          <w:p w14:paraId="6181BA6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vMerge w:val="continue"/>
            <w:tcBorders>
              <w:left w:val="single" w:color="auto" w:sz="6" w:space="0"/>
              <w:bottom w:val="single" w:color="auto" w:sz="6" w:space="0"/>
              <w:right w:val="single" w:color="auto" w:sz="4" w:space="0"/>
            </w:tcBorders>
            <w:vAlign w:val="center"/>
          </w:tcPr>
          <w:p w14:paraId="1CD301E4">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4" w:space="0"/>
              <w:left w:val="single" w:color="auto" w:sz="4" w:space="0"/>
              <w:bottom w:val="single" w:color="auto" w:sz="4" w:space="0"/>
              <w:right w:val="single" w:color="auto" w:sz="4" w:space="0"/>
            </w:tcBorders>
            <w:vAlign w:val="center"/>
          </w:tcPr>
          <w:p w14:paraId="3236247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2A135B7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218CA828">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32E6575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0A818A2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5223F28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43A3D83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0E812F5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356D23C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r>
      <w:tr w14:paraId="53578E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4EEE1E9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425" w:type="dxa"/>
            <w:tcBorders>
              <w:top w:val="single" w:color="auto" w:sz="6" w:space="0"/>
              <w:left w:val="single" w:color="auto" w:sz="6" w:space="0"/>
              <w:bottom w:val="single" w:color="auto" w:sz="6" w:space="0"/>
              <w:right w:val="single" w:color="auto" w:sz="6" w:space="0"/>
            </w:tcBorders>
            <w:vAlign w:val="center"/>
          </w:tcPr>
          <w:p w14:paraId="622C014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35577C4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4" w:space="0"/>
              <w:left w:val="single" w:color="auto" w:sz="6" w:space="0"/>
              <w:bottom w:val="single" w:color="auto" w:sz="6" w:space="0"/>
              <w:right w:val="single" w:color="auto" w:sz="6" w:space="0"/>
            </w:tcBorders>
            <w:vAlign w:val="center"/>
          </w:tcPr>
          <w:p w14:paraId="4345125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4" w:space="0"/>
              <w:left w:val="single" w:color="auto" w:sz="6" w:space="0"/>
              <w:bottom w:val="single" w:color="auto" w:sz="6" w:space="0"/>
              <w:right w:val="single" w:color="auto" w:sz="6" w:space="0"/>
            </w:tcBorders>
            <w:vAlign w:val="center"/>
          </w:tcPr>
          <w:p w14:paraId="2C13BC1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4" w:space="0"/>
              <w:left w:val="single" w:color="auto" w:sz="6" w:space="0"/>
              <w:bottom w:val="single" w:color="auto" w:sz="6" w:space="0"/>
              <w:right w:val="single" w:color="auto" w:sz="6" w:space="0"/>
            </w:tcBorders>
            <w:vAlign w:val="center"/>
          </w:tcPr>
          <w:p w14:paraId="660F9B7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0DA032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3F2DD9C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2FBFD55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10012AD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6B1F9EA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119236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66A78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A0CF28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425" w:type="dxa"/>
            <w:tcBorders>
              <w:top w:val="single" w:color="auto" w:sz="6" w:space="0"/>
              <w:left w:val="single" w:color="auto" w:sz="6" w:space="0"/>
              <w:bottom w:val="single" w:color="auto" w:sz="6" w:space="0"/>
              <w:right w:val="single" w:color="auto" w:sz="6" w:space="0"/>
            </w:tcBorders>
            <w:vAlign w:val="center"/>
          </w:tcPr>
          <w:p w14:paraId="52B9824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897581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A4E875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925EDE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2D2C8E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C03CD8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A68A2F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C8CC41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D8719C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1803391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BD37EA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6BB4E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80F982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425" w:type="dxa"/>
            <w:tcBorders>
              <w:top w:val="single" w:color="auto" w:sz="6" w:space="0"/>
              <w:left w:val="single" w:color="auto" w:sz="6" w:space="0"/>
              <w:bottom w:val="single" w:color="auto" w:sz="6" w:space="0"/>
              <w:right w:val="single" w:color="auto" w:sz="6" w:space="0"/>
            </w:tcBorders>
            <w:vAlign w:val="center"/>
          </w:tcPr>
          <w:p w14:paraId="3F9C074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247556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088E73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03C7BD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C4E1CE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C27909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76882E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E3C348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62668D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6650BF8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5EAA864">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4CA63C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16B8AC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425" w:type="dxa"/>
            <w:tcBorders>
              <w:top w:val="single" w:color="auto" w:sz="6" w:space="0"/>
              <w:left w:val="single" w:color="auto" w:sz="6" w:space="0"/>
              <w:bottom w:val="single" w:color="auto" w:sz="6" w:space="0"/>
              <w:right w:val="single" w:color="auto" w:sz="6" w:space="0"/>
            </w:tcBorders>
            <w:vAlign w:val="center"/>
          </w:tcPr>
          <w:p w14:paraId="66967E5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4FDA12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7FE03B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B585A0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83215A4">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8F1C86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1144515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833CBC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48DCFB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6875E4A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52C79F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7E006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0FC88E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1E6471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79AE26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90E9484">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B13D0C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8B8E7D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E8386D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1CE6526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1B8F8C4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58821AA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255181D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D49368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F265E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5AA478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68397E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7F79356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1B4C15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61EFC1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D0500A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1C384F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AD78F1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049757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5922010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2294C16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84F1714">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66EFF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524CE2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E0C4CC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4C52C8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A6C8C8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3A9DBB8">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D85D3E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1079CD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8810EC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24C5508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2C3134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8C53AD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C3D00D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627565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44CF24F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2A485E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1427B5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9B56E9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547A51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362799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1F15E3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6CF5025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9BE301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D4E4A4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6E6C804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0F33A28">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6C9C38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F1E6C58">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61E4017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CF7133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29FC0F8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2D612A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7B7359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77BC1E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A3982D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3C5A5A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6547A4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140C190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AF2BB6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bookmarkStart w:id="515" w:name="_附件二十五：综合评审合理低价法"/>
        <w:bookmarkStart w:id="516" w:name="_Hlt69116778"/>
        <w:bookmarkStart w:id="517" w:name="_附件十：单项工程费汇总表"/>
        <w:bookmarkStart w:id="518" w:name="_Hlt68774664"/>
        <w:bookmarkStart w:id="519" w:name="_附件二十四：技术标提问单"/>
      </w:tr>
      <w:bookmarkEnd w:id="512"/>
      <w:bookmarkEnd w:id="513"/>
      <w:bookmarkEnd w:id="515"/>
      <w:bookmarkEnd w:id="516"/>
      <w:bookmarkEnd w:id="517"/>
      <w:bookmarkEnd w:id="518"/>
      <w:bookmarkEnd w:id="519"/>
      <w:tr w14:paraId="20A036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EDFD7C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520A55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89A9A3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56D915C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4407AF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0F0285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028842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07E590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5606CD98">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1B0653F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2E88415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548A5A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75A32688">
      <w:pPr>
        <w:pStyle w:val="57"/>
        <w:widowControl w:val="0"/>
        <w:shd w:val="clear" w:color="auto" w:fill="auto"/>
        <w:wordWrap w:val="0"/>
        <w:adjustRightInd w:val="0"/>
        <w:snapToGrid w:val="0"/>
        <w:spacing w:line="400" w:lineRule="exact"/>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说明：</w:t>
      </w:r>
    </w:p>
    <w:p w14:paraId="36F7B41C">
      <w:pPr>
        <w:pStyle w:val="57"/>
        <w:widowControl w:val="0"/>
        <w:shd w:val="clear" w:color="auto" w:fill="auto"/>
        <w:wordWrap w:val="0"/>
        <w:adjustRightInd w:val="0"/>
        <w:snapToGrid w:val="0"/>
        <w:spacing w:line="400" w:lineRule="exact"/>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1</w:t>
      </w:r>
      <w:r>
        <w:rPr>
          <w:rFonts w:hint="eastAsia" w:ascii="宋体" w:hAnsi="宋体" w:eastAsia="宋体" w:cs="宋体"/>
          <w:snapToGrid w:val="0"/>
          <w:color w:val="auto"/>
          <w:sz w:val="21"/>
          <w:szCs w:val="28"/>
          <w:highlight w:val="none"/>
        </w:rPr>
        <w:t>．表中没有或无法填写的栏目，用</w:t>
      </w:r>
      <w:r>
        <w:rPr>
          <w:rFonts w:hint="eastAsia" w:ascii="宋体" w:hAnsi="宋体" w:eastAsia="宋体" w:cs="宋体"/>
          <w:snapToGrid w:val="0"/>
          <w:color w:val="auto"/>
          <w:sz w:val="21"/>
          <w:highlight w:val="none"/>
        </w:rPr>
        <w:t>“/”示意。</w:t>
      </w:r>
    </w:p>
    <w:p w14:paraId="63086E83">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sectPr>
          <w:endnotePr>
            <w:numFmt w:val="decimal"/>
          </w:endnotePr>
          <w:pgSz w:w="16838" w:h="11906" w:orient="landscape"/>
          <w:pgMar w:top="1531" w:right="1531" w:bottom="1531" w:left="1531" w:header="850" w:footer="992" w:gutter="0"/>
          <w:cols w:space="720" w:num="1"/>
          <w:rtlGutter w:val="0"/>
          <w:docGrid w:linePitch="327" w:charSpace="0"/>
        </w:sectPr>
      </w:pPr>
    </w:p>
    <w:p w14:paraId="1A72172B">
      <w:pPr>
        <w:pStyle w:val="12"/>
        <w:keepNext w:val="0"/>
        <w:keepLines w:val="0"/>
        <w:widowControl w:val="0"/>
        <w:shd w:val="clear" w:color="auto" w:fill="auto"/>
        <w:wordWrap w:val="0"/>
        <w:adjustRightInd w:val="0"/>
        <w:snapToGrid w:val="0"/>
        <w:spacing w:before="0" w:after="0" w:line="440" w:lineRule="exact"/>
        <w:ind w:firstLine="0"/>
        <w:jc w:val="left"/>
        <w:rPr>
          <w:rFonts w:hint="eastAsia" w:ascii="宋体" w:hAnsi="宋体" w:eastAsia="宋体" w:cs="宋体"/>
          <w:b/>
          <w:snapToGrid w:val="0"/>
          <w:color w:val="auto"/>
          <w:highlight w:val="none"/>
        </w:rPr>
      </w:pPr>
      <w:bookmarkStart w:id="520" w:name="_Toc13203"/>
      <w:bookmarkStart w:id="521" w:name="_Toc10343"/>
      <w:bookmarkStart w:id="522" w:name="_Toc3545"/>
      <w:bookmarkStart w:id="523" w:name="_Toc15987"/>
      <w:bookmarkStart w:id="524" w:name="_Toc20819"/>
      <w:bookmarkStart w:id="525" w:name="_Toc32518"/>
      <w:bookmarkStart w:id="526" w:name="_Toc13501"/>
      <w:bookmarkStart w:id="527" w:name="_Toc28573"/>
      <w:bookmarkStart w:id="528" w:name="_Toc20233"/>
      <w:bookmarkStart w:id="529" w:name="_Toc15824"/>
      <w:r>
        <w:rPr>
          <w:rFonts w:hint="eastAsia" w:ascii="宋体" w:hAnsi="宋体" w:eastAsia="宋体" w:cs="宋体"/>
          <w:b/>
          <w:snapToGrid w:val="0"/>
          <w:color w:val="auto"/>
          <w:highlight w:val="none"/>
        </w:rPr>
        <w:t>格式</w:t>
      </w:r>
      <w:r>
        <w:rPr>
          <w:rFonts w:hint="eastAsia" w:ascii="宋体" w:hAnsi="宋体" w:eastAsia="宋体" w:cs="宋体"/>
          <w:b/>
          <w:snapToGrid w:val="0"/>
          <w:color w:val="auto"/>
          <w:highlight w:val="none"/>
          <w:lang w:val="en-US" w:eastAsia="zh-CN"/>
        </w:rPr>
        <w:t>十一</w:t>
      </w:r>
      <w:r>
        <w:rPr>
          <w:rFonts w:hint="eastAsia" w:ascii="宋体" w:hAnsi="宋体" w:eastAsia="宋体" w:cs="宋体"/>
          <w:b/>
          <w:snapToGrid w:val="0"/>
          <w:color w:val="auto"/>
          <w:highlight w:val="none"/>
        </w:rPr>
        <w:t xml:space="preserve"> 总监理工程师简历表</w:t>
      </w:r>
      <w:bookmarkEnd w:id="520"/>
      <w:bookmarkEnd w:id="521"/>
      <w:bookmarkEnd w:id="522"/>
      <w:bookmarkEnd w:id="523"/>
      <w:bookmarkEnd w:id="524"/>
      <w:bookmarkEnd w:id="525"/>
      <w:bookmarkEnd w:id="526"/>
      <w:bookmarkEnd w:id="527"/>
      <w:bookmarkEnd w:id="528"/>
      <w:bookmarkEnd w:id="529"/>
    </w:p>
    <w:p w14:paraId="21BC83C7">
      <w:pPr>
        <w:shd w:val="clear" w:color="auto" w:fill="auto"/>
        <w:wordWrap w:val="0"/>
        <w:adjustRightInd w:val="0"/>
        <w:snapToGrid w:val="0"/>
        <w:spacing w:line="440" w:lineRule="exact"/>
        <w:jc w:val="left"/>
        <w:rPr>
          <w:rFonts w:hint="eastAsia" w:ascii="宋体" w:hAnsi="宋体" w:eastAsia="宋体" w:cs="宋体"/>
          <w:b/>
          <w:bCs/>
          <w:snapToGrid w:val="0"/>
          <w:color w:val="auto"/>
          <w:kern w:val="0"/>
          <w:szCs w:val="24"/>
          <w:highlight w:val="none"/>
        </w:rPr>
      </w:pPr>
    </w:p>
    <w:tbl>
      <w:tblPr>
        <w:tblStyle w:val="31"/>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512"/>
        <w:gridCol w:w="1288"/>
        <w:gridCol w:w="547"/>
        <w:gridCol w:w="1798"/>
      </w:tblGrid>
      <w:tr w14:paraId="286BF6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5E2840A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CE0D36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29A924B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3A23344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38146A4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5A89B11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83A9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D3D128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289D221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1D42399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5BA592A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4B0C444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7374E98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3F361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743C621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2E1B869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3852AC7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660F0EC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1CD16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7C8244D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注册证书</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5CDA90E7">
            <w:pPr>
              <w:shd w:val="clear" w:color="auto" w:fill="auto"/>
              <w:wordWrap w:val="0"/>
              <w:adjustRightInd w:val="0"/>
              <w:snapToGrid w:val="0"/>
              <w:spacing w:line="240" w:lineRule="auto"/>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名称：                               证书号：</w:t>
            </w:r>
          </w:p>
        </w:tc>
      </w:tr>
      <w:tr w14:paraId="47C6AD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3A541B1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主要工作经历</w:t>
            </w:r>
          </w:p>
        </w:tc>
      </w:tr>
      <w:tr w14:paraId="450ADD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8E086B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E38F72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32AF3D0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513E22F2">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2FCD868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起止时间</w:t>
            </w:r>
          </w:p>
        </w:tc>
      </w:tr>
      <w:tr w14:paraId="437A34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7A5A72B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52C9D48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CAC9F9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5DDEADF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A9743D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8AAF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09D59238">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D1070B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9CE796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23D97F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1FE798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4A95D5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0C7E3A0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E9821B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11608B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53F5254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35B4A3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633DB3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E14C17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A5294B4">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7B2D1AC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713247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8053C38">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29B73A53">
      <w:pPr>
        <w:shd w:val="clear" w:color="auto" w:fill="auto"/>
        <w:wordWrap w:val="0"/>
        <w:adjustRightInd w:val="0"/>
        <w:snapToGrid w:val="0"/>
        <w:spacing w:line="440" w:lineRule="exact"/>
        <w:jc w:val="center"/>
        <w:rPr>
          <w:rFonts w:hint="eastAsia" w:ascii="宋体" w:hAnsi="宋体" w:eastAsia="宋体" w:cs="宋体"/>
          <w:b/>
          <w:bCs/>
          <w:snapToGrid w:val="0"/>
          <w:color w:val="auto"/>
          <w:kern w:val="0"/>
          <w:szCs w:val="24"/>
          <w:highlight w:val="none"/>
        </w:rPr>
      </w:pPr>
      <w:r>
        <w:rPr>
          <w:rFonts w:hint="eastAsia" w:ascii="宋体" w:hAnsi="宋体" w:eastAsia="宋体" w:cs="宋体"/>
          <w:b/>
          <w:snapToGrid w:val="0"/>
          <w:color w:val="auto"/>
          <w:kern w:val="0"/>
          <w:sz w:val="30"/>
          <w:highlight w:val="none"/>
        </w:rPr>
        <w:t>总监理工程师简历表</w:t>
      </w:r>
    </w:p>
    <w:p w14:paraId="4A4AF7AC">
      <w:pPr>
        <w:shd w:val="clear" w:color="auto" w:fill="auto"/>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0FCB47CF">
      <w:pPr>
        <w:pStyle w:val="53"/>
        <w:shd w:val="clear" w:color="auto" w:fill="auto"/>
        <w:wordWrap w:val="0"/>
        <w:adjustRightInd w:val="0"/>
        <w:snapToGrid w:val="0"/>
        <w:spacing w:line="440" w:lineRule="exact"/>
        <w:jc w:val="right"/>
        <w:rPr>
          <w:rFonts w:hint="eastAsia" w:ascii="宋体" w:hAnsi="宋体" w:eastAsia="宋体" w:cs="宋体"/>
          <w:snapToGrid w:val="0"/>
          <w:color w:val="auto"/>
          <w:kern w:val="0"/>
          <w:highlight w:val="none"/>
        </w:rPr>
      </w:pPr>
    </w:p>
    <w:p w14:paraId="0C63D947">
      <w:pPr>
        <w:pStyle w:val="53"/>
        <w:shd w:val="clear" w:color="auto" w:fill="auto"/>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总监理工程师：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663C9578">
      <w:pPr>
        <w:pStyle w:val="53"/>
        <w:shd w:val="clear" w:color="auto" w:fill="auto"/>
        <w:wordWrap w:val="0"/>
        <w:adjustRightInd w:val="0"/>
        <w:snapToGrid w:val="0"/>
        <w:spacing w:line="440" w:lineRule="exact"/>
        <w:jc w:val="right"/>
        <w:rPr>
          <w:rFonts w:hint="eastAsia" w:ascii="宋体" w:hAnsi="宋体" w:eastAsia="宋体" w:cs="宋体"/>
          <w:snapToGrid w:val="0"/>
          <w:color w:val="auto"/>
          <w:kern w:val="0"/>
          <w:highlight w:val="none"/>
        </w:rPr>
      </w:pPr>
    </w:p>
    <w:p w14:paraId="03FA1326">
      <w:pPr>
        <w:pStyle w:val="53"/>
        <w:shd w:val="clear" w:color="auto" w:fill="auto"/>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3993AB9E">
      <w:pPr>
        <w:shd w:val="clear" w:color="auto" w:fill="auto"/>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6854970B">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说明：《总监理工程师简历表》后应附拟委派的总监理工程师以下资料：</w:t>
      </w:r>
    </w:p>
    <w:p w14:paraId="3D236999">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w:t>
      </w:r>
      <w:r>
        <w:rPr>
          <w:rFonts w:hint="eastAsia" w:ascii="宋体" w:hAnsi="宋体" w:eastAsia="宋体" w:cs="宋体"/>
          <w:snapToGrid w:val="0"/>
          <w:color w:val="auto"/>
          <w:kern w:val="0"/>
          <w:sz w:val="21"/>
          <w:szCs w:val="28"/>
          <w:highlight w:val="none"/>
          <w:lang w:val="en-US" w:eastAsia="zh-CN"/>
        </w:rPr>
        <w:t>彩色扫描件</w:t>
      </w:r>
      <w:r>
        <w:rPr>
          <w:rFonts w:hint="eastAsia" w:ascii="宋体" w:hAnsi="宋体" w:eastAsia="宋体" w:cs="宋体"/>
          <w:snapToGrid w:val="0"/>
          <w:color w:val="auto"/>
          <w:kern w:val="0"/>
          <w:sz w:val="21"/>
          <w:szCs w:val="28"/>
          <w:highlight w:val="none"/>
        </w:rPr>
        <w:t>；</w:t>
      </w:r>
    </w:p>
    <w:p w14:paraId="50AD80C6">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2．监理工程师注册证书</w:t>
      </w:r>
      <w:r>
        <w:rPr>
          <w:rFonts w:hint="eastAsia" w:ascii="宋体" w:hAnsi="宋体" w:eastAsia="宋体" w:cs="宋体"/>
          <w:snapToGrid w:val="0"/>
          <w:color w:val="auto"/>
          <w:kern w:val="0"/>
          <w:sz w:val="21"/>
          <w:szCs w:val="28"/>
          <w:highlight w:val="none"/>
          <w:lang w:val="en-US" w:eastAsia="zh-CN"/>
        </w:rPr>
        <w:t>彩色扫描件</w:t>
      </w:r>
      <w:r>
        <w:rPr>
          <w:rFonts w:hint="eastAsia" w:ascii="宋体" w:hAnsi="宋体" w:eastAsia="宋体" w:cs="宋体"/>
          <w:snapToGrid w:val="0"/>
          <w:color w:val="auto"/>
          <w:kern w:val="0"/>
          <w:sz w:val="21"/>
          <w:szCs w:val="28"/>
          <w:highlight w:val="none"/>
        </w:rPr>
        <w:t>（须</w:t>
      </w:r>
      <w:r>
        <w:rPr>
          <w:rFonts w:hint="eastAsia" w:ascii="宋体" w:hAnsi="宋体" w:eastAsia="宋体" w:cs="宋体"/>
          <w:snapToGrid w:val="0"/>
          <w:color w:val="auto"/>
          <w:kern w:val="0"/>
          <w:sz w:val="21"/>
          <w:szCs w:val="28"/>
          <w:highlight w:val="none"/>
          <w:lang w:val="en-US" w:eastAsia="zh-CN"/>
        </w:rPr>
        <w:t>扫描</w:t>
      </w:r>
      <w:r>
        <w:rPr>
          <w:rFonts w:hint="eastAsia" w:ascii="宋体" w:hAnsi="宋体" w:eastAsia="宋体" w:cs="宋体"/>
          <w:snapToGrid w:val="0"/>
          <w:color w:val="auto"/>
          <w:kern w:val="0"/>
          <w:sz w:val="21"/>
          <w:szCs w:val="28"/>
          <w:highlight w:val="none"/>
        </w:rPr>
        <w:t>至变更注册栏）</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在使用有效期内的有效电子证书；</w:t>
      </w:r>
    </w:p>
    <w:p w14:paraId="581D912F">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lang w:eastAsia="zh-CN"/>
        </w:rPr>
      </w:pPr>
      <w:r>
        <w:rPr>
          <w:rFonts w:hint="eastAsia" w:ascii="宋体" w:hAnsi="宋体" w:eastAsia="宋体" w:cs="宋体"/>
          <w:snapToGrid w:val="0"/>
          <w:color w:val="auto"/>
          <w:kern w:val="0"/>
          <w:sz w:val="21"/>
          <w:szCs w:val="28"/>
          <w:highlight w:val="none"/>
        </w:rPr>
        <w:t>3．</w:t>
      </w:r>
      <w:r>
        <w:rPr>
          <w:rFonts w:hint="eastAsia" w:ascii="宋体" w:hAnsi="宋体" w:eastAsia="宋体" w:cs="宋体"/>
          <w:b w:val="0"/>
          <w:bCs w:val="0"/>
          <w:snapToGrid w:val="0"/>
          <w:color w:val="auto"/>
          <w:kern w:val="0"/>
          <w:sz w:val="21"/>
          <w:szCs w:val="28"/>
          <w:highlight w:val="none"/>
        </w:rPr>
        <w:t>在本单位</w:t>
      </w:r>
      <w:r>
        <w:rPr>
          <w:rFonts w:hint="eastAsia" w:ascii="宋体" w:hAnsi="宋体" w:eastAsia="宋体" w:cs="宋体"/>
          <w:snapToGrid w:val="0"/>
          <w:color w:val="auto"/>
          <w:kern w:val="0"/>
          <w:sz w:val="21"/>
          <w:szCs w:val="28"/>
          <w:highlight w:val="none"/>
        </w:rPr>
        <w:t>缴纳社保的证明</w:t>
      </w:r>
      <w:r>
        <w:rPr>
          <w:rFonts w:hint="eastAsia" w:ascii="宋体" w:hAnsi="宋体" w:eastAsia="宋体" w:cs="宋体"/>
          <w:snapToGrid w:val="0"/>
          <w:color w:val="auto"/>
          <w:kern w:val="0"/>
          <w:sz w:val="21"/>
          <w:szCs w:val="28"/>
          <w:highlight w:val="none"/>
          <w:lang w:val="en-US" w:eastAsia="zh-CN"/>
        </w:rPr>
        <w:t>彩色扫描件</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8"/>
          <w:highlight w:val="none"/>
          <w:lang w:eastAsia="zh-CN"/>
        </w:rPr>
        <w:t>至少三个月，其中必须有2026年8月</w:t>
      </w:r>
      <w:r>
        <w:rPr>
          <w:rFonts w:hint="eastAsia" w:ascii="宋体" w:hAnsi="宋体" w:eastAsia="宋体" w:cs="宋体"/>
          <w:snapToGrid w:val="0"/>
          <w:color w:val="auto"/>
          <w:kern w:val="0"/>
          <w:sz w:val="21"/>
          <w:szCs w:val="28"/>
          <w:highlight w:val="none"/>
        </w:rPr>
        <w:t>）。拟委派的总监理工程师为退休返聘人员无法提供社保证明的，提供退休证和劳动合同</w:t>
      </w:r>
      <w:r>
        <w:rPr>
          <w:rFonts w:hint="eastAsia" w:ascii="宋体" w:hAnsi="宋体" w:eastAsia="宋体" w:cs="宋体"/>
          <w:snapToGrid w:val="0"/>
          <w:color w:val="auto"/>
          <w:kern w:val="0"/>
          <w:sz w:val="21"/>
          <w:szCs w:val="28"/>
          <w:highlight w:val="none"/>
          <w:lang w:val="en-US" w:eastAsia="zh-CN"/>
        </w:rPr>
        <w:t>彩色扫描件</w:t>
      </w:r>
      <w:r>
        <w:rPr>
          <w:rFonts w:hint="eastAsia" w:ascii="宋体" w:hAnsi="宋体" w:eastAsia="宋体" w:cs="宋体"/>
          <w:snapToGrid w:val="0"/>
          <w:color w:val="auto"/>
          <w:kern w:val="0"/>
          <w:sz w:val="21"/>
          <w:szCs w:val="28"/>
          <w:highlight w:val="none"/>
          <w:lang w:eastAsia="zh-CN"/>
        </w:rPr>
        <w:t>。</w:t>
      </w:r>
    </w:p>
    <w:p w14:paraId="06FBE986">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p>
    <w:p w14:paraId="7B74FAAE">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p>
    <w:p w14:paraId="5B3CF642">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p>
    <w:p w14:paraId="0FA60CB6">
      <w:pPr>
        <w:shd w:val="clear" w:color="auto" w:fill="auto"/>
        <w:wordWrap w:val="0"/>
        <w:adjustRightInd w:val="0"/>
        <w:snapToGrid w:val="0"/>
        <w:spacing w:line="440" w:lineRule="exact"/>
        <w:jc w:val="left"/>
        <w:outlineLvl w:val="2"/>
        <w:rPr>
          <w:rFonts w:hint="eastAsia" w:ascii="宋体" w:hAnsi="宋体" w:eastAsia="宋体" w:cs="宋体"/>
          <w:b/>
          <w:bCs/>
          <w:snapToGrid w:val="0"/>
          <w:color w:val="auto"/>
          <w:kern w:val="0"/>
          <w:szCs w:val="24"/>
          <w:highlight w:val="none"/>
        </w:rPr>
      </w:pPr>
      <w:bookmarkStart w:id="530" w:name="_Toc32546"/>
      <w:bookmarkStart w:id="531" w:name="_Toc6762"/>
      <w:bookmarkStart w:id="532" w:name="_Toc13930"/>
      <w:bookmarkStart w:id="533" w:name="_Toc26155"/>
      <w:bookmarkStart w:id="534" w:name="_Toc29390"/>
      <w:bookmarkStart w:id="535" w:name="_Toc26095"/>
      <w:bookmarkStart w:id="536" w:name="_Toc4497"/>
      <w:bookmarkStart w:id="537" w:name="_Toc1875"/>
      <w:r>
        <w:rPr>
          <w:rFonts w:hint="eastAsia" w:ascii="宋体" w:hAnsi="宋体" w:eastAsia="宋体" w:cs="宋体"/>
          <w:b/>
          <w:snapToGrid w:val="0"/>
          <w:color w:val="auto"/>
          <w:kern w:val="0"/>
          <w:highlight w:val="none"/>
        </w:rPr>
        <w:br w:type="page"/>
      </w:r>
      <w:bookmarkStart w:id="538" w:name="_Toc30376"/>
      <w:bookmarkStart w:id="539" w:name="_Toc20134"/>
      <w:r>
        <w:rPr>
          <w:rStyle w:val="37"/>
          <w:rFonts w:hint="eastAsia" w:ascii="宋体" w:hAnsi="宋体" w:eastAsia="宋体" w:cs="宋体"/>
          <w:b/>
          <w:bCs/>
          <w:color w:val="auto"/>
          <w:highlight w:val="none"/>
          <w:lang w:val="en-US" w:eastAsia="zh-CN"/>
        </w:rPr>
        <w:t>格式十二 其他拟委派的人员简历表</w:t>
      </w:r>
      <w:bookmarkEnd w:id="530"/>
      <w:bookmarkEnd w:id="531"/>
      <w:bookmarkEnd w:id="532"/>
      <w:bookmarkEnd w:id="533"/>
      <w:bookmarkEnd w:id="534"/>
      <w:bookmarkEnd w:id="535"/>
      <w:bookmarkEnd w:id="536"/>
      <w:bookmarkEnd w:id="537"/>
      <w:bookmarkEnd w:id="538"/>
      <w:bookmarkEnd w:id="539"/>
    </w:p>
    <w:p w14:paraId="1F21D5B7">
      <w:pPr>
        <w:shd w:val="clear" w:color="auto" w:fill="auto"/>
        <w:wordWrap w:val="0"/>
        <w:adjustRightInd w:val="0"/>
        <w:snapToGrid w:val="0"/>
        <w:spacing w:line="440" w:lineRule="exact"/>
        <w:jc w:val="left"/>
        <w:rPr>
          <w:rFonts w:hint="eastAsia" w:ascii="宋体" w:hAnsi="宋体" w:eastAsia="宋体" w:cs="宋体"/>
          <w:b/>
          <w:bCs/>
          <w:snapToGrid w:val="0"/>
          <w:color w:val="auto"/>
          <w:kern w:val="0"/>
          <w:szCs w:val="24"/>
          <w:highlight w:val="none"/>
        </w:rPr>
      </w:pPr>
    </w:p>
    <w:tbl>
      <w:tblPr>
        <w:tblStyle w:val="31"/>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33CAF9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4D5F2048">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60AAE04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2C558AD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0ED8748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11AE4A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55710151">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2F5B6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F4C480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00D109F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5A93C58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5148EA6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2B197D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659A6BA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6630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56ABA604">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23F0D67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49E543B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078436D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3103DF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953FBF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46ED0404">
            <w:pPr>
              <w:shd w:val="clear" w:color="auto" w:fill="auto"/>
              <w:wordWrap w:val="0"/>
              <w:adjustRightInd w:val="0"/>
              <w:snapToGrid w:val="0"/>
              <w:spacing w:line="240" w:lineRule="auto"/>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名称：                               证书号：</w:t>
            </w:r>
          </w:p>
          <w:p w14:paraId="10F0E94B">
            <w:pPr>
              <w:shd w:val="clear" w:color="auto" w:fill="auto"/>
              <w:wordWrap w:val="0"/>
              <w:adjustRightInd w:val="0"/>
              <w:snapToGrid w:val="0"/>
              <w:spacing w:line="240" w:lineRule="auto"/>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名称：                               证书号：</w:t>
            </w:r>
          </w:p>
          <w:p w14:paraId="1E4937BD">
            <w:pPr>
              <w:shd w:val="clear" w:color="auto" w:fill="auto"/>
              <w:wordWrap w:val="0"/>
              <w:adjustRightInd w:val="0"/>
              <w:snapToGrid w:val="0"/>
              <w:spacing w:line="240" w:lineRule="auto"/>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snapToGrid w:val="0"/>
                <w:color w:val="auto"/>
                <w:kern w:val="0"/>
                <w:sz w:val="21"/>
                <w:szCs w:val="28"/>
                <w:highlight w:val="none"/>
              </w:rPr>
              <w:t>．……</w:t>
            </w:r>
          </w:p>
        </w:tc>
      </w:tr>
      <w:tr w14:paraId="66738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7FB8AD2F">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主要工作经历</w:t>
            </w:r>
          </w:p>
        </w:tc>
      </w:tr>
      <w:tr w14:paraId="21DF4C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2198164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68178B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F69CCB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3F3FB49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73724A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起止时间</w:t>
            </w:r>
          </w:p>
        </w:tc>
      </w:tr>
      <w:tr w14:paraId="342F10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4070929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EFD40C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11A349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B7544E8">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206C0AB">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B18EC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3C76B4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9D1433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7BDC6CA3">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493C88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2C1576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31355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F095E36">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8850C7D">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0F9CD61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17C31CA">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25AFDFC">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DF2B1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3411D89">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0F6EB20">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F44C197">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ADBD545">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6BE4665E">
            <w:pPr>
              <w:shd w:val="clear" w:color="auto" w:fill="auto"/>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00D81DA5">
      <w:pPr>
        <w:shd w:val="clear" w:color="auto" w:fill="auto"/>
        <w:wordWrap w:val="0"/>
        <w:adjustRightInd w:val="0"/>
        <w:snapToGrid w:val="0"/>
        <w:spacing w:line="440" w:lineRule="exact"/>
        <w:jc w:val="center"/>
        <w:rPr>
          <w:rFonts w:hint="eastAsia" w:ascii="宋体" w:hAnsi="宋体" w:eastAsia="宋体" w:cs="宋体"/>
          <w:b/>
          <w:bCs/>
          <w:snapToGrid w:val="0"/>
          <w:color w:val="auto"/>
          <w:kern w:val="0"/>
          <w:szCs w:val="24"/>
          <w:highlight w:val="none"/>
        </w:rPr>
      </w:pPr>
      <w:r>
        <w:rPr>
          <w:rFonts w:hint="eastAsia" w:ascii="宋体" w:hAnsi="宋体" w:eastAsia="宋体" w:cs="宋体"/>
          <w:b/>
          <w:snapToGrid w:val="0"/>
          <w:color w:val="auto"/>
          <w:kern w:val="0"/>
          <w:sz w:val="30"/>
          <w:highlight w:val="none"/>
        </w:rPr>
        <w:t>其他拟委派的人员简历表（）</w:t>
      </w:r>
    </w:p>
    <w:p w14:paraId="49980270">
      <w:pPr>
        <w:pStyle w:val="53"/>
        <w:shd w:val="clear" w:color="auto" w:fill="auto"/>
        <w:wordWrap w:val="0"/>
        <w:adjustRightInd w:val="0"/>
        <w:snapToGrid w:val="0"/>
        <w:spacing w:line="440" w:lineRule="exact"/>
        <w:jc w:val="right"/>
        <w:rPr>
          <w:rFonts w:hint="eastAsia" w:ascii="宋体" w:hAnsi="宋体" w:eastAsia="宋体" w:cs="宋体"/>
          <w:snapToGrid w:val="0"/>
          <w:color w:val="auto"/>
          <w:kern w:val="0"/>
          <w:highlight w:val="none"/>
        </w:rPr>
      </w:pPr>
    </w:p>
    <w:p w14:paraId="3091980E">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说明：</w:t>
      </w:r>
    </w:p>
    <w:p w14:paraId="71419B95">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1．“其他拟委派的人员”指项目监理机构中除总监理工程师以外的拟委派的人员（如专业监理工程师、监理员等），拟委派的人员一人一表，</w:t>
      </w:r>
      <w:r>
        <w:rPr>
          <w:rFonts w:hint="eastAsia" w:ascii="宋体" w:hAnsi="宋体" w:eastAsia="宋体" w:cs="宋体"/>
          <w:snapToGrid w:val="0"/>
          <w:color w:val="auto"/>
          <w:kern w:val="0"/>
          <w:sz w:val="21"/>
          <w:szCs w:val="21"/>
          <w:highlight w:val="none"/>
        </w:rPr>
        <w:t>并标明序号。</w:t>
      </w:r>
    </w:p>
    <w:p w14:paraId="4E64F2C5">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2．每份简历表后应附该拟委派的人员以下资料：</w:t>
      </w:r>
    </w:p>
    <w:p w14:paraId="375F4158">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w:t>
      </w:r>
      <w:r>
        <w:rPr>
          <w:rFonts w:hint="eastAsia" w:ascii="宋体" w:hAnsi="宋体" w:eastAsia="宋体" w:cs="宋体"/>
          <w:snapToGrid w:val="0"/>
          <w:color w:val="auto"/>
          <w:kern w:val="0"/>
          <w:sz w:val="21"/>
          <w:szCs w:val="28"/>
          <w:highlight w:val="none"/>
          <w:lang w:val="en-US" w:eastAsia="zh-CN"/>
        </w:rPr>
        <w:t>彩色扫描件</w:t>
      </w:r>
      <w:r>
        <w:rPr>
          <w:rFonts w:hint="eastAsia" w:ascii="宋体" w:hAnsi="宋体" w:eastAsia="宋体" w:cs="宋体"/>
          <w:snapToGrid w:val="0"/>
          <w:color w:val="auto"/>
          <w:kern w:val="0"/>
          <w:sz w:val="21"/>
          <w:szCs w:val="28"/>
          <w:highlight w:val="none"/>
        </w:rPr>
        <w:t>；</w:t>
      </w:r>
    </w:p>
    <w:p w14:paraId="64502617">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（2）相关证书</w:t>
      </w:r>
      <w:r>
        <w:rPr>
          <w:rFonts w:hint="eastAsia" w:ascii="宋体" w:hAnsi="宋体" w:eastAsia="宋体" w:cs="宋体"/>
          <w:snapToGrid w:val="0"/>
          <w:color w:val="auto"/>
          <w:kern w:val="0"/>
          <w:sz w:val="21"/>
          <w:szCs w:val="28"/>
          <w:highlight w:val="none"/>
          <w:lang w:val="en-US" w:eastAsia="zh-CN"/>
        </w:rPr>
        <w:t>彩色扫描件</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rPr>
        <w:t>须</w:t>
      </w:r>
      <w:r>
        <w:rPr>
          <w:rFonts w:hint="eastAsia" w:ascii="宋体" w:hAnsi="宋体" w:eastAsia="宋体" w:cs="宋体"/>
          <w:snapToGrid w:val="0"/>
          <w:color w:val="auto"/>
          <w:kern w:val="0"/>
          <w:sz w:val="21"/>
          <w:szCs w:val="28"/>
          <w:highlight w:val="none"/>
          <w:lang w:val="en-US" w:eastAsia="zh-CN"/>
        </w:rPr>
        <w:t>扫描</w:t>
      </w:r>
      <w:r>
        <w:rPr>
          <w:rFonts w:hint="eastAsia" w:ascii="宋体" w:hAnsi="宋体" w:eastAsia="宋体" w:cs="宋体"/>
          <w:snapToGrid w:val="0"/>
          <w:color w:val="auto"/>
          <w:kern w:val="0"/>
          <w:sz w:val="21"/>
          <w:szCs w:val="28"/>
          <w:highlight w:val="none"/>
        </w:rPr>
        <w:t>至变更注册栏</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lang w:val="en-US" w:eastAsia="zh-CN"/>
        </w:rPr>
        <w:t>或在使用有效期内的有效电子证书</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rPr>
        <w:t>具体要求详见招标文件第一章第三节第</w:t>
      </w:r>
      <w:r>
        <w:rPr>
          <w:rFonts w:hint="eastAsia" w:ascii="宋体" w:hAnsi="宋体" w:eastAsia="宋体" w:cs="宋体"/>
          <w:b/>
          <w:bCs/>
          <w:snapToGrid w:val="0"/>
          <w:color w:val="auto"/>
          <w:kern w:val="0"/>
          <w:sz w:val="21"/>
          <w:szCs w:val="28"/>
          <w:highlight w:val="none"/>
        </w:rPr>
        <w:t>15.5</w:t>
      </w:r>
      <w:r>
        <w:rPr>
          <w:rFonts w:hint="eastAsia" w:ascii="宋体" w:hAnsi="宋体" w:eastAsia="宋体" w:cs="宋体"/>
          <w:snapToGrid w:val="0"/>
          <w:color w:val="auto"/>
          <w:kern w:val="0"/>
          <w:sz w:val="21"/>
          <w:szCs w:val="28"/>
          <w:highlight w:val="none"/>
        </w:rPr>
        <w:t>条表</w:t>
      </w:r>
      <w:r>
        <w:rPr>
          <w:rFonts w:hint="eastAsia" w:ascii="宋体" w:hAnsi="宋体" w:eastAsia="宋体" w:cs="宋体"/>
          <w:b/>
          <w:bCs/>
          <w:snapToGrid w:val="0"/>
          <w:color w:val="auto"/>
          <w:kern w:val="0"/>
          <w:sz w:val="21"/>
          <w:szCs w:val="28"/>
          <w:highlight w:val="none"/>
        </w:rPr>
        <w:t>2</w:t>
      </w:r>
      <w:r>
        <w:rPr>
          <w:rFonts w:hint="eastAsia" w:ascii="宋体" w:hAnsi="宋体" w:eastAsia="宋体" w:cs="宋体"/>
          <w:snapToGrid w:val="0"/>
          <w:color w:val="auto"/>
          <w:kern w:val="0"/>
          <w:sz w:val="21"/>
          <w:szCs w:val="28"/>
          <w:highlight w:val="none"/>
        </w:rPr>
        <w:t>《项目监理机构其他人员需求表》“持证要求”栏目</w:t>
      </w:r>
      <w:r>
        <w:rPr>
          <w:rFonts w:hint="eastAsia" w:ascii="宋体" w:hAnsi="宋体" w:eastAsia="宋体" w:cs="宋体"/>
          <w:snapToGrid w:val="0"/>
          <w:color w:val="auto"/>
          <w:kern w:val="0"/>
          <w:sz w:val="21"/>
          <w:szCs w:val="21"/>
          <w:highlight w:val="none"/>
        </w:rPr>
        <w:t>；</w:t>
      </w:r>
    </w:p>
    <w:p w14:paraId="17136646">
      <w:pPr>
        <w:shd w:val="clear" w:color="auto" w:fill="auto"/>
        <w:wordWrap w:val="0"/>
        <w:adjustRightInd w:val="0"/>
        <w:snapToGrid w:val="0"/>
        <w:spacing w:line="400" w:lineRule="exact"/>
        <w:ind w:firstLine="420"/>
        <w:rPr>
          <w:rFonts w:hint="eastAsia" w:ascii="宋体" w:hAnsi="宋体" w:eastAsia="宋体" w:cs="宋体"/>
          <w:snapToGrid w:val="0"/>
          <w:color w:val="auto"/>
          <w:kern w:val="0"/>
          <w:sz w:val="21"/>
          <w:szCs w:val="28"/>
          <w:highlight w:val="none"/>
          <w:lang w:eastAsia="zh-CN"/>
        </w:rPr>
      </w:pPr>
      <w:r>
        <w:rPr>
          <w:rFonts w:hint="eastAsia" w:ascii="宋体" w:hAnsi="宋体" w:eastAsia="宋体" w:cs="宋体"/>
          <w:snapToGrid w:val="0"/>
          <w:color w:val="auto"/>
          <w:kern w:val="0"/>
          <w:sz w:val="21"/>
          <w:szCs w:val="28"/>
          <w:highlight w:val="none"/>
        </w:rPr>
        <w:t>（3）</w:t>
      </w:r>
      <w:r>
        <w:rPr>
          <w:rFonts w:hint="eastAsia" w:ascii="宋体" w:hAnsi="宋体" w:eastAsia="宋体" w:cs="宋体"/>
          <w:b w:val="0"/>
          <w:bCs w:val="0"/>
          <w:snapToGrid w:val="0"/>
          <w:color w:val="auto"/>
          <w:kern w:val="0"/>
          <w:sz w:val="21"/>
          <w:szCs w:val="28"/>
          <w:highlight w:val="none"/>
        </w:rPr>
        <w:t>在本单位缴</w:t>
      </w:r>
      <w:r>
        <w:rPr>
          <w:rFonts w:hint="eastAsia" w:ascii="宋体" w:hAnsi="宋体" w:eastAsia="宋体" w:cs="宋体"/>
          <w:snapToGrid w:val="0"/>
          <w:color w:val="auto"/>
          <w:kern w:val="0"/>
          <w:sz w:val="21"/>
          <w:szCs w:val="28"/>
          <w:highlight w:val="none"/>
        </w:rPr>
        <w:t>纳社保的证明</w:t>
      </w:r>
      <w:r>
        <w:rPr>
          <w:rFonts w:hint="eastAsia" w:ascii="宋体" w:hAnsi="宋体" w:eastAsia="宋体" w:cs="宋体"/>
          <w:snapToGrid w:val="0"/>
          <w:color w:val="auto"/>
          <w:kern w:val="0"/>
          <w:sz w:val="21"/>
          <w:szCs w:val="28"/>
          <w:highlight w:val="none"/>
          <w:lang w:val="en-US" w:eastAsia="zh-CN"/>
        </w:rPr>
        <w:t>彩色扫描件</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8"/>
          <w:highlight w:val="none"/>
          <w:lang w:eastAsia="zh-CN"/>
        </w:rPr>
        <w:t>至少三个月，其中必须有2026年8月</w:t>
      </w:r>
      <w:r>
        <w:rPr>
          <w:rFonts w:hint="eastAsia" w:ascii="宋体" w:hAnsi="宋体" w:eastAsia="宋体" w:cs="宋体"/>
          <w:snapToGrid w:val="0"/>
          <w:color w:val="auto"/>
          <w:kern w:val="0"/>
          <w:sz w:val="21"/>
          <w:szCs w:val="28"/>
          <w:highlight w:val="none"/>
        </w:rPr>
        <w:t>）。其他拟委派的人员为退休返聘人员无法提供社保证明的，提供退休证和劳动合同</w:t>
      </w:r>
      <w:r>
        <w:rPr>
          <w:rFonts w:hint="eastAsia" w:ascii="宋体" w:hAnsi="宋体" w:eastAsia="宋体" w:cs="宋体"/>
          <w:snapToGrid w:val="0"/>
          <w:color w:val="auto"/>
          <w:kern w:val="0"/>
          <w:sz w:val="21"/>
          <w:szCs w:val="28"/>
          <w:highlight w:val="none"/>
          <w:lang w:val="en-US" w:eastAsia="zh-CN"/>
        </w:rPr>
        <w:t>彩色扫描件</w:t>
      </w:r>
      <w:r>
        <w:rPr>
          <w:rFonts w:hint="eastAsia" w:ascii="宋体" w:hAnsi="宋体" w:eastAsia="宋体" w:cs="宋体"/>
          <w:snapToGrid w:val="0"/>
          <w:color w:val="auto"/>
          <w:kern w:val="0"/>
          <w:sz w:val="21"/>
          <w:szCs w:val="28"/>
          <w:highlight w:val="none"/>
          <w:lang w:eastAsia="zh-CN"/>
        </w:rPr>
        <w:t>。</w:t>
      </w:r>
    </w:p>
    <w:bookmarkEnd w:id="412"/>
    <w:bookmarkEnd w:id="413"/>
    <w:p w14:paraId="21449330">
      <w:pPr>
        <w:pStyle w:val="57"/>
        <w:widowControl w:val="0"/>
        <w:shd w:val="clear" w:color="auto" w:fill="auto"/>
        <w:wordWrap w:val="0"/>
        <w:adjustRightInd w:val="0"/>
        <w:snapToGrid w:val="0"/>
        <w:spacing w:line="440" w:lineRule="exact"/>
        <w:ind w:firstLine="0"/>
        <w:outlineLvl w:val="2"/>
        <w:rPr>
          <w:rStyle w:val="37"/>
          <w:rFonts w:hint="eastAsia" w:ascii="宋体" w:hAnsi="宋体" w:eastAsia="宋体" w:cs="宋体"/>
          <w:b/>
          <w:bCs/>
          <w:color w:val="auto"/>
          <w:kern w:val="2"/>
          <w:highlight w:val="none"/>
          <w:lang w:val="en-US" w:eastAsia="zh-CN" w:bidi="ar-SA"/>
        </w:rPr>
      </w:pPr>
      <w:r>
        <w:rPr>
          <w:rFonts w:hint="eastAsia" w:ascii="宋体" w:hAnsi="宋体" w:eastAsia="宋体" w:cs="宋体"/>
          <w:b/>
          <w:bCs/>
          <w:snapToGrid w:val="0"/>
          <w:color w:val="auto"/>
          <w:sz w:val="24"/>
          <w:highlight w:val="none"/>
        </w:rPr>
        <w:br w:type="page"/>
      </w:r>
      <w:bookmarkStart w:id="540" w:name="_Toc19935"/>
      <w:bookmarkStart w:id="541" w:name="_Toc15130"/>
      <w:bookmarkStart w:id="542" w:name="_Toc6615"/>
      <w:bookmarkStart w:id="543" w:name="_Toc31108"/>
      <w:bookmarkStart w:id="544" w:name="_Toc5484"/>
      <w:bookmarkStart w:id="545" w:name="_Toc3417"/>
      <w:bookmarkStart w:id="546" w:name="_Toc7684"/>
      <w:bookmarkStart w:id="547" w:name="_Toc8263"/>
      <w:bookmarkStart w:id="548" w:name="_Toc1022"/>
      <w:bookmarkStart w:id="549" w:name="_Toc20301"/>
      <w:r>
        <w:rPr>
          <w:rStyle w:val="37"/>
          <w:rFonts w:hint="eastAsia" w:ascii="宋体" w:hAnsi="宋体" w:eastAsia="宋体" w:cs="宋体"/>
          <w:b/>
          <w:bCs/>
          <w:color w:val="auto"/>
          <w:kern w:val="2"/>
          <w:highlight w:val="none"/>
          <w:lang w:val="en-US" w:eastAsia="zh-CN" w:bidi="ar-SA"/>
        </w:rPr>
        <w:t>格式十三 监理及相关服务报酬清单</w:t>
      </w:r>
      <w:bookmarkEnd w:id="540"/>
      <w:bookmarkEnd w:id="541"/>
      <w:bookmarkEnd w:id="542"/>
      <w:bookmarkEnd w:id="543"/>
      <w:bookmarkEnd w:id="544"/>
      <w:bookmarkEnd w:id="545"/>
      <w:bookmarkEnd w:id="546"/>
      <w:bookmarkEnd w:id="547"/>
      <w:bookmarkEnd w:id="548"/>
      <w:bookmarkEnd w:id="549"/>
    </w:p>
    <w:p w14:paraId="667EACF1">
      <w:pPr>
        <w:pStyle w:val="57"/>
        <w:widowControl w:val="0"/>
        <w:shd w:val="clear" w:color="auto" w:fill="auto"/>
        <w:wordWrap w:val="0"/>
        <w:adjustRightInd w:val="0"/>
        <w:snapToGrid w:val="0"/>
        <w:spacing w:before="260" w:after="260" w:line="440" w:lineRule="exact"/>
        <w:ind w:firstLine="0"/>
        <w:jc w:val="center"/>
        <w:rPr>
          <w:rFonts w:hint="eastAsia" w:ascii="宋体" w:hAnsi="宋体" w:eastAsia="宋体" w:cs="宋体"/>
          <w:b/>
          <w:bCs/>
          <w:snapToGrid w:val="0"/>
          <w:color w:val="auto"/>
          <w:sz w:val="30"/>
          <w:highlight w:val="none"/>
        </w:rPr>
      </w:pPr>
      <w:r>
        <w:rPr>
          <w:rFonts w:hint="eastAsia" w:ascii="宋体" w:hAnsi="宋体" w:eastAsia="宋体" w:cs="宋体"/>
          <w:b/>
          <w:bCs/>
          <w:snapToGrid w:val="0"/>
          <w:color w:val="auto"/>
          <w:sz w:val="30"/>
          <w:highlight w:val="none"/>
        </w:rPr>
        <w:t>监理及相关服务报酬清单</w:t>
      </w:r>
    </w:p>
    <w:p w14:paraId="1CBC319F">
      <w:pPr>
        <w:pStyle w:val="57"/>
        <w:widowControl w:val="0"/>
        <w:shd w:val="clear" w:color="auto" w:fill="auto"/>
        <w:wordWrap w:val="0"/>
        <w:adjustRightInd w:val="0"/>
        <w:snapToGrid w:val="0"/>
        <w:spacing w:line="440" w:lineRule="exact"/>
        <w:ind w:firstLine="0"/>
        <w:rPr>
          <w:rFonts w:hint="eastAsia" w:ascii="宋体" w:hAnsi="宋体" w:eastAsia="宋体" w:cs="宋体"/>
          <w:snapToGrid w:val="0"/>
          <w:color w:val="auto"/>
          <w:sz w:val="24"/>
          <w:highlight w:val="none"/>
        </w:rPr>
      </w:pPr>
      <w:r>
        <w:rPr>
          <w:rFonts w:hint="eastAsia" w:ascii="宋体" w:hAnsi="宋体" w:eastAsia="宋体" w:cs="宋体"/>
          <w:snapToGrid w:val="0"/>
          <w:color w:val="auto"/>
          <w:sz w:val="24"/>
          <w:highlight w:val="none"/>
        </w:rPr>
        <w:t>1．监理及相关服务报酬清单说明</w:t>
      </w:r>
    </w:p>
    <w:p w14:paraId="7ACF7556">
      <w:pPr>
        <w:pStyle w:val="57"/>
        <w:widowControl w:val="0"/>
        <w:shd w:val="clear" w:color="auto" w:fill="auto"/>
        <w:wordWrap w:val="0"/>
        <w:adjustRightInd w:val="0"/>
        <w:snapToGrid w:val="0"/>
        <w:spacing w:line="440" w:lineRule="exact"/>
        <w:ind w:firstLine="0"/>
        <w:rPr>
          <w:rFonts w:hint="eastAsia" w:ascii="宋体" w:hAnsi="宋体" w:eastAsia="宋体" w:cs="宋体"/>
          <w:snapToGrid w:val="0"/>
          <w:color w:val="auto"/>
          <w:sz w:val="24"/>
          <w:highlight w:val="none"/>
        </w:rPr>
      </w:pPr>
      <w:r>
        <w:rPr>
          <w:rFonts w:hint="eastAsia" w:ascii="宋体" w:hAnsi="宋体" w:eastAsia="宋体" w:cs="宋体"/>
          <w:snapToGrid w:val="0"/>
          <w:color w:val="auto"/>
          <w:sz w:val="24"/>
          <w:highlight w:val="none"/>
        </w:rPr>
        <w:t>……</w:t>
      </w:r>
    </w:p>
    <w:p w14:paraId="4BC9CEA9">
      <w:pPr>
        <w:pStyle w:val="57"/>
        <w:widowControl w:val="0"/>
        <w:shd w:val="clear" w:color="auto" w:fill="auto"/>
        <w:wordWrap w:val="0"/>
        <w:adjustRightInd w:val="0"/>
        <w:snapToGrid w:val="0"/>
        <w:spacing w:line="440" w:lineRule="exact"/>
        <w:ind w:firstLine="0"/>
        <w:rPr>
          <w:rFonts w:hint="eastAsia" w:ascii="宋体" w:hAnsi="宋体" w:eastAsia="宋体" w:cs="宋体"/>
          <w:snapToGrid w:val="0"/>
          <w:color w:val="auto"/>
          <w:sz w:val="24"/>
          <w:highlight w:val="none"/>
        </w:rPr>
      </w:pPr>
      <w:r>
        <w:rPr>
          <w:rFonts w:hint="eastAsia" w:ascii="宋体" w:hAnsi="宋体" w:eastAsia="宋体" w:cs="宋体"/>
          <w:snapToGrid w:val="0"/>
          <w:color w:val="auto"/>
          <w:sz w:val="24"/>
          <w:highlight w:val="none"/>
        </w:rPr>
        <w:t>2．监理及相关服务报酬清单</w:t>
      </w:r>
    </w:p>
    <w:p w14:paraId="708D4682">
      <w:pPr>
        <w:pStyle w:val="57"/>
        <w:widowControl w:val="0"/>
        <w:shd w:val="clear" w:color="auto" w:fill="auto"/>
        <w:wordWrap w:val="0"/>
        <w:adjustRightInd w:val="0"/>
        <w:snapToGrid w:val="0"/>
        <w:spacing w:line="440" w:lineRule="exact"/>
        <w:ind w:firstLine="0"/>
        <w:jc w:val="right"/>
        <w:rPr>
          <w:rFonts w:hint="eastAsia" w:ascii="宋体" w:hAnsi="宋体" w:eastAsia="宋体" w:cs="宋体"/>
          <w:snapToGrid w:val="0"/>
          <w:color w:val="auto"/>
          <w:sz w:val="24"/>
          <w:highlight w:val="none"/>
        </w:rPr>
      </w:pPr>
      <w:r>
        <w:rPr>
          <w:rFonts w:hint="eastAsia" w:ascii="宋体" w:hAnsi="宋体" w:eastAsia="宋体" w:cs="宋体"/>
          <w:snapToGrid w:val="0"/>
          <w:color w:val="auto"/>
          <w:sz w:val="24"/>
          <w:highlight w:val="none"/>
        </w:rPr>
        <w:t>单位：元</w:t>
      </w:r>
    </w:p>
    <w:tbl>
      <w:tblPr>
        <w:tblStyle w:val="3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
        <w:gridCol w:w="480"/>
        <w:gridCol w:w="503"/>
        <w:gridCol w:w="1800"/>
        <w:gridCol w:w="2340"/>
        <w:gridCol w:w="1252"/>
        <w:gridCol w:w="2328"/>
      </w:tblGrid>
      <w:tr w14:paraId="2728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357" w:type="dxa"/>
            <w:vAlign w:val="center"/>
          </w:tcPr>
          <w:p w14:paraId="1DE2E97C">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序号</w:t>
            </w:r>
          </w:p>
        </w:tc>
        <w:tc>
          <w:tcPr>
            <w:tcW w:w="2783" w:type="dxa"/>
            <w:gridSpan w:val="3"/>
            <w:vAlign w:val="center"/>
          </w:tcPr>
          <w:p w14:paraId="30688CAA">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分项名称</w:t>
            </w:r>
          </w:p>
        </w:tc>
        <w:tc>
          <w:tcPr>
            <w:tcW w:w="2340" w:type="dxa"/>
            <w:vAlign w:val="center"/>
          </w:tcPr>
          <w:p w14:paraId="1D99E2D1">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计算公式</w:t>
            </w:r>
          </w:p>
        </w:tc>
        <w:tc>
          <w:tcPr>
            <w:tcW w:w="1252" w:type="dxa"/>
            <w:vAlign w:val="center"/>
          </w:tcPr>
          <w:p w14:paraId="4677DA5C">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金额</w:t>
            </w:r>
          </w:p>
        </w:tc>
        <w:tc>
          <w:tcPr>
            <w:tcW w:w="2328" w:type="dxa"/>
            <w:vAlign w:val="center"/>
          </w:tcPr>
          <w:p w14:paraId="408A0992">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备注</w:t>
            </w:r>
          </w:p>
        </w:tc>
      </w:tr>
      <w:tr w14:paraId="10C3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restart"/>
            <w:vAlign w:val="center"/>
          </w:tcPr>
          <w:p w14:paraId="57B9C31B">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1</w:t>
            </w:r>
          </w:p>
        </w:tc>
        <w:tc>
          <w:tcPr>
            <w:tcW w:w="480" w:type="dxa"/>
            <w:vMerge w:val="restart"/>
            <w:vAlign w:val="center"/>
          </w:tcPr>
          <w:p w14:paraId="77A6B002">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直接成本</w:t>
            </w:r>
          </w:p>
        </w:tc>
        <w:tc>
          <w:tcPr>
            <w:tcW w:w="503" w:type="dxa"/>
            <w:vMerge w:val="restart"/>
            <w:vAlign w:val="center"/>
          </w:tcPr>
          <w:p w14:paraId="402FD286">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人员费用</w:t>
            </w:r>
          </w:p>
        </w:tc>
        <w:tc>
          <w:tcPr>
            <w:tcW w:w="1800" w:type="dxa"/>
            <w:vAlign w:val="center"/>
          </w:tcPr>
          <w:p w14:paraId="40C0DEB0">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总监理工程师</w:t>
            </w:r>
          </w:p>
        </w:tc>
        <w:tc>
          <w:tcPr>
            <w:tcW w:w="2340" w:type="dxa"/>
            <w:vAlign w:val="center"/>
          </w:tcPr>
          <w:p w14:paraId="692E1179">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56368A4E">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Merge w:val="restart"/>
            <w:vAlign w:val="center"/>
          </w:tcPr>
          <w:p w14:paraId="6A9022A2">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含监理、相关服务人员的工资以及一切津贴、补贴、奖金等。</w:t>
            </w:r>
          </w:p>
        </w:tc>
      </w:tr>
      <w:tr w14:paraId="303F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continue"/>
            <w:vAlign w:val="center"/>
          </w:tcPr>
          <w:p w14:paraId="0C1B3980">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480" w:type="dxa"/>
            <w:vMerge w:val="continue"/>
            <w:vAlign w:val="center"/>
          </w:tcPr>
          <w:p w14:paraId="71A03817">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503" w:type="dxa"/>
            <w:vMerge w:val="continue"/>
            <w:vAlign w:val="center"/>
          </w:tcPr>
          <w:p w14:paraId="292954AB">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800" w:type="dxa"/>
            <w:vAlign w:val="center"/>
          </w:tcPr>
          <w:p w14:paraId="006A33D2">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专业监理工程师</w:t>
            </w:r>
          </w:p>
        </w:tc>
        <w:tc>
          <w:tcPr>
            <w:tcW w:w="2340" w:type="dxa"/>
            <w:vAlign w:val="center"/>
          </w:tcPr>
          <w:p w14:paraId="3980F033">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47121AFF">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Merge w:val="continue"/>
            <w:vAlign w:val="center"/>
          </w:tcPr>
          <w:p w14:paraId="628FC696">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r w14:paraId="6E93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continue"/>
            <w:vAlign w:val="center"/>
          </w:tcPr>
          <w:p w14:paraId="284D8D0C">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480" w:type="dxa"/>
            <w:vMerge w:val="continue"/>
            <w:vAlign w:val="center"/>
          </w:tcPr>
          <w:p w14:paraId="5D6209F0">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503" w:type="dxa"/>
            <w:vMerge w:val="continue"/>
            <w:vAlign w:val="center"/>
          </w:tcPr>
          <w:p w14:paraId="341659BB">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800" w:type="dxa"/>
            <w:vAlign w:val="center"/>
          </w:tcPr>
          <w:p w14:paraId="23AAB0F3">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监理员</w:t>
            </w:r>
          </w:p>
        </w:tc>
        <w:tc>
          <w:tcPr>
            <w:tcW w:w="2340" w:type="dxa"/>
            <w:vAlign w:val="center"/>
          </w:tcPr>
          <w:p w14:paraId="7BC2EA48">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45061B67">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Merge w:val="continue"/>
            <w:vAlign w:val="center"/>
          </w:tcPr>
          <w:p w14:paraId="4D035C30">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r w14:paraId="3771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continue"/>
            <w:vAlign w:val="center"/>
          </w:tcPr>
          <w:p w14:paraId="5D87F4A6">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480" w:type="dxa"/>
            <w:vMerge w:val="continue"/>
            <w:vAlign w:val="center"/>
          </w:tcPr>
          <w:p w14:paraId="41A69AB6">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503" w:type="dxa"/>
            <w:vMerge w:val="continue"/>
            <w:vAlign w:val="center"/>
          </w:tcPr>
          <w:p w14:paraId="4B20BDDB">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800" w:type="dxa"/>
            <w:vAlign w:val="center"/>
          </w:tcPr>
          <w:p w14:paraId="15F823D8">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w:t>
            </w:r>
          </w:p>
        </w:tc>
        <w:tc>
          <w:tcPr>
            <w:tcW w:w="2340" w:type="dxa"/>
            <w:vAlign w:val="center"/>
          </w:tcPr>
          <w:p w14:paraId="2263D8D7">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44C62D58">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Merge w:val="continue"/>
            <w:vAlign w:val="center"/>
          </w:tcPr>
          <w:p w14:paraId="366BA2DC">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r w14:paraId="7D3E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exact"/>
        </w:trPr>
        <w:tc>
          <w:tcPr>
            <w:tcW w:w="357" w:type="dxa"/>
            <w:vMerge w:val="continue"/>
            <w:vAlign w:val="center"/>
          </w:tcPr>
          <w:p w14:paraId="0BCE5F7F">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480" w:type="dxa"/>
            <w:vMerge w:val="continue"/>
            <w:vAlign w:val="center"/>
          </w:tcPr>
          <w:p w14:paraId="4AED7B8E">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503" w:type="dxa"/>
            <w:vMerge w:val="restart"/>
            <w:vAlign w:val="center"/>
          </w:tcPr>
          <w:p w14:paraId="63DCB789">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专项费用</w:t>
            </w:r>
          </w:p>
        </w:tc>
        <w:tc>
          <w:tcPr>
            <w:tcW w:w="1800" w:type="dxa"/>
            <w:vAlign w:val="center"/>
          </w:tcPr>
          <w:p w14:paraId="3BF30E04">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现场办公费</w:t>
            </w:r>
          </w:p>
        </w:tc>
        <w:tc>
          <w:tcPr>
            <w:tcW w:w="2340" w:type="dxa"/>
            <w:vAlign w:val="center"/>
          </w:tcPr>
          <w:p w14:paraId="029DB3FC">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77E46E68">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Align w:val="center"/>
          </w:tcPr>
          <w:p w14:paraId="438936CE">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含现场办公所需各种办公用品摊销折旧费用。</w:t>
            </w:r>
          </w:p>
        </w:tc>
      </w:tr>
      <w:tr w14:paraId="291F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continue"/>
            <w:vAlign w:val="center"/>
          </w:tcPr>
          <w:p w14:paraId="7AFE85E9">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480" w:type="dxa"/>
            <w:vMerge w:val="continue"/>
            <w:vAlign w:val="center"/>
          </w:tcPr>
          <w:p w14:paraId="04445D94">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503" w:type="dxa"/>
            <w:vMerge w:val="continue"/>
            <w:vAlign w:val="center"/>
          </w:tcPr>
          <w:p w14:paraId="55860DBD">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800" w:type="dxa"/>
            <w:vAlign w:val="center"/>
          </w:tcPr>
          <w:p w14:paraId="49FA02E4">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交通差旅住宿费</w:t>
            </w:r>
          </w:p>
        </w:tc>
        <w:tc>
          <w:tcPr>
            <w:tcW w:w="2340" w:type="dxa"/>
            <w:vAlign w:val="center"/>
          </w:tcPr>
          <w:p w14:paraId="59D518DD">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411F75A8">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Align w:val="center"/>
          </w:tcPr>
          <w:p w14:paraId="40F6C2AF">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r w14:paraId="44B3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exact"/>
        </w:trPr>
        <w:tc>
          <w:tcPr>
            <w:tcW w:w="357" w:type="dxa"/>
            <w:vMerge w:val="continue"/>
            <w:vAlign w:val="center"/>
          </w:tcPr>
          <w:p w14:paraId="48EF3771">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480" w:type="dxa"/>
            <w:vMerge w:val="continue"/>
            <w:vAlign w:val="center"/>
          </w:tcPr>
          <w:p w14:paraId="0B89A204">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503" w:type="dxa"/>
            <w:vMerge w:val="continue"/>
            <w:vAlign w:val="center"/>
          </w:tcPr>
          <w:p w14:paraId="16446220">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800" w:type="dxa"/>
            <w:vAlign w:val="center"/>
          </w:tcPr>
          <w:p w14:paraId="02C0EA05">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其他费用</w:t>
            </w:r>
          </w:p>
        </w:tc>
        <w:tc>
          <w:tcPr>
            <w:tcW w:w="2340" w:type="dxa"/>
            <w:vAlign w:val="center"/>
          </w:tcPr>
          <w:p w14:paraId="30B67ABA">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7E173D5B">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Align w:val="center"/>
          </w:tcPr>
          <w:p w14:paraId="40FB14F3">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含加班费等各种可预见和不可预见费用。</w:t>
            </w:r>
          </w:p>
        </w:tc>
      </w:tr>
      <w:tr w14:paraId="6DAB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continue"/>
            <w:vAlign w:val="center"/>
          </w:tcPr>
          <w:p w14:paraId="2FB05E2C">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480" w:type="dxa"/>
            <w:vMerge w:val="continue"/>
            <w:vAlign w:val="center"/>
          </w:tcPr>
          <w:p w14:paraId="4C0F1559">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503" w:type="dxa"/>
            <w:vMerge w:val="continue"/>
            <w:vAlign w:val="center"/>
          </w:tcPr>
          <w:p w14:paraId="065B26B4">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800" w:type="dxa"/>
            <w:vAlign w:val="center"/>
          </w:tcPr>
          <w:p w14:paraId="416021B4">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w:t>
            </w:r>
          </w:p>
        </w:tc>
        <w:tc>
          <w:tcPr>
            <w:tcW w:w="2340" w:type="dxa"/>
            <w:vAlign w:val="center"/>
          </w:tcPr>
          <w:p w14:paraId="493A0E7E">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7859F098">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Align w:val="center"/>
          </w:tcPr>
          <w:p w14:paraId="24426ACB">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r w14:paraId="4E2B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Align w:val="center"/>
          </w:tcPr>
          <w:p w14:paraId="57215551">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2</w:t>
            </w:r>
          </w:p>
        </w:tc>
        <w:tc>
          <w:tcPr>
            <w:tcW w:w="2783" w:type="dxa"/>
            <w:gridSpan w:val="3"/>
            <w:vAlign w:val="center"/>
          </w:tcPr>
          <w:p w14:paraId="627C308F">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企业管理费</w:t>
            </w:r>
          </w:p>
        </w:tc>
        <w:tc>
          <w:tcPr>
            <w:tcW w:w="2340" w:type="dxa"/>
            <w:vAlign w:val="center"/>
          </w:tcPr>
          <w:p w14:paraId="0C408A8A">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759C9D85">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Align w:val="center"/>
          </w:tcPr>
          <w:p w14:paraId="5C62CD86">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r w14:paraId="2850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Align w:val="center"/>
          </w:tcPr>
          <w:p w14:paraId="6E1A7221">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3</w:t>
            </w:r>
          </w:p>
        </w:tc>
        <w:tc>
          <w:tcPr>
            <w:tcW w:w="2783" w:type="dxa"/>
            <w:gridSpan w:val="3"/>
            <w:vAlign w:val="center"/>
          </w:tcPr>
          <w:p w14:paraId="00415CBA">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利润</w:t>
            </w:r>
          </w:p>
        </w:tc>
        <w:tc>
          <w:tcPr>
            <w:tcW w:w="2340" w:type="dxa"/>
            <w:vAlign w:val="center"/>
          </w:tcPr>
          <w:p w14:paraId="74381810">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19E7FAA2">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Align w:val="center"/>
          </w:tcPr>
          <w:p w14:paraId="3405EADD">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r w14:paraId="7046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restart"/>
            <w:vAlign w:val="center"/>
          </w:tcPr>
          <w:p w14:paraId="4E7BCEA6">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4</w:t>
            </w:r>
          </w:p>
        </w:tc>
        <w:tc>
          <w:tcPr>
            <w:tcW w:w="480" w:type="dxa"/>
            <w:vMerge w:val="restart"/>
            <w:vAlign w:val="center"/>
          </w:tcPr>
          <w:p w14:paraId="5C39FAD6">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税金</w:t>
            </w:r>
          </w:p>
        </w:tc>
        <w:tc>
          <w:tcPr>
            <w:tcW w:w="2303" w:type="dxa"/>
            <w:gridSpan w:val="2"/>
            <w:vAlign w:val="center"/>
          </w:tcPr>
          <w:p w14:paraId="2E04D970">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增值税</w:t>
            </w:r>
          </w:p>
        </w:tc>
        <w:tc>
          <w:tcPr>
            <w:tcW w:w="2340" w:type="dxa"/>
            <w:vAlign w:val="center"/>
          </w:tcPr>
          <w:p w14:paraId="311A1E12">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0BF068E1">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Align w:val="center"/>
          </w:tcPr>
          <w:p w14:paraId="3629E903">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r w14:paraId="5F9B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continue"/>
            <w:vAlign w:val="center"/>
          </w:tcPr>
          <w:p w14:paraId="3DE0AF42">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480" w:type="dxa"/>
            <w:vMerge w:val="continue"/>
            <w:vAlign w:val="center"/>
          </w:tcPr>
          <w:p w14:paraId="212D87A2">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2303" w:type="dxa"/>
            <w:gridSpan w:val="2"/>
            <w:vAlign w:val="center"/>
          </w:tcPr>
          <w:p w14:paraId="18B28653">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rPr>
              <w:t>所得税</w:t>
            </w:r>
          </w:p>
        </w:tc>
        <w:tc>
          <w:tcPr>
            <w:tcW w:w="2340" w:type="dxa"/>
            <w:vAlign w:val="center"/>
          </w:tcPr>
          <w:p w14:paraId="5B7CE165">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1252" w:type="dxa"/>
            <w:vAlign w:val="center"/>
          </w:tcPr>
          <w:p w14:paraId="3C4CDB49">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2328" w:type="dxa"/>
            <w:vAlign w:val="center"/>
          </w:tcPr>
          <w:p w14:paraId="3F75A278">
            <w:pPr>
              <w:pStyle w:val="57"/>
              <w:widowControl w:val="0"/>
              <w:shd w:val="clear" w:color="auto" w:fill="auto"/>
              <w:wordWrap w:val="0"/>
              <w:adjustRightInd w:val="0"/>
              <w:snapToGrid w:val="0"/>
              <w:spacing w:line="240" w:lineRule="auto"/>
              <w:ind w:firstLine="0"/>
              <w:jc w:val="both"/>
              <w:rPr>
                <w:rFonts w:hint="eastAsia" w:ascii="宋体" w:hAnsi="宋体" w:eastAsia="宋体" w:cs="宋体"/>
                <w:color w:val="auto"/>
                <w:sz w:val="21"/>
                <w:highlight w:val="none"/>
              </w:rPr>
            </w:pPr>
          </w:p>
        </w:tc>
      </w:tr>
      <w:tr w14:paraId="52C1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continue"/>
            <w:vAlign w:val="center"/>
          </w:tcPr>
          <w:p w14:paraId="31DC24EC">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480" w:type="dxa"/>
            <w:vMerge w:val="continue"/>
            <w:vAlign w:val="center"/>
          </w:tcPr>
          <w:p w14:paraId="57907166">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2303" w:type="dxa"/>
            <w:gridSpan w:val="2"/>
            <w:vAlign w:val="center"/>
          </w:tcPr>
          <w:p w14:paraId="3E8BD2E7">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rPr>
              <w:t>其他附加税</w:t>
            </w:r>
          </w:p>
        </w:tc>
        <w:tc>
          <w:tcPr>
            <w:tcW w:w="2340" w:type="dxa"/>
            <w:vAlign w:val="center"/>
          </w:tcPr>
          <w:p w14:paraId="10C482ED">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1252" w:type="dxa"/>
            <w:vAlign w:val="center"/>
          </w:tcPr>
          <w:p w14:paraId="31C620DD">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2328" w:type="dxa"/>
            <w:vAlign w:val="center"/>
          </w:tcPr>
          <w:p w14:paraId="079B25D3">
            <w:pPr>
              <w:pStyle w:val="57"/>
              <w:widowControl w:val="0"/>
              <w:shd w:val="clear" w:color="auto" w:fill="auto"/>
              <w:wordWrap w:val="0"/>
              <w:adjustRightInd w:val="0"/>
              <w:snapToGrid w:val="0"/>
              <w:spacing w:line="240" w:lineRule="auto"/>
              <w:ind w:firstLine="0"/>
              <w:jc w:val="both"/>
              <w:rPr>
                <w:rFonts w:hint="eastAsia" w:ascii="宋体" w:hAnsi="宋体" w:eastAsia="宋体" w:cs="宋体"/>
                <w:color w:val="auto"/>
                <w:sz w:val="21"/>
                <w:highlight w:val="none"/>
              </w:rPr>
            </w:pPr>
          </w:p>
        </w:tc>
      </w:tr>
      <w:tr w14:paraId="2C76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Merge w:val="continue"/>
            <w:vAlign w:val="center"/>
          </w:tcPr>
          <w:p w14:paraId="7A1E012D">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480" w:type="dxa"/>
            <w:vMerge w:val="continue"/>
            <w:vAlign w:val="center"/>
          </w:tcPr>
          <w:p w14:paraId="1561322D">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2303" w:type="dxa"/>
            <w:gridSpan w:val="2"/>
            <w:vAlign w:val="center"/>
          </w:tcPr>
          <w:p w14:paraId="7A4EF025">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r>
              <w:rPr>
                <w:rFonts w:hint="eastAsia" w:ascii="宋体" w:hAnsi="宋体" w:eastAsia="宋体" w:cs="宋体"/>
                <w:snapToGrid w:val="0"/>
                <w:color w:val="auto"/>
                <w:sz w:val="21"/>
                <w:highlight w:val="none"/>
              </w:rPr>
              <w:t>……</w:t>
            </w:r>
          </w:p>
        </w:tc>
        <w:tc>
          <w:tcPr>
            <w:tcW w:w="2340" w:type="dxa"/>
            <w:vAlign w:val="center"/>
          </w:tcPr>
          <w:p w14:paraId="31978F48">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1252" w:type="dxa"/>
            <w:vAlign w:val="center"/>
          </w:tcPr>
          <w:p w14:paraId="3C5E38C1">
            <w:pPr>
              <w:pStyle w:val="57"/>
              <w:widowControl w:val="0"/>
              <w:shd w:val="clear" w:color="auto" w:fill="auto"/>
              <w:wordWrap w:val="0"/>
              <w:adjustRightInd w:val="0"/>
              <w:snapToGrid w:val="0"/>
              <w:spacing w:line="240" w:lineRule="auto"/>
              <w:ind w:firstLine="0"/>
              <w:jc w:val="center"/>
              <w:rPr>
                <w:rFonts w:hint="eastAsia" w:ascii="宋体" w:hAnsi="宋体" w:eastAsia="宋体" w:cs="宋体"/>
                <w:color w:val="auto"/>
                <w:sz w:val="21"/>
                <w:highlight w:val="none"/>
              </w:rPr>
            </w:pPr>
          </w:p>
        </w:tc>
        <w:tc>
          <w:tcPr>
            <w:tcW w:w="2328" w:type="dxa"/>
            <w:vAlign w:val="center"/>
          </w:tcPr>
          <w:p w14:paraId="0F8CBC02">
            <w:pPr>
              <w:pStyle w:val="57"/>
              <w:widowControl w:val="0"/>
              <w:shd w:val="clear" w:color="auto" w:fill="auto"/>
              <w:wordWrap w:val="0"/>
              <w:adjustRightInd w:val="0"/>
              <w:snapToGrid w:val="0"/>
              <w:spacing w:line="240" w:lineRule="auto"/>
              <w:ind w:firstLine="0"/>
              <w:jc w:val="both"/>
              <w:rPr>
                <w:rFonts w:hint="eastAsia" w:ascii="宋体" w:hAnsi="宋体" w:eastAsia="宋体" w:cs="宋体"/>
                <w:color w:val="auto"/>
                <w:sz w:val="21"/>
                <w:highlight w:val="none"/>
              </w:rPr>
            </w:pPr>
          </w:p>
        </w:tc>
      </w:tr>
      <w:tr w14:paraId="0675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57" w:type="dxa"/>
            <w:vAlign w:val="center"/>
          </w:tcPr>
          <w:p w14:paraId="351AC58A">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w:t>
            </w:r>
          </w:p>
        </w:tc>
        <w:tc>
          <w:tcPr>
            <w:tcW w:w="2783" w:type="dxa"/>
            <w:gridSpan w:val="3"/>
            <w:vAlign w:val="center"/>
          </w:tcPr>
          <w:p w14:paraId="4F8CE243">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w:t>
            </w:r>
          </w:p>
        </w:tc>
        <w:tc>
          <w:tcPr>
            <w:tcW w:w="2340" w:type="dxa"/>
            <w:vAlign w:val="center"/>
          </w:tcPr>
          <w:p w14:paraId="6D9790DA">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1252" w:type="dxa"/>
            <w:vAlign w:val="center"/>
          </w:tcPr>
          <w:p w14:paraId="3D261C41">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Align w:val="center"/>
          </w:tcPr>
          <w:p w14:paraId="3B92ED46">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r w14:paraId="2833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5480" w:type="dxa"/>
            <w:gridSpan w:val="5"/>
            <w:vAlign w:val="center"/>
          </w:tcPr>
          <w:p w14:paraId="3CA8D10C">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合计报价</w:t>
            </w:r>
          </w:p>
        </w:tc>
        <w:tc>
          <w:tcPr>
            <w:tcW w:w="1252" w:type="dxa"/>
            <w:vAlign w:val="center"/>
          </w:tcPr>
          <w:p w14:paraId="2A5C78E9">
            <w:pPr>
              <w:pStyle w:val="57"/>
              <w:widowControl w:val="0"/>
              <w:shd w:val="clear" w:color="auto" w:fill="auto"/>
              <w:wordWrap w:val="0"/>
              <w:adjustRightInd w:val="0"/>
              <w:snapToGrid w:val="0"/>
              <w:spacing w:line="240" w:lineRule="auto"/>
              <w:ind w:firstLine="0"/>
              <w:jc w:val="center"/>
              <w:rPr>
                <w:rFonts w:hint="eastAsia" w:ascii="宋体" w:hAnsi="宋体" w:eastAsia="宋体" w:cs="宋体"/>
                <w:snapToGrid w:val="0"/>
                <w:color w:val="auto"/>
                <w:sz w:val="21"/>
                <w:highlight w:val="none"/>
              </w:rPr>
            </w:pPr>
          </w:p>
        </w:tc>
        <w:tc>
          <w:tcPr>
            <w:tcW w:w="2328" w:type="dxa"/>
            <w:vAlign w:val="center"/>
          </w:tcPr>
          <w:p w14:paraId="3EB78A6A">
            <w:pPr>
              <w:pStyle w:val="57"/>
              <w:widowControl w:val="0"/>
              <w:shd w:val="clear" w:color="auto" w:fill="auto"/>
              <w:wordWrap w:val="0"/>
              <w:adjustRightInd w:val="0"/>
              <w:snapToGrid w:val="0"/>
              <w:spacing w:line="240" w:lineRule="auto"/>
              <w:ind w:firstLine="0"/>
              <w:jc w:val="both"/>
              <w:rPr>
                <w:rFonts w:hint="eastAsia" w:ascii="宋体" w:hAnsi="宋体" w:eastAsia="宋体" w:cs="宋体"/>
                <w:snapToGrid w:val="0"/>
                <w:color w:val="auto"/>
                <w:sz w:val="21"/>
                <w:highlight w:val="none"/>
              </w:rPr>
            </w:pPr>
          </w:p>
        </w:tc>
      </w:tr>
    </w:tbl>
    <w:p w14:paraId="49DC338A">
      <w:pPr>
        <w:pStyle w:val="57"/>
        <w:widowControl w:val="0"/>
        <w:shd w:val="clear" w:color="auto" w:fill="auto"/>
        <w:wordWrap w:val="0"/>
        <w:adjustRightInd w:val="0"/>
        <w:snapToGrid w:val="0"/>
        <w:spacing w:line="400" w:lineRule="exact"/>
        <w:rPr>
          <w:rFonts w:hint="eastAsia" w:ascii="宋体" w:hAnsi="宋体" w:eastAsia="宋体" w:cs="宋体"/>
          <w:snapToGrid w:val="0"/>
          <w:color w:val="auto"/>
          <w:sz w:val="21"/>
          <w:highlight w:val="none"/>
        </w:rPr>
        <w:sectPr>
          <w:endnotePr>
            <w:numFmt w:val="decimal"/>
          </w:endnotePr>
          <w:pgSz w:w="11906" w:h="16838"/>
          <w:pgMar w:top="1531" w:right="1531" w:bottom="1531" w:left="1531" w:header="850" w:footer="992" w:gutter="0"/>
          <w:cols w:space="720" w:num="1"/>
          <w:rtlGutter w:val="0"/>
          <w:docGrid w:linePitch="327" w:charSpace="0"/>
        </w:sectPr>
      </w:pPr>
      <w:r>
        <w:rPr>
          <w:rFonts w:hint="eastAsia" w:ascii="宋体" w:hAnsi="宋体" w:eastAsia="宋体" w:cs="宋体"/>
          <w:snapToGrid w:val="0"/>
          <w:color w:val="auto"/>
          <w:sz w:val="21"/>
          <w:highlight w:val="none"/>
        </w:rPr>
        <w:t>说明：表中“分项名称”栏目中的内容仅供参考，投标人可结合企业实际情况以及招标文件要求自行填写。</w:t>
      </w:r>
    </w:p>
    <w:bookmarkEnd w:id="5"/>
    <w:bookmarkEnd w:id="414"/>
    <w:bookmarkEnd w:id="415"/>
    <w:p w14:paraId="40D3256B">
      <w:pPr>
        <w:pStyle w:val="56"/>
        <w:keepNext w:val="0"/>
        <w:keepLines w:val="0"/>
        <w:widowControl w:val="0"/>
        <w:shd w:val="clear" w:color="auto" w:fill="auto"/>
        <w:wordWrap w:val="0"/>
        <w:adjustRightInd w:val="0"/>
        <w:snapToGrid w:val="0"/>
        <w:spacing w:before="0" w:after="0" w:line="240" w:lineRule="auto"/>
        <w:ind w:left="3640" w:leftChars="15" w:hanging="3604" w:hangingChars="1496"/>
        <w:jc w:val="both"/>
        <w:outlineLvl w:val="9"/>
        <w:rPr>
          <w:rFonts w:hint="eastAsia" w:ascii="宋体" w:hAnsi="宋体" w:eastAsia="宋体" w:cs="宋体"/>
          <w:b/>
          <w:snapToGrid w:val="0"/>
          <w:color w:val="auto"/>
          <w:szCs w:val="22"/>
          <w:highlight w:val="none"/>
        </w:rPr>
      </w:pPr>
      <w:bookmarkStart w:id="550" w:name="_Hlt87793582"/>
      <w:bookmarkEnd w:id="550"/>
      <w:bookmarkStart w:id="551" w:name="_附件二十一：土建工程、电气工程、给排水工程工程清单项目费汇总表"/>
      <w:bookmarkEnd w:id="551"/>
      <w:bookmarkStart w:id="552" w:name="_附件十六：措施项目清单计价表"/>
      <w:bookmarkEnd w:id="552"/>
      <w:bookmarkStart w:id="553" w:name="_Hlt87783244"/>
      <w:bookmarkEnd w:id="553"/>
      <w:bookmarkStart w:id="554" w:name="_Toc4392"/>
      <w:bookmarkStart w:id="555" w:name="_Toc9978"/>
      <w:bookmarkStart w:id="556" w:name="_Toc23708"/>
      <w:bookmarkStart w:id="557" w:name="_Toc2734"/>
      <w:bookmarkStart w:id="558" w:name="_Toc30195"/>
      <w:bookmarkStart w:id="559" w:name="_Toc2590"/>
      <w:bookmarkStart w:id="560" w:name="_Toc15862"/>
      <w:bookmarkStart w:id="561" w:name="_Toc8368"/>
      <w:bookmarkStart w:id="562" w:name="_Toc32735"/>
      <w:bookmarkStart w:id="563" w:name="_Toc35007037"/>
      <w:bookmarkStart w:id="564" w:name="_Toc30690"/>
      <w:bookmarkStart w:id="565" w:name="_Toc1079"/>
      <w:bookmarkStart w:id="566" w:name="_Toc19005"/>
      <w:bookmarkStart w:id="567" w:name="_Toc137444778"/>
      <w:bookmarkStart w:id="568" w:name="_Toc132687128"/>
      <w:bookmarkStart w:id="569" w:name="_Toc142468134"/>
      <w:bookmarkStart w:id="570" w:name="_Toc133160683"/>
      <w:bookmarkStart w:id="571" w:name="_Toc13722"/>
      <w:bookmarkStart w:id="572" w:name="_Toc133815902"/>
      <w:bookmarkStart w:id="573" w:name="_Toc78794873"/>
    </w:p>
    <w:p w14:paraId="17EC1164">
      <w:pPr>
        <w:pStyle w:val="56"/>
        <w:keepNext w:val="0"/>
        <w:keepLines w:val="0"/>
        <w:widowControl w:val="0"/>
        <w:shd w:val="clear" w:color="auto" w:fill="auto"/>
        <w:wordWrap w:val="0"/>
        <w:adjustRightInd w:val="0"/>
        <w:snapToGrid w:val="0"/>
        <w:spacing w:before="0" w:after="0" w:line="240" w:lineRule="auto"/>
        <w:ind w:left="3640" w:leftChars="15" w:hanging="3604" w:hangingChars="1496"/>
        <w:jc w:val="both"/>
        <w:outlineLvl w:val="9"/>
        <w:rPr>
          <w:rFonts w:hint="eastAsia" w:ascii="宋体" w:hAnsi="宋体" w:eastAsia="宋体" w:cs="宋体"/>
          <w:b/>
          <w:snapToGrid w:val="0"/>
          <w:color w:val="auto"/>
          <w:szCs w:val="22"/>
          <w:highlight w:val="none"/>
        </w:rPr>
      </w:pPr>
    </w:p>
    <w:bookmarkEnd w:id="554"/>
    <w:bookmarkEnd w:id="555"/>
    <w:bookmarkEnd w:id="556"/>
    <w:bookmarkEnd w:id="557"/>
    <w:bookmarkEnd w:id="558"/>
    <w:bookmarkEnd w:id="559"/>
    <w:bookmarkEnd w:id="560"/>
    <w:bookmarkEnd w:id="561"/>
    <w:bookmarkEnd w:id="562"/>
    <w:bookmarkEnd w:id="563"/>
    <w:bookmarkEnd w:id="564"/>
    <w:bookmarkEnd w:id="565"/>
    <w:bookmarkEnd w:id="566"/>
    <w:p w14:paraId="520939F4">
      <w:pPr>
        <w:pStyle w:val="10"/>
        <w:shd w:val="clear" w:color="auto" w:fill="auto"/>
        <w:wordWrap w:val="0"/>
        <w:autoSpaceDE/>
        <w:autoSpaceDN/>
        <w:snapToGrid w:val="0"/>
        <w:spacing w:line="440" w:lineRule="exact"/>
        <w:jc w:val="center"/>
        <w:rPr>
          <w:rFonts w:hint="eastAsia" w:ascii="宋体" w:hAnsi="宋体" w:eastAsia="宋体" w:cs="宋体"/>
          <w:b/>
          <w:snapToGrid w:val="0"/>
          <w:color w:val="auto"/>
          <w:sz w:val="24"/>
          <w:highlight w:val="none"/>
        </w:rPr>
      </w:pPr>
      <w:bookmarkStart w:id="574" w:name="_Toc10006"/>
      <w:bookmarkStart w:id="575" w:name="_Toc20168"/>
      <w:bookmarkStart w:id="576" w:name="_Toc3629"/>
      <w:bookmarkStart w:id="577" w:name="_Toc19899"/>
      <w:bookmarkStart w:id="578" w:name="_Toc22163"/>
      <w:bookmarkStart w:id="579" w:name="_Toc17687"/>
      <w:bookmarkStart w:id="580" w:name="_Toc23860"/>
      <w:bookmarkStart w:id="581" w:name="_Toc20526"/>
      <w:bookmarkStart w:id="582" w:name="_Toc11009"/>
      <w:bookmarkStart w:id="583" w:name="_Toc28376"/>
      <w:bookmarkStart w:id="584" w:name="_Toc3376"/>
      <w:r>
        <w:rPr>
          <w:rFonts w:hint="eastAsia" w:ascii="宋体" w:hAnsi="宋体" w:eastAsia="宋体" w:cs="宋体"/>
          <w:b/>
          <w:snapToGrid w:val="0"/>
          <w:color w:val="auto"/>
          <w:sz w:val="24"/>
          <w:highlight w:val="none"/>
        </w:rPr>
        <w:t>第六章 建设工程监理合同</w:t>
      </w:r>
      <w:bookmarkEnd w:id="567"/>
      <w:bookmarkEnd w:id="568"/>
      <w:bookmarkEnd w:id="569"/>
      <w:bookmarkEnd w:id="570"/>
      <w:bookmarkEnd w:id="571"/>
      <w:bookmarkEnd w:id="574"/>
      <w:bookmarkEnd w:id="575"/>
      <w:bookmarkEnd w:id="576"/>
      <w:bookmarkEnd w:id="577"/>
      <w:bookmarkEnd w:id="578"/>
      <w:bookmarkEnd w:id="579"/>
      <w:bookmarkEnd w:id="580"/>
      <w:bookmarkEnd w:id="581"/>
      <w:bookmarkEnd w:id="582"/>
      <w:bookmarkEnd w:id="583"/>
      <w:bookmarkEnd w:id="584"/>
    </w:p>
    <w:p w14:paraId="13A73B08">
      <w:pPr>
        <w:shd w:val="clear" w:color="auto" w:fill="auto"/>
        <w:wordWrap w:val="0"/>
        <w:adjustRightInd w:val="0"/>
        <w:snapToGrid w:val="0"/>
        <w:spacing w:line="440" w:lineRule="exact"/>
        <w:rPr>
          <w:rFonts w:hint="eastAsia" w:ascii="宋体" w:hAnsi="宋体" w:eastAsia="宋体" w:cs="宋体"/>
          <w:snapToGrid w:val="0"/>
          <w:color w:val="auto"/>
          <w:kern w:val="0"/>
          <w:highlight w:val="none"/>
        </w:rPr>
      </w:pPr>
    </w:p>
    <w:p w14:paraId="6B1A9562">
      <w:pPr>
        <w:shd w:val="clear" w:color="auto" w:fill="auto"/>
        <w:wordWrap w:val="0"/>
        <w:adjustRightInd w:val="0"/>
        <w:snapToGrid w:val="0"/>
        <w:spacing w:line="440" w:lineRule="exact"/>
        <w:rPr>
          <w:rFonts w:hint="eastAsia" w:ascii="宋体" w:hAnsi="宋体" w:eastAsia="宋体" w:cs="宋体"/>
          <w:color w:val="auto"/>
          <w:highlight w:val="none"/>
        </w:rPr>
      </w:pPr>
      <w:r>
        <w:rPr>
          <w:rFonts w:hint="eastAsia" w:ascii="宋体" w:hAnsi="宋体" w:eastAsia="宋体" w:cs="宋体"/>
          <w:snapToGrid w:val="0"/>
          <w:color w:val="auto"/>
          <w:kern w:val="0"/>
          <w:highlight w:val="none"/>
        </w:rPr>
        <w:t xml:space="preserve">    </w:t>
      </w:r>
      <w:bookmarkEnd w:id="572"/>
      <w:bookmarkEnd w:id="573"/>
      <w:bookmarkStart w:id="585" w:name="_Toc29110"/>
      <w:r>
        <w:rPr>
          <w:rFonts w:hint="eastAsia" w:ascii="宋体" w:hAnsi="宋体" w:eastAsia="宋体" w:cs="宋体"/>
          <w:snapToGrid w:val="0"/>
          <w:color w:val="auto"/>
          <w:kern w:val="0"/>
          <w:highlight w:val="none"/>
          <w:lang w:eastAsia="zh-CN"/>
        </w:rPr>
        <w:t>（略），按照《建设工程监理合同（示范文本）》（GF—2012—0202）执行。</w:t>
      </w:r>
      <w:bookmarkEnd w:id="585"/>
    </w:p>
    <w:sectPr>
      <w:endnotePr>
        <w:numFmt w:val="decimal"/>
      </w:endnotePr>
      <w:pgSz w:w="11906" w:h="16838"/>
      <w:pgMar w:top="1701" w:right="1531" w:bottom="1417" w:left="1531" w:header="850" w:footer="992" w:gutter="0"/>
      <w:cols w:space="720" w:num="1"/>
      <w:rtlGutter w:val="0"/>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4163E">
    <w:pPr>
      <w:pStyle w:val="23"/>
      <w:rPr>
        <w:rFonts w:hint="eastAsia"/>
      </w:rPr>
    </w:pPr>
  </w:p>
  <w:p w14:paraId="4AA30458">
    <w:pPr>
      <w:pStyle w:val="2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61040">
    <w:pPr>
      <w:pStyle w:val="23"/>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39F8B">
    <w:pPr>
      <w:pStyle w:val="23"/>
      <w:rPr>
        <w:rFonts w:hint="eastAsia"/>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B2C1557">
                          <w:pPr>
                            <w:pStyle w:val="23"/>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T0m7K8MBAACHAwAADgAAAAAAAAABACAAAAAfAQAAZHJzL2Uyb0RvYy54bWxQ&#10;SwUGAAAAAAYABgBZAQAAVAUAAAAA&#10;">
              <v:fill on="f" focussize="0,0"/>
              <v:stroke on="f"/>
              <v:imagedata o:title=""/>
              <o:lock v:ext="edit" aspectratio="f"/>
              <v:textbox inset="0mm,0mm,0mm,0mm" style="mso-fit-shape-to-text:t;">
                <w:txbxContent>
                  <w:p w14:paraId="3B2C1557">
                    <w:pPr>
                      <w:pStyle w:val="23"/>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78314"/>
    <w:multiLevelType w:val="singleLevel"/>
    <w:tmpl w:val="84678314"/>
    <w:lvl w:ilvl="0" w:tentative="0">
      <w:start w:val="1"/>
      <w:numFmt w:val="decimal"/>
      <w:lvlText w:val="%1."/>
      <w:lvlJc w:val="left"/>
      <w:pPr>
        <w:tabs>
          <w:tab w:val="left" w:pos="312"/>
        </w:tabs>
      </w:pPr>
      <w:rPr>
        <w:rFonts w:hint="default"/>
        <w:b w:val="0"/>
        <w:bCs w:val="0"/>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0000002"/>
    <w:multiLevelType w:val="singleLevel"/>
    <w:tmpl w:val="00000002"/>
    <w:lvl w:ilvl="0" w:tentative="0">
      <w:start w:val="4"/>
      <w:numFmt w:val="chineseCounting"/>
      <w:suff w:val="space"/>
      <w:lvlText w:val="第%1章"/>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10E9F"/>
    <w:rsid w:val="05EE2780"/>
    <w:rsid w:val="0A5A4D26"/>
    <w:rsid w:val="0C331910"/>
    <w:rsid w:val="12E36BE9"/>
    <w:rsid w:val="15555F5D"/>
    <w:rsid w:val="18814059"/>
    <w:rsid w:val="18C354F3"/>
    <w:rsid w:val="19AC41D9"/>
    <w:rsid w:val="1B73717C"/>
    <w:rsid w:val="1C2C344C"/>
    <w:rsid w:val="1C9737F3"/>
    <w:rsid w:val="1CA5269D"/>
    <w:rsid w:val="1F101C86"/>
    <w:rsid w:val="212B00D9"/>
    <w:rsid w:val="216662E3"/>
    <w:rsid w:val="257819DD"/>
    <w:rsid w:val="26AF6371"/>
    <w:rsid w:val="28CB20CB"/>
    <w:rsid w:val="2D300825"/>
    <w:rsid w:val="2F2371AF"/>
    <w:rsid w:val="32BB052C"/>
    <w:rsid w:val="37022153"/>
    <w:rsid w:val="3DDB4D41"/>
    <w:rsid w:val="426805CD"/>
    <w:rsid w:val="43596ECE"/>
    <w:rsid w:val="44290DFA"/>
    <w:rsid w:val="45CE44CA"/>
    <w:rsid w:val="498A7063"/>
    <w:rsid w:val="4B320D4E"/>
    <w:rsid w:val="4BDA09F8"/>
    <w:rsid w:val="4D5B0833"/>
    <w:rsid w:val="51E30B9B"/>
    <w:rsid w:val="520074FC"/>
    <w:rsid w:val="54F505E7"/>
    <w:rsid w:val="56E11251"/>
    <w:rsid w:val="577B3AD6"/>
    <w:rsid w:val="5911585D"/>
    <w:rsid w:val="5C7D7CD9"/>
    <w:rsid w:val="5F4F0E5B"/>
    <w:rsid w:val="60114A5C"/>
    <w:rsid w:val="6065020A"/>
    <w:rsid w:val="61CD1732"/>
    <w:rsid w:val="61FE39C0"/>
    <w:rsid w:val="644602F4"/>
    <w:rsid w:val="66480A56"/>
    <w:rsid w:val="68CF5F7D"/>
    <w:rsid w:val="69B953BE"/>
    <w:rsid w:val="6AB51D8E"/>
    <w:rsid w:val="6C1C6746"/>
    <w:rsid w:val="6CDC336C"/>
    <w:rsid w:val="6D4B2C90"/>
    <w:rsid w:val="6F27559B"/>
    <w:rsid w:val="715776FB"/>
    <w:rsid w:val="72545666"/>
    <w:rsid w:val="736F5C5F"/>
    <w:rsid w:val="73A429A0"/>
    <w:rsid w:val="78180BFC"/>
    <w:rsid w:val="7B640574"/>
    <w:rsid w:val="7C606BB1"/>
    <w:rsid w:val="7ECA41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10">
    <w:name w:val="heading 1"/>
    <w:basedOn w:val="1"/>
    <w:next w:val="1"/>
    <w:qFormat/>
    <w:uiPriority w:val="0"/>
    <w:pPr>
      <w:autoSpaceDE w:val="0"/>
      <w:autoSpaceDN w:val="0"/>
      <w:adjustRightInd w:val="0"/>
      <w:jc w:val="left"/>
      <w:outlineLvl w:val="0"/>
    </w:pPr>
    <w:rPr>
      <w:rFonts w:ascii="Times New Roman" w:hAnsi="Times New Roman" w:eastAsia="宋体" w:cs="Times New Roman"/>
      <w:kern w:val="0"/>
      <w:sz w:val="30"/>
    </w:rPr>
  </w:style>
  <w:style w:type="paragraph" w:styleId="11">
    <w:name w:val="heading 2"/>
    <w:basedOn w:val="1"/>
    <w:next w:val="1"/>
    <w:qFormat/>
    <w:uiPriority w:val="0"/>
    <w:pPr>
      <w:autoSpaceDE w:val="0"/>
      <w:autoSpaceDN w:val="0"/>
      <w:adjustRightInd w:val="0"/>
      <w:jc w:val="left"/>
      <w:outlineLvl w:val="1"/>
    </w:pPr>
    <w:rPr>
      <w:rFonts w:ascii="Times New Roman" w:hAnsi="Times New Roman" w:eastAsia="宋体" w:cs="Times New Roman"/>
      <w:kern w:val="0"/>
      <w:sz w:val="24"/>
    </w:rPr>
  </w:style>
  <w:style w:type="paragraph" w:styleId="12">
    <w:name w:val="heading 3"/>
    <w:basedOn w:val="13"/>
    <w:next w:val="13"/>
    <w:link w:val="37"/>
    <w:qFormat/>
    <w:uiPriority w:val="0"/>
    <w:pPr>
      <w:keepNext/>
      <w:keepLines/>
      <w:spacing w:before="120" w:beforeAutospacing="0" w:after="120" w:afterAutospacing="0"/>
      <w:jc w:val="center"/>
      <w:outlineLvl w:val="2"/>
    </w:pPr>
    <w:rPr>
      <w:rFonts w:ascii="Times New Roman" w:hAnsi="Times New Roman" w:eastAsia="宋体" w:cs="Times New Roman"/>
      <w:sz w:val="24"/>
    </w:rPr>
  </w:style>
  <w:style w:type="paragraph" w:styleId="14">
    <w:name w:val="heading 4"/>
    <w:basedOn w:val="1"/>
    <w:next w:val="1"/>
    <w:qFormat/>
    <w:uiPriority w:val="0"/>
    <w:pPr>
      <w:keepNext/>
      <w:keepLines/>
      <w:spacing w:before="280" w:beforeAutospacing="0" w:after="290" w:afterAutospacing="0" w:line="374" w:lineRule="auto"/>
      <w:outlineLvl w:val="3"/>
    </w:pPr>
    <w:rPr>
      <w:rFonts w:ascii="Arial" w:hAnsi="Arial" w:eastAsia="宋体" w:cs="Times New Roman"/>
      <w:sz w:val="24"/>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eastAsia="华文宋体" w:cs="Times New Roman"/>
      <w:sz w:val="28"/>
    </w:rPr>
  </w:style>
  <w:style w:type="paragraph" w:customStyle="1" w:styleId="3">
    <w:name w:val="font5"/>
    <w:basedOn w:val="1"/>
    <w:next w:val="4"/>
    <w:qFormat/>
    <w:uiPriority w:val="0"/>
    <w:pPr>
      <w:spacing w:before="280" w:after="280"/>
    </w:pPr>
    <w:rPr>
      <w:rFonts w:ascii="宋体"/>
      <w:sz w:val="18"/>
    </w:rPr>
  </w:style>
  <w:style w:type="paragraph" w:customStyle="1" w:styleId="4">
    <w:name w:val="Char Char Char Char Char Char1 Char Char"/>
    <w:basedOn w:val="1"/>
    <w:next w:val="5"/>
    <w:qFormat/>
    <w:uiPriority w:val="0"/>
    <w:pPr>
      <w:spacing w:line="240" w:lineRule="exact"/>
      <w:ind w:firstLine="200"/>
    </w:pPr>
    <w:rPr>
      <w:rFonts w:ascii="Verdana"/>
      <w:sz w:val="20"/>
    </w:rPr>
  </w:style>
  <w:style w:type="paragraph" w:customStyle="1" w:styleId="5">
    <w:name w:val="xl28"/>
    <w:basedOn w:val="1"/>
    <w:next w:val="6"/>
    <w:qFormat/>
    <w:uiPriority w:val="0"/>
    <w:pPr>
      <w:spacing w:before="280" w:after="280"/>
      <w:jc w:val="center"/>
    </w:pPr>
    <w:rPr>
      <w:rFonts w:ascii="宋体"/>
      <w:b/>
      <w:sz w:val="24"/>
    </w:rPr>
  </w:style>
  <w:style w:type="paragraph" w:customStyle="1" w:styleId="6">
    <w:name w:val="xl36"/>
    <w:basedOn w:val="1"/>
    <w:next w:val="7"/>
    <w:qFormat/>
    <w:uiPriority w:val="0"/>
    <w:pPr>
      <w:spacing w:before="280" w:after="280"/>
      <w:jc w:val="center"/>
    </w:pPr>
    <w:rPr>
      <w:rFonts w:ascii="宋体"/>
      <w:b/>
      <w:sz w:val="24"/>
    </w:rPr>
  </w:style>
  <w:style w:type="paragraph" w:customStyle="1" w:styleId="7">
    <w:name w:val="xl156"/>
    <w:basedOn w:val="1"/>
    <w:next w:val="8"/>
    <w:qFormat/>
    <w:uiPriority w:val="0"/>
    <w:pPr>
      <w:shd w:val="clear" w:color="000000" w:fill="FF9900"/>
      <w:spacing w:before="280" w:after="280"/>
      <w:jc w:val="center"/>
    </w:pPr>
    <w:rPr>
      <w:rFonts w:ascii="宋体"/>
      <w:sz w:val="24"/>
    </w:rPr>
  </w:style>
  <w:style w:type="paragraph" w:styleId="8">
    <w:name w:val="footnote text"/>
    <w:basedOn w:val="1"/>
    <w:next w:val="9"/>
    <w:unhideWhenUsed/>
    <w:qFormat/>
    <w:uiPriority w:val="99"/>
    <w:pPr>
      <w:adjustRightInd w:val="0"/>
      <w:spacing w:line="312" w:lineRule="atLeast"/>
      <w:jc w:val="left"/>
      <w:textAlignment w:val="baseline"/>
    </w:pPr>
    <w:rPr>
      <w:kern w:val="0"/>
      <w:sz w:val="18"/>
      <w:szCs w:val="20"/>
    </w:rPr>
  </w:style>
  <w:style w:type="paragraph" w:customStyle="1" w:styleId="9">
    <w:name w:val="xl27"/>
    <w:basedOn w:val="1"/>
    <w:next w:val="1"/>
    <w:qFormat/>
    <w:uiPriority w:val="0"/>
    <w:pPr>
      <w:spacing w:before="280" w:after="280"/>
      <w:jc w:val="center"/>
    </w:pPr>
    <w:rPr>
      <w:sz w:val="24"/>
    </w:rPr>
  </w:style>
  <w:style w:type="paragraph" w:styleId="13">
    <w:name w:val="Normal Indent"/>
    <w:basedOn w:val="1"/>
    <w:qFormat/>
    <w:uiPriority w:val="0"/>
    <w:pPr>
      <w:widowControl/>
      <w:ind w:firstLine="420"/>
      <w:jc w:val="left"/>
    </w:pPr>
    <w:rPr>
      <w:rFonts w:ascii="Times New Roman" w:hAnsi="Times New Roman" w:eastAsia="宋体" w:cs="Times New Roman"/>
      <w:kern w:val="0"/>
      <w:sz w:val="20"/>
    </w:rPr>
  </w:style>
  <w:style w:type="paragraph" w:styleId="15">
    <w:name w:val="annotation text"/>
    <w:basedOn w:val="1"/>
    <w:next w:val="1"/>
    <w:link w:val="38"/>
    <w:qFormat/>
    <w:uiPriority w:val="0"/>
    <w:pPr>
      <w:adjustRightInd w:val="0"/>
      <w:spacing w:line="360" w:lineRule="atLeast"/>
      <w:jc w:val="left"/>
      <w:textAlignment w:val="baseline"/>
    </w:pPr>
    <w:rPr>
      <w:rFonts w:ascii="宋体" w:hAnsi="Times New Roman" w:eastAsia="宋体" w:cs="Times New Roman"/>
      <w:kern w:val="0"/>
      <w:sz w:val="24"/>
    </w:rPr>
  </w:style>
  <w:style w:type="paragraph" w:styleId="16">
    <w:name w:val="Body Text"/>
    <w:basedOn w:val="1"/>
    <w:next w:val="17"/>
    <w:qFormat/>
    <w:uiPriority w:val="0"/>
    <w:pPr>
      <w:spacing w:after="120" w:afterAutospacing="0"/>
    </w:pPr>
    <w:rPr>
      <w:rFonts w:ascii="Times New Roman" w:hAnsi="Times New Roman" w:eastAsia="宋体" w:cs="Times New Roman"/>
    </w:rPr>
  </w:style>
  <w:style w:type="paragraph" w:styleId="17">
    <w:name w:val="Body Text 2"/>
    <w:basedOn w:val="1"/>
    <w:next w:val="16"/>
    <w:qFormat/>
    <w:uiPriority w:val="0"/>
    <w:pPr>
      <w:spacing w:line="500" w:lineRule="exact"/>
    </w:pPr>
    <w:rPr>
      <w:rFonts w:ascii="宋体" w:hAnsi="Times New Roman" w:eastAsia="宋体" w:cs="Times New Roman"/>
      <w:sz w:val="24"/>
    </w:rPr>
  </w:style>
  <w:style w:type="paragraph" w:styleId="18">
    <w:name w:val="Body Text Indent"/>
    <w:basedOn w:val="1"/>
    <w:next w:val="19"/>
    <w:qFormat/>
    <w:uiPriority w:val="0"/>
    <w:pPr>
      <w:ind w:firstLine="560" w:firstLineChars="200"/>
    </w:pPr>
    <w:rPr>
      <w:rFonts w:ascii="宋体" w:hAnsi="Times New Roman" w:eastAsia="宋体" w:cs="Times New Roman"/>
      <w:kern w:val="2"/>
      <w:sz w:val="24"/>
    </w:rPr>
  </w:style>
  <w:style w:type="paragraph" w:styleId="19">
    <w:name w:val="envelope return"/>
    <w:basedOn w:val="1"/>
    <w:qFormat/>
    <w:uiPriority w:val="0"/>
    <w:pPr>
      <w:snapToGrid w:val="0"/>
    </w:pPr>
    <w:rPr>
      <w:rFonts w:ascii="Arial" w:hAnsi="Arial" w:eastAsia="宋体" w:cs="Times New Roman"/>
    </w:rPr>
  </w:style>
  <w:style w:type="paragraph" w:styleId="20">
    <w:name w:val="toc 3"/>
    <w:basedOn w:val="1"/>
    <w:next w:val="1"/>
    <w:qFormat/>
    <w:uiPriority w:val="0"/>
    <w:pPr>
      <w:ind w:left="561"/>
      <w:jc w:val="left"/>
    </w:pPr>
    <w:rPr>
      <w:rFonts w:ascii="Times New Roman" w:hAnsi="Times New Roman" w:eastAsia="宋体" w:cs="Times New Roman"/>
      <w:sz w:val="24"/>
    </w:rPr>
  </w:style>
  <w:style w:type="paragraph" w:styleId="21">
    <w:name w:val="Date"/>
    <w:basedOn w:val="1"/>
    <w:next w:val="1"/>
    <w:qFormat/>
    <w:uiPriority w:val="0"/>
    <w:pPr>
      <w:spacing w:line="240" w:lineRule="auto"/>
    </w:pPr>
    <w:rPr>
      <w:rFonts w:ascii="Times New Roman" w:hAnsi="Times New Roman" w:eastAsia="宋体" w:cs="Times New Roman"/>
      <w:sz w:val="21"/>
    </w:rPr>
  </w:style>
  <w:style w:type="paragraph" w:styleId="22">
    <w:name w:val="Body Text Indent 2"/>
    <w:basedOn w:val="1"/>
    <w:qFormat/>
    <w:uiPriority w:val="0"/>
    <w:pPr>
      <w:spacing w:line="480" w:lineRule="auto"/>
      <w:ind w:firstLine="561"/>
    </w:pPr>
    <w:rPr>
      <w:rFonts w:ascii="宋体" w:hAnsi="Times New Roman" w:eastAsia="宋体" w:cs="Times New Roman"/>
    </w:rPr>
  </w:style>
  <w:style w:type="paragraph" w:styleId="23">
    <w:name w:val="footer"/>
    <w:basedOn w:val="1"/>
    <w:qFormat/>
    <w:uiPriority w:val="0"/>
    <w:pPr>
      <w:widowControl/>
      <w:tabs>
        <w:tab w:val="center" w:pos="4153"/>
        <w:tab w:val="right" w:pos="8306"/>
      </w:tabs>
      <w:snapToGrid w:val="0"/>
      <w:jc w:val="left"/>
    </w:pPr>
    <w:rPr>
      <w:rFonts w:ascii="Times New Roman" w:hAnsi="Times New Roman" w:eastAsia="宋体" w:cs="Times New Roman"/>
      <w:kern w:val="0"/>
      <w:sz w:val="18"/>
    </w:rPr>
  </w:style>
  <w:style w:type="paragraph" w:styleId="2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25">
    <w:name w:val="toc 1"/>
    <w:basedOn w:val="1"/>
    <w:next w:val="1"/>
    <w:qFormat/>
    <w:uiPriority w:val="0"/>
    <w:pPr>
      <w:spacing w:before="120" w:beforeAutospacing="0" w:after="120" w:afterAutospacing="0"/>
      <w:jc w:val="left"/>
    </w:pPr>
    <w:rPr>
      <w:rFonts w:ascii="Times New Roman" w:hAnsi="Times New Roman" w:eastAsia="宋体" w:cs="Times New Roman"/>
      <w:caps/>
      <w:sz w:val="24"/>
    </w:rPr>
  </w:style>
  <w:style w:type="paragraph" w:styleId="26">
    <w:name w:val="toc 2"/>
    <w:basedOn w:val="1"/>
    <w:next w:val="1"/>
    <w:qFormat/>
    <w:uiPriority w:val="0"/>
    <w:pPr>
      <w:ind w:left="278"/>
      <w:jc w:val="left"/>
    </w:pPr>
    <w:rPr>
      <w:rFonts w:ascii="Times New Roman" w:hAnsi="Times New Roman" w:eastAsia="宋体" w:cs="Times New Roman"/>
      <w:smallCaps/>
      <w:sz w:val="24"/>
    </w:rPr>
  </w:style>
  <w:style w:type="paragraph" w:styleId="27">
    <w:name w:val="Normal (Web)"/>
    <w:basedOn w:val="1"/>
    <w:qFormat/>
    <w:uiPriority w:val="0"/>
    <w:rPr>
      <w:sz w:val="24"/>
    </w:rPr>
  </w:style>
  <w:style w:type="paragraph" w:styleId="28">
    <w:name w:val="annotation subject"/>
    <w:basedOn w:val="15"/>
    <w:next w:val="15"/>
    <w:link w:val="39"/>
    <w:qFormat/>
    <w:uiPriority w:val="0"/>
    <w:pPr>
      <w:adjustRightInd/>
      <w:spacing w:line="360" w:lineRule="auto"/>
      <w:textAlignment w:val="auto"/>
    </w:pPr>
    <w:rPr>
      <w:rFonts w:ascii="Times New Roman" w:hAnsi="Times New Roman" w:eastAsia="宋体" w:cs="Times New Roman"/>
      <w:b/>
      <w:bCs/>
      <w:kern w:val="2"/>
    </w:rPr>
  </w:style>
  <w:style w:type="paragraph" w:styleId="29">
    <w:name w:val="Body Text First Indent 2"/>
    <w:basedOn w:val="18"/>
    <w:next w:val="30"/>
    <w:qFormat/>
    <w:uiPriority w:val="0"/>
    <w:pPr>
      <w:ind w:firstLine="420"/>
    </w:pPr>
    <w:rPr>
      <w:rFonts w:ascii="Times New Roman" w:hAnsi="Times New Roman" w:eastAsia="宋体" w:cs="Times New Roman"/>
    </w:rPr>
  </w:style>
  <w:style w:type="paragraph" w:customStyle="1" w:styleId="30">
    <w:name w:val="章标题"/>
    <w:next w:val="1"/>
    <w:qFormat/>
    <w:uiPriority w:val="0"/>
    <w:pPr>
      <w:spacing w:before="50" w:after="50"/>
      <w:jc w:val="both"/>
      <w:outlineLvl w:val="1"/>
    </w:pPr>
    <w:rPr>
      <w:rFonts w:ascii="黑体" w:hAnsi="Calibri" w:eastAsia="黑体" w:cs="Times New Roman"/>
      <w:sz w:val="21"/>
      <w:lang w:val="en-US" w:eastAsia="zh-CN" w:bidi="ar-SA"/>
    </w:rPr>
  </w:style>
  <w:style w:type="table" w:styleId="32">
    <w:name w:val="Table Grid"/>
    <w:basedOn w:val="3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Hyperlink"/>
    <w:qFormat/>
    <w:uiPriority w:val="99"/>
    <w:rPr>
      <w:color w:val="000000"/>
      <w:u w:val="none"/>
    </w:rPr>
  </w:style>
  <w:style w:type="character" w:styleId="35">
    <w:name w:val="annotation reference"/>
    <w:qFormat/>
    <w:uiPriority w:val="0"/>
    <w:rPr>
      <w:rFonts w:ascii="Times New Roman" w:hAnsi="Times New Roman" w:eastAsia="宋体" w:cs="Times New Roman"/>
      <w:sz w:val="21"/>
      <w:szCs w:val="21"/>
    </w:rPr>
  </w:style>
  <w:style w:type="paragraph" w:customStyle="1" w:styleId="36">
    <w:name w:val="正文缩进1"/>
    <w:basedOn w:val="1"/>
    <w:qFormat/>
    <w:uiPriority w:val="0"/>
    <w:pPr>
      <w:widowControl/>
      <w:ind w:firstLine="420"/>
      <w:jc w:val="left"/>
    </w:pPr>
    <w:rPr>
      <w:rFonts w:ascii="Times New Roman" w:hAnsi="Times New Roman" w:eastAsia="宋体" w:cs="Times New Roman"/>
      <w:kern w:val="0"/>
      <w:sz w:val="20"/>
    </w:rPr>
  </w:style>
  <w:style w:type="character" w:customStyle="1" w:styleId="37">
    <w:name w:val="标题 3 Char"/>
    <w:link w:val="12"/>
    <w:qFormat/>
    <w:uiPriority w:val="0"/>
    <w:rPr>
      <w:rFonts w:ascii="Times New Roman" w:hAnsi="Times New Roman" w:eastAsia="宋体" w:cs="Times New Roman"/>
      <w:sz w:val="24"/>
    </w:rPr>
  </w:style>
  <w:style w:type="character" w:customStyle="1" w:styleId="38">
    <w:name w:val="批注文字 字符"/>
    <w:link w:val="15"/>
    <w:qFormat/>
    <w:uiPriority w:val="0"/>
    <w:rPr>
      <w:rFonts w:ascii="宋体" w:hAnsi="Times New Roman" w:eastAsia="宋体" w:cs="Times New Roman"/>
      <w:sz w:val="24"/>
    </w:rPr>
  </w:style>
  <w:style w:type="character" w:customStyle="1" w:styleId="39">
    <w:name w:val="批注主题 字符"/>
    <w:link w:val="28"/>
    <w:qFormat/>
    <w:uiPriority w:val="0"/>
    <w:rPr>
      <w:rFonts w:ascii="宋体" w:hAnsi="Times New Roman" w:eastAsia="宋体" w:cs="Times New Roman"/>
      <w:b/>
      <w:bCs/>
      <w:kern w:val="2"/>
      <w:sz w:val="24"/>
    </w:rPr>
  </w:style>
  <w:style w:type="paragraph" w:customStyle="1" w:styleId="40">
    <w:name w:val="样式 宋体 行距: 1.5 倍行距"/>
    <w:basedOn w:val="41"/>
    <w:next w:val="1"/>
    <w:qFormat/>
    <w:uiPriority w:val="0"/>
    <w:pPr>
      <w:jc w:val="center"/>
    </w:pPr>
    <w:rPr>
      <w:rFonts w:ascii="Times New Roman" w:hAnsi="Times New Roman" w:eastAsia="宋体" w:cs="Times New Roman"/>
      <w:b/>
    </w:rPr>
  </w:style>
  <w:style w:type="paragraph" w:customStyle="1" w:styleId="4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40"/>
    <w:qFormat/>
    <w:uiPriority w:val="0"/>
    <w:pPr>
      <w:widowControl w:val="0"/>
      <w:jc w:val="both"/>
    </w:pPr>
    <w:rPr>
      <w:rFonts w:ascii="Calibri" w:hAnsi="Calibri" w:eastAsia="宋体" w:cs="黑体"/>
      <w:kern w:val="2"/>
      <w:sz w:val="21"/>
      <w:szCs w:val="24"/>
      <w:lang w:val="en-US" w:eastAsia="zh-CN" w:bidi="ar-SA"/>
    </w:rPr>
  </w:style>
  <w:style w:type="character" w:customStyle="1" w:styleId="42">
    <w:name w:val="NormalCharacter"/>
    <w:qFormat/>
    <w:uiPriority w:val="99"/>
  </w:style>
  <w:style w:type="paragraph" w:customStyle="1" w:styleId="43">
    <w:name w:val="WPSOffice手动目录 3"/>
    <w:qFormat/>
    <w:uiPriority w:val="0"/>
    <w:pPr>
      <w:ind w:leftChars="400"/>
    </w:pPr>
    <w:rPr>
      <w:rFonts w:ascii="Times New Roman" w:hAnsi="Times New Roman" w:eastAsia="宋体" w:cs="Times New Roman"/>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6">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7">
    <w:name w:val="正文格式"/>
    <w:basedOn w:val="1"/>
    <w:qFormat/>
    <w:uiPriority w:val="0"/>
    <w:pPr>
      <w:topLinePunct/>
      <w:ind w:firstLine="420" w:firstLineChars="200"/>
    </w:pPr>
    <w:rPr>
      <w:rFonts w:hint="default" w:ascii="宋体" w:hAnsi="宋体" w:eastAsia="宋体" w:cs="Times New Roman"/>
      <w:bCs/>
      <w:szCs w:val="21"/>
    </w:rPr>
  </w:style>
  <w:style w:type="paragraph" w:customStyle="1" w:styleId="48">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49">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Normal Indent1"/>
    <w:basedOn w:val="1"/>
    <w:qFormat/>
    <w:uiPriority w:val="0"/>
    <w:pPr>
      <w:spacing w:line="360" w:lineRule="auto"/>
      <w:ind w:firstLine="420"/>
    </w:pPr>
    <w:rPr>
      <w:rFonts w:ascii="宋体" w:hAnsi="Times New Roman" w:eastAsia="宋体" w:cs="Times New Roman"/>
      <w:sz w:val="20"/>
      <w:szCs w:val="20"/>
    </w:rPr>
  </w:style>
  <w:style w:type="paragraph" w:customStyle="1" w:styleId="52">
    <w:name w:val="正文文本缩进 New"/>
    <w:basedOn w:val="53"/>
    <w:qFormat/>
    <w:uiPriority w:val="0"/>
    <w:pPr>
      <w:ind w:firstLine="560" w:firstLineChars="200"/>
    </w:pPr>
    <w:rPr>
      <w:rFonts w:ascii="宋体" w:hAnsi="Times New Roman" w:eastAsia="宋体" w:cs="Times New Roman"/>
      <w:kern w:val="2"/>
      <w:sz w:val="24"/>
    </w:rPr>
  </w:style>
  <w:style w:type="paragraph" w:customStyle="1" w:styleId="53">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4">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5">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
    <w:name w:val="标题 3 New New"/>
    <w:basedOn w:val="57"/>
    <w:next w:val="57"/>
    <w:qFormat/>
    <w:uiPriority w:val="0"/>
    <w:pPr>
      <w:keepNext/>
      <w:keepLines/>
      <w:spacing w:before="120" w:beforeAutospacing="0" w:after="120" w:afterAutospacing="0"/>
      <w:jc w:val="center"/>
      <w:outlineLvl w:val="2"/>
    </w:pPr>
    <w:rPr>
      <w:rFonts w:ascii="Times New Roman" w:hAnsi="Times New Roman" w:eastAsia="宋体" w:cs="Times New Roman"/>
      <w:sz w:val="24"/>
    </w:rPr>
  </w:style>
  <w:style w:type="paragraph" w:customStyle="1" w:styleId="57">
    <w:name w:val="正文缩进 New"/>
    <w:basedOn w:val="53"/>
    <w:qFormat/>
    <w:uiPriority w:val="0"/>
    <w:pPr>
      <w:widowControl/>
      <w:ind w:firstLine="420"/>
      <w:jc w:val="left"/>
    </w:pPr>
    <w:rPr>
      <w:rFonts w:ascii="Times New Roman" w:hAnsi="Times New Roman" w:eastAsia="宋体" w:cs="Times New Roman"/>
      <w:kern w:val="0"/>
      <w:sz w:val="20"/>
    </w:rPr>
  </w:style>
  <w:style w:type="paragraph" w:customStyle="1" w:styleId="58">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9">
    <w:name w:val="WPSOffice手动目录 2"/>
    <w:qFormat/>
    <w:uiPriority w:val="0"/>
    <w:pPr>
      <w:ind w:leftChars="200"/>
    </w:pPr>
    <w:rPr>
      <w:rFonts w:ascii="Times New Roman" w:hAnsi="Times New Roman" w:eastAsia="宋体" w:cs="Times New Roman"/>
      <w:lang w:val="en-US" w:eastAsia="zh-CN" w:bidi="ar-SA"/>
    </w:rPr>
  </w:style>
  <w:style w:type="paragraph" w:customStyle="1" w:styleId="60">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1">
    <w:name w:val="普通(网站) New"/>
    <w:basedOn w:val="62"/>
    <w:qFormat/>
    <w:uiPriority w:val="0"/>
    <w:rPr>
      <w:rFonts w:ascii="Times New Roman" w:hAnsi="Times New Roman" w:eastAsia="宋体" w:cs="Times New Roman"/>
      <w:sz w:val="24"/>
    </w:rPr>
  </w:style>
  <w:style w:type="paragraph" w:customStyle="1" w:styleId="62">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3">
    <w:name w:val="正文文本缩进 New New"/>
    <w:basedOn w:val="55"/>
    <w:qFormat/>
    <w:uiPriority w:val="0"/>
    <w:pPr>
      <w:ind w:firstLine="560" w:firstLineChars="200"/>
    </w:pPr>
    <w:rPr>
      <w:rFonts w:ascii="宋体" w:hAnsi="Times New Roman" w:eastAsia="宋体" w:cs="Times New Roman"/>
      <w:kern w:val="2"/>
      <w:sz w:val="24"/>
    </w:rPr>
  </w:style>
  <w:style w:type="paragraph" w:customStyle="1" w:styleId="64">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5">
    <w:name w:val="WPSOffice手动目录 1"/>
    <w:qFormat/>
    <w:uiPriority w:val="0"/>
    <w:rPr>
      <w:rFonts w:ascii="Times New Roman" w:hAnsi="Times New Roman" w:eastAsia="宋体" w:cs="Times New Roman"/>
      <w:lang w:val="en-US" w:eastAsia="zh-CN" w:bidi="ar-SA"/>
    </w:rPr>
  </w:style>
  <w:style w:type="paragraph" w:customStyle="1" w:styleId="66">
    <w:name w:val="Normal Indent_4c803a13-180c-4885-81ac-15aca6f4b5c7"/>
    <w:basedOn w:val="1"/>
    <w:qFormat/>
    <w:uiPriority w:val="0"/>
    <w:pPr>
      <w:widowControl/>
      <w:spacing w:line="360" w:lineRule="auto"/>
      <w:ind w:firstLine="420"/>
      <w:jc w:val="left"/>
    </w:pPr>
    <w:rPr>
      <w:rFonts w:ascii="宋体" w:hAnsi="Times New Roman" w:eastAsia="宋体" w:cs="Times New Roman"/>
      <w:kern w:val="0"/>
      <w:sz w:val="20"/>
      <w:szCs w:val="20"/>
    </w:rPr>
  </w:style>
  <w:style w:type="paragraph" w:customStyle="1" w:styleId="67">
    <w:name w:val="Table Text"/>
    <w:basedOn w:val="1"/>
    <w:qFormat/>
    <w:uiPriority w:val="0"/>
    <w:rPr>
      <w:rFonts w:ascii="Arial" w:hAnsi="Arial" w:eastAsia="Arial" w:cs="Arial"/>
      <w:sz w:val="21"/>
      <w:szCs w:val="21"/>
      <w:lang w:val="en-US" w:eastAsia="en-US"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77</Pages>
  <Words>44188</Words>
  <Characters>47018</Characters>
  <Paragraphs>2307</Paragraphs>
  <TotalTime>23</TotalTime>
  <ScaleCrop>false</ScaleCrop>
  <LinksUpToDate>false</LinksUpToDate>
  <CharactersWithSpaces>49848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2014-11-02T12:08:00Z</dcterms:created>
  <dc:creator>Administrator.SKY-20171120MGK</dc:creator>
  <cp:lastModifiedBy>WPS_1481086387</cp:lastModifiedBy>
  <cp:lastPrinted>2026-09-18T09:49:00Z</cp:lastPrinted>
  <dcterms:modified xsi:type="dcterms:W3CDTF">2026-09-20T07:44:11Z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ribbonExt">
    <vt:lpwstr>{"WPSExtOfficeTab":{"OnGetEnabled":false,"OnGetVisible":false}}</vt:lpwstr>
  </property>
  <property fmtid="{D5CDD505-2E9C-101B-9397-08002B2CF9AE}" pid="4" name="ICV">
    <vt:lpwstr>28AAEB80639A43098A7CD4F4B6DB00B7_13</vt:lpwstr>
  </property>
  <property fmtid="{D5CDD505-2E9C-101B-9397-08002B2CF9AE}" pid="5" name="KSOTemplateDocerSaveRecord">
    <vt:lpwstr>eyJoZGlkIjoiMDVmN2Q5ZjM3YTYwOTZlZmM0MzUwNTBjMWQ1Mzc0ZGUiLCJ1c2VySWQiOiIyNTUzNTE1MTMifQ==</vt:lpwstr>
  </property>
</Properties>
</file>